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87704E" w14:textId="77777777" w:rsidR="006059B4" w:rsidRDefault="006059B4" w:rsidP="00747C3D">
      <w:pPr>
        <w:rPr>
          <w:color w:val="000000"/>
          <w:sz w:val="26"/>
          <w:szCs w:val="26"/>
          <w:lang w:bidi="pa-IN"/>
        </w:rPr>
        <w:sectPr w:rsidR="006059B4" w:rsidSect="00D434FC">
          <w:headerReference w:type="even" r:id="rId11"/>
          <w:footerReference w:type="default" r:id="rId12"/>
          <w:headerReference w:type="first" r:id="rId13"/>
          <w:footerReference w:type="first" r:id="rId14"/>
          <w:pgSz w:w="12240" w:h="15840"/>
          <w:pgMar w:top="810" w:right="720" w:bottom="720" w:left="720" w:header="0" w:footer="720" w:gutter="0"/>
          <w:cols w:space="720"/>
          <w:titlePg/>
          <w:docGrid w:linePitch="360"/>
        </w:sectPr>
      </w:pPr>
    </w:p>
    <w:p w14:paraId="7F0F9FAA" w14:textId="3A507558" w:rsidR="00A673A1" w:rsidRDefault="00A673A1" w:rsidP="00A673A1">
      <w:pPr>
        <w:pStyle w:val="Title"/>
      </w:pPr>
      <w:r>
        <w:t>Burden of Proof</w:t>
      </w:r>
      <w:r w:rsidR="00093FFA">
        <w:t>: Information &amp; Considerations for Due Process Hearings</w:t>
      </w:r>
    </w:p>
    <w:p w14:paraId="156D492D" w14:textId="77777777" w:rsidR="00A673A1" w:rsidRDefault="00A673A1" w:rsidP="00A673A1">
      <w:pPr>
        <w:spacing w:after="0" w:line="240" w:lineRule="auto"/>
        <w:rPr>
          <w:rFonts w:eastAsia="Times New Roman"/>
        </w:rPr>
      </w:pPr>
    </w:p>
    <w:p w14:paraId="1C9D061C" w14:textId="0779BEA7" w:rsidR="00A673A1" w:rsidRDefault="002B4EB2" w:rsidP="00A673A1">
      <w:r>
        <w:t>OSPI has received multiple inquir</w:t>
      </w:r>
      <w:r w:rsidR="40AE522E">
        <w:t>i</w:t>
      </w:r>
      <w:r>
        <w:t>es</w:t>
      </w:r>
      <w:r w:rsidR="004C2C58">
        <w:t xml:space="preserve"> about </w:t>
      </w:r>
      <w:hyperlink r:id="rId15">
        <w:r w:rsidR="00A673A1" w:rsidRPr="6931612C">
          <w:rPr>
            <w:rFonts w:eastAsia="Times New Roman"/>
            <w:color w:val="0000FF"/>
            <w:u w:val="single"/>
          </w:rPr>
          <w:t>SB 5883</w:t>
        </w:r>
      </w:hyperlink>
      <w:r w:rsidR="00A673A1" w:rsidRPr="6931612C">
        <w:rPr>
          <w:rFonts w:eastAsia="Times New Roman"/>
        </w:rPr>
        <w:t xml:space="preserve">, which shifts the burden of proof in a due process hearing onto the school district. </w:t>
      </w:r>
      <w:r w:rsidR="00A673A1">
        <w:t xml:space="preserve">You can read the text of </w:t>
      </w:r>
      <w:hyperlink r:id="rId16">
        <w:r w:rsidR="00A673A1" w:rsidRPr="6931612C">
          <w:rPr>
            <w:rStyle w:val="Hyperlink"/>
          </w:rPr>
          <w:t>SB 5883 here</w:t>
        </w:r>
      </w:hyperlink>
      <w:r w:rsidR="00A673A1">
        <w:t>.</w:t>
      </w:r>
    </w:p>
    <w:p w14:paraId="4F0033F1" w14:textId="77777777" w:rsidR="00A673A1" w:rsidRPr="009225CA" w:rsidRDefault="00A673A1" w:rsidP="00A673A1">
      <w:pPr>
        <w:spacing w:after="0" w:line="240" w:lineRule="auto"/>
        <w:rPr>
          <w:rFonts w:eastAsia="Times New Roman"/>
        </w:rPr>
      </w:pPr>
    </w:p>
    <w:p w14:paraId="55D5813C" w14:textId="77777777" w:rsidR="00A673A1" w:rsidRDefault="00A673A1" w:rsidP="00A673A1">
      <w:pPr>
        <w:rPr>
          <w:rFonts w:ascii="Segoe UI Semibold" w:eastAsiaTheme="majorEastAsia" w:hAnsi="Segoe UI Semibold" w:cs="Segoe UI Semibold"/>
          <w:color w:val="0D5761" w:themeColor="accent2"/>
          <w:sz w:val="32"/>
          <w:szCs w:val="32"/>
        </w:rPr>
      </w:pPr>
      <w:r w:rsidRPr="00F863B4">
        <w:rPr>
          <w:rFonts w:ascii="Segoe UI Semibold" w:eastAsiaTheme="majorEastAsia" w:hAnsi="Segoe UI Semibold" w:cs="Segoe UI Semibold"/>
          <w:color w:val="0D5761" w:themeColor="accent2"/>
          <w:sz w:val="32"/>
          <w:szCs w:val="32"/>
        </w:rPr>
        <w:t>When will this go into effect?</w:t>
      </w:r>
    </w:p>
    <w:p w14:paraId="7ACBCF15" w14:textId="65611298" w:rsidR="00A673A1" w:rsidRPr="00F17B39" w:rsidRDefault="00A673A1" w:rsidP="00A673A1">
      <w:pPr>
        <w:rPr>
          <w:rFonts w:eastAsia="Times New Roman"/>
        </w:rPr>
      </w:pPr>
      <w:r>
        <w:rPr>
          <w:rFonts w:eastAsia="Times New Roman"/>
        </w:rPr>
        <w:t xml:space="preserve">SB 5883 will go into effect </w:t>
      </w:r>
      <w:r w:rsidR="004711E8" w:rsidRPr="00F06BC4">
        <w:rPr>
          <w:rFonts w:eastAsia="Times New Roman"/>
        </w:rPr>
        <w:t>on June 6, 2024</w:t>
      </w:r>
      <w:r w:rsidR="004711E8">
        <w:rPr>
          <w:rFonts w:eastAsia="Times New Roman"/>
        </w:rPr>
        <w:t>.</w:t>
      </w:r>
      <w:r>
        <w:rPr>
          <w:rFonts w:eastAsia="Times New Roman"/>
        </w:rPr>
        <w:t xml:space="preserve"> </w:t>
      </w:r>
    </w:p>
    <w:p w14:paraId="77D4553B" w14:textId="1A16CF93" w:rsidR="00A673A1" w:rsidRPr="00846424" w:rsidRDefault="00EE0FB4" w:rsidP="00A673A1">
      <w:pPr>
        <w:pStyle w:val="Heading1"/>
      </w:pPr>
      <w:r>
        <w:t>What does the bill do</w:t>
      </w:r>
      <w:r w:rsidR="00A673A1">
        <w:t>?</w:t>
      </w:r>
    </w:p>
    <w:p w14:paraId="27D6BB56" w14:textId="5BF6D617" w:rsidR="00A673A1" w:rsidRDefault="00A673A1" w:rsidP="00A673A1">
      <w:r>
        <w:t>The bill requires that in all due process hearings</w:t>
      </w:r>
      <w:r w:rsidR="008B1786">
        <w:t>,</w:t>
      </w:r>
      <w:r>
        <w:t xml:space="preserve"> the district has the burden of proof, including the burden of persuasion and production, whenever the district is a party to a due process hearing regarding the identification, evaluation, reevaluation, classification, educational placement, disciplinary action, or provision of a free appropriate public education for a student with a disability. </w:t>
      </w:r>
    </w:p>
    <w:p w14:paraId="73DD924E" w14:textId="324A9D4B" w:rsidR="00A673A1" w:rsidRDefault="00A673A1" w:rsidP="00A673A1">
      <w:r>
        <w:t>The one exception is when a parent is seeking tuition reimbursement for a unilateral parental placement</w:t>
      </w:r>
      <w:r w:rsidR="36365224">
        <w:t>.</w:t>
      </w:r>
      <w:r w:rsidR="00F74BDD">
        <w:t xml:space="preserve"> </w:t>
      </w:r>
      <w:r w:rsidR="36365224">
        <w:t>In such a case,</w:t>
      </w:r>
      <w:r>
        <w:t xml:space="preserve"> the parent has the burden of proof, including the burden of persuasion and production, on the appropriateness of such placement. </w:t>
      </w:r>
    </w:p>
    <w:p w14:paraId="16429FCB" w14:textId="77777777" w:rsidR="00A673A1" w:rsidRDefault="00A673A1" w:rsidP="00A673A1">
      <w:pPr>
        <w:pStyle w:val="Heading1"/>
      </w:pPr>
      <w:r>
        <w:t>What is the burden of proof?</w:t>
      </w:r>
    </w:p>
    <w:p w14:paraId="14F8E020" w14:textId="77777777" w:rsidR="00A673A1" w:rsidRDefault="00A673A1" w:rsidP="00A673A1">
      <w:pPr>
        <w:pStyle w:val="paragraph"/>
        <w:spacing w:before="0" w:beforeAutospacing="0" w:after="0" w:afterAutospacing="0"/>
        <w:textAlignment w:val="baseline"/>
        <w:rPr>
          <w:rFonts w:ascii="Segoe UI" w:hAnsi="Segoe UI" w:cs="Segoe UI"/>
          <w:sz w:val="18"/>
          <w:szCs w:val="18"/>
        </w:rPr>
      </w:pPr>
      <w:r>
        <w:rPr>
          <w:rStyle w:val="normaltextrun"/>
          <w:rFonts w:ascii="Segoe UI" w:eastAsiaTheme="majorEastAsia" w:hAnsi="Segoe UI" w:cs="Segoe UI"/>
          <w:color w:val="000000"/>
          <w:sz w:val="22"/>
          <w:szCs w:val="22"/>
        </w:rPr>
        <w:t>Burden of proof has two components, burden of persuasion and the burden of production</w:t>
      </w:r>
      <w:r>
        <w:rPr>
          <w:rStyle w:val="FootnoteReference"/>
          <w:rFonts w:ascii="Segoe UI" w:eastAsiaTheme="majorEastAsia" w:hAnsi="Segoe UI" w:cs="Segoe UI"/>
          <w:color w:val="000000"/>
          <w:sz w:val="22"/>
          <w:szCs w:val="22"/>
        </w:rPr>
        <w:footnoteReference w:id="2"/>
      </w:r>
      <w:r>
        <w:rPr>
          <w:rStyle w:val="normaltextrun"/>
          <w:rFonts w:ascii="Segoe UI" w:eastAsiaTheme="majorEastAsia" w:hAnsi="Segoe UI" w:cs="Segoe UI"/>
          <w:color w:val="000000"/>
          <w:sz w:val="22"/>
          <w:szCs w:val="22"/>
        </w:rPr>
        <w:t>:</w:t>
      </w:r>
      <w:r>
        <w:rPr>
          <w:rStyle w:val="eop"/>
          <w:rFonts w:ascii="Segoe UI" w:eastAsiaTheme="majorEastAsia" w:hAnsi="Segoe UI" w:cs="Segoe UI"/>
          <w:color w:val="000000"/>
          <w:sz w:val="22"/>
          <w:szCs w:val="22"/>
        </w:rPr>
        <w:t> </w:t>
      </w:r>
    </w:p>
    <w:p w14:paraId="2ABAFA00" w14:textId="77777777" w:rsidR="00A673A1" w:rsidRDefault="00A673A1" w:rsidP="00A673A1">
      <w:pPr>
        <w:pStyle w:val="paragraph"/>
        <w:numPr>
          <w:ilvl w:val="0"/>
          <w:numId w:val="4"/>
        </w:numPr>
        <w:spacing w:before="0" w:beforeAutospacing="0" w:after="0" w:afterAutospacing="0"/>
        <w:textAlignment w:val="baseline"/>
        <w:rPr>
          <w:rFonts w:ascii="Segoe UI" w:hAnsi="Segoe UI" w:cs="Segoe UI"/>
          <w:sz w:val="22"/>
          <w:szCs w:val="22"/>
        </w:rPr>
      </w:pPr>
      <w:r>
        <w:rPr>
          <w:rStyle w:val="normaltextrun"/>
          <w:rFonts w:ascii="Segoe UI" w:eastAsiaTheme="majorEastAsia" w:hAnsi="Segoe UI" w:cs="Segoe UI"/>
          <w:color w:val="000000"/>
          <w:sz w:val="22"/>
          <w:szCs w:val="22"/>
        </w:rPr>
        <w:t>Burden of production: Refers to the obligation to present evidence to prove each element of a claim or cause of action.</w:t>
      </w:r>
      <w:r>
        <w:rPr>
          <w:rStyle w:val="eop"/>
          <w:rFonts w:ascii="Segoe UI" w:eastAsiaTheme="majorEastAsia" w:hAnsi="Segoe UI" w:cs="Segoe UI"/>
          <w:color w:val="000000"/>
          <w:sz w:val="22"/>
          <w:szCs w:val="22"/>
        </w:rPr>
        <w:t> </w:t>
      </w:r>
    </w:p>
    <w:p w14:paraId="6215ABB0" w14:textId="77777777" w:rsidR="00A673A1" w:rsidRPr="00866F33" w:rsidRDefault="00A673A1" w:rsidP="00A673A1">
      <w:pPr>
        <w:pStyle w:val="paragraph"/>
        <w:numPr>
          <w:ilvl w:val="0"/>
          <w:numId w:val="4"/>
        </w:numPr>
        <w:spacing w:before="0" w:beforeAutospacing="0" w:after="0" w:afterAutospacing="0"/>
        <w:textAlignment w:val="baseline"/>
        <w:rPr>
          <w:rStyle w:val="eop"/>
          <w:rFonts w:ascii="Segoe UI" w:hAnsi="Segoe UI" w:cs="Segoe UI"/>
          <w:sz w:val="22"/>
          <w:szCs w:val="22"/>
        </w:rPr>
      </w:pPr>
      <w:r w:rsidRPr="00CF2F04">
        <w:rPr>
          <w:rStyle w:val="normaltextrun"/>
          <w:rFonts w:ascii="Segoe UI" w:eastAsiaTheme="majorEastAsia" w:hAnsi="Segoe UI" w:cs="Segoe UI"/>
          <w:color w:val="000000"/>
          <w:sz w:val="22"/>
          <w:szCs w:val="22"/>
        </w:rPr>
        <w:t>Burden of persuasion: Refers to persuading the finder of fact</w:t>
      </w:r>
      <w:r>
        <w:rPr>
          <w:rStyle w:val="normaltextrun"/>
          <w:rFonts w:ascii="Segoe UI" w:eastAsiaTheme="majorEastAsia" w:hAnsi="Segoe UI" w:cs="Segoe UI"/>
          <w:color w:val="000000"/>
          <w:sz w:val="22"/>
          <w:szCs w:val="22"/>
        </w:rPr>
        <w:t>—in due process, the administrative law judge (ALJ)—</w:t>
      </w:r>
      <w:r w:rsidRPr="00CF2F04">
        <w:rPr>
          <w:rStyle w:val="normaltextrun"/>
          <w:rFonts w:ascii="Segoe UI" w:eastAsiaTheme="majorEastAsia" w:hAnsi="Segoe UI" w:cs="Segoe UI"/>
          <w:color w:val="000000"/>
          <w:sz w:val="22"/>
          <w:szCs w:val="22"/>
        </w:rPr>
        <w:t xml:space="preserve">of the correctness of a party’s position. The burden of persuasion does not shift and is only outcome-determinative when the evidence is equally divided. Under the burden of persuasion, the “tie” goes to the </w:t>
      </w:r>
      <w:r>
        <w:rPr>
          <w:rStyle w:val="normaltextrun"/>
          <w:rFonts w:ascii="Segoe UI" w:eastAsiaTheme="majorEastAsia" w:hAnsi="Segoe UI" w:cs="Segoe UI"/>
          <w:color w:val="000000"/>
          <w:sz w:val="22"/>
          <w:szCs w:val="22"/>
        </w:rPr>
        <w:t xml:space="preserve">party </w:t>
      </w:r>
      <w:r w:rsidRPr="00CF2F04">
        <w:rPr>
          <w:rStyle w:val="normaltextrun"/>
          <w:rFonts w:ascii="Segoe UI" w:eastAsiaTheme="majorEastAsia" w:hAnsi="Segoe UI" w:cs="Segoe UI"/>
          <w:color w:val="000000"/>
          <w:sz w:val="22"/>
          <w:szCs w:val="22"/>
        </w:rPr>
        <w:t>who does not have the burden of persuasion.</w:t>
      </w:r>
      <w:r w:rsidRPr="00CF2F04">
        <w:rPr>
          <w:rStyle w:val="eop"/>
          <w:rFonts w:ascii="Segoe UI" w:eastAsiaTheme="majorEastAsia" w:hAnsi="Segoe UI" w:cs="Segoe UI"/>
          <w:color w:val="000000"/>
          <w:sz w:val="22"/>
          <w:szCs w:val="22"/>
        </w:rPr>
        <w:t> </w:t>
      </w:r>
    </w:p>
    <w:p w14:paraId="74686908" w14:textId="4B09D357" w:rsidR="00A673A1" w:rsidRDefault="00EE0FB4" w:rsidP="00A673A1">
      <w:pPr>
        <w:pStyle w:val="Heading1"/>
      </w:pPr>
      <w:r>
        <w:lastRenderedPageBreak/>
        <w:t>How will this impact due process hearings</w:t>
      </w:r>
      <w:r w:rsidR="00A673A1">
        <w:t xml:space="preserve">? </w:t>
      </w:r>
    </w:p>
    <w:p w14:paraId="76AB63DA" w14:textId="3AC468A8" w:rsidR="00F22806" w:rsidRDefault="00A673A1" w:rsidP="6931612C">
      <w:r>
        <w:t xml:space="preserve">The change in burden of proof </w:t>
      </w:r>
      <w:r w:rsidR="00B64800">
        <w:t xml:space="preserve">likely will impact </w:t>
      </w:r>
      <w:r w:rsidR="00F43007">
        <w:t>how districts engage in due process hearings</w:t>
      </w:r>
      <w:r w:rsidR="001926BA">
        <w:t>.</w:t>
      </w:r>
      <w:r w:rsidR="003C2CFF">
        <w:t xml:space="preserve"> </w:t>
      </w:r>
      <w:r w:rsidR="00776215">
        <w:t>W</w:t>
      </w:r>
      <w:r w:rsidR="00A27664">
        <w:t xml:space="preserve">e </w:t>
      </w:r>
      <w:r w:rsidR="4767AD84">
        <w:t xml:space="preserve">may </w:t>
      </w:r>
      <w:r w:rsidR="00A27664">
        <w:t>see an increase in due process filings.</w:t>
      </w:r>
      <w:r w:rsidR="00F74BDD">
        <w:t xml:space="preserve"> </w:t>
      </w:r>
    </w:p>
    <w:p w14:paraId="702ED885" w14:textId="3BF6FA80" w:rsidR="00105700" w:rsidRDefault="00F22806" w:rsidP="6931612C">
      <w:r>
        <w:t>T</w:t>
      </w:r>
      <w:r w:rsidR="00105700">
        <w:t xml:space="preserve">he bill </w:t>
      </w:r>
      <w:r w:rsidR="00A673A1">
        <w:t xml:space="preserve">does not create any new requirements </w:t>
      </w:r>
      <w:r w:rsidR="00105700">
        <w:t>related to</w:t>
      </w:r>
      <w:r w:rsidR="00A673A1">
        <w:t xml:space="preserve"> </w:t>
      </w:r>
      <w:r w:rsidR="70ADD4CA">
        <w:t xml:space="preserve">documentation, </w:t>
      </w:r>
      <w:r w:rsidR="148790D7">
        <w:t>record keeping</w:t>
      </w:r>
      <w:r w:rsidR="0EA52C95">
        <w:t>,</w:t>
      </w:r>
      <w:r w:rsidR="148790D7">
        <w:t xml:space="preserve"> </w:t>
      </w:r>
      <w:r w:rsidR="00A673A1">
        <w:t>or evidence of special education services provided</w:t>
      </w:r>
      <w:r w:rsidR="0052706C">
        <w:t>.</w:t>
      </w:r>
      <w:r w:rsidR="00105700">
        <w:t xml:space="preserve"> </w:t>
      </w:r>
      <w:r w:rsidR="00A27664">
        <w:t>Districts should review existing district p</w:t>
      </w:r>
      <w:r w:rsidR="0052706C">
        <w:t>olicies, p</w:t>
      </w:r>
      <w:r w:rsidR="00A27664">
        <w:t>rocedures</w:t>
      </w:r>
      <w:r w:rsidR="0052706C">
        <w:t>,</w:t>
      </w:r>
      <w:r w:rsidR="00A27664">
        <w:t xml:space="preserve"> and practices around maintaining documentation such as service provider logs (e.g., speech and occupational therapy logs) and other student educational records—what documentation</w:t>
      </w:r>
      <w:r w:rsidR="00E46E95">
        <w:t xml:space="preserve"> do you currently keep in student files and for how long</w:t>
      </w:r>
      <w:r w:rsidR="17531205">
        <w:t>;</w:t>
      </w:r>
      <w:r w:rsidR="00973CEC">
        <w:t xml:space="preserve"> what should you keep</w:t>
      </w:r>
      <w:r w:rsidR="00A57073">
        <w:t xml:space="preserve"> and for how long?</w:t>
      </w:r>
      <w:r w:rsidR="00A27664">
        <w:t xml:space="preserve"> </w:t>
      </w:r>
    </w:p>
    <w:p w14:paraId="64925FE6" w14:textId="45704A98" w:rsidR="00A673A1" w:rsidRDefault="00A673A1" w:rsidP="00A673A1">
      <w:r>
        <w:t xml:space="preserve">Districts should continue </w:t>
      </w:r>
      <w:r w:rsidR="00A57073">
        <w:t xml:space="preserve">conducting </w:t>
      </w:r>
      <w:r w:rsidR="00607D72">
        <w:t xml:space="preserve">comprehensive evaluations, </w:t>
      </w:r>
      <w:r>
        <w:t>developing</w:t>
      </w:r>
      <w:r w:rsidR="008827BC">
        <w:t>,</w:t>
      </w:r>
      <w:r>
        <w:t xml:space="preserve"> and implementing high quality IEPs based on student-specific needs, monitoring student progress on IEP goals, and gathering student-specific data to inform IEP development.</w:t>
      </w:r>
      <w:r w:rsidR="00607D72">
        <w:t xml:space="preserve"> Districts should think about what staff training is provided on special education </w:t>
      </w:r>
      <w:r w:rsidR="006625D7">
        <w:t>obligations, both procedural and substantive.</w:t>
      </w:r>
      <w:r>
        <w:t xml:space="preserve"> </w:t>
      </w:r>
    </w:p>
    <w:p w14:paraId="5E75EE78" w14:textId="78AEECCA" w:rsidR="00A673A1" w:rsidRDefault="00A673A1" w:rsidP="00A673A1">
      <w:r>
        <w:t xml:space="preserve">Districts have always had the burden of proof in due process hearings related to independent educational evaluations (IEEs) wherein the district is defending its evaluation. </w:t>
      </w:r>
      <w:r w:rsidR="006625D7">
        <w:t>P</w:t>
      </w:r>
      <w:r>
        <w:t xml:space="preserve">ast due process hearings related to IEEs could provide an example </w:t>
      </w:r>
      <w:r w:rsidR="00003A8F">
        <w:t>of</w:t>
      </w:r>
      <w:r>
        <w:t xml:space="preserve"> the types of documentation, evidence, and expert input needed</w:t>
      </w:r>
      <w:r w:rsidR="00D10CC2">
        <w:t xml:space="preserve"> in a hearing</w:t>
      </w:r>
      <w:r>
        <w:t>.</w:t>
      </w:r>
    </w:p>
    <w:p w14:paraId="69EDDE8E" w14:textId="460FE6EE" w:rsidR="00254E8B" w:rsidRDefault="00A673A1" w:rsidP="00A673A1">
      <w:r>
        <w:t xml:space="preserve">OSPI recommends that districts consult with district legal counsel or the risk pool regarding specific recommendations for district practices. </w:t>
      </w:r>
    </w:p>
    <w:p w14:paraId="5639D320" w14:textId="77777777" w:rsidR="00A673A1" w:rsidRDefault="00A673A1" w:rsidP="00A673A1">
      <w:pPr>
        <w:spacing w:before="100" w:beforeAutospacing="1" w:after="100" w:afterAutospacing="1" w:line="240" w:lineRule="auto"/>
        <w:rPr>
          <w:rFonts w:ascii="Segoe UI Semibold" w:eastAsiaTheme="majorEastAsia" w:hAnsi="Segoe UI Semibold" w:cs="Segoe UI Semibold"/>
          <w:color w:val="0D5761" w:themeColor="accent2"/>
          <w:sz w:val="32"/>
          <w:szCs w:val="32"/>
        </w:rPr>
      </w:pPr>
      <w:r>
        <w:rPr>
          <w:rFonts w:ascii="Segoe UI Semibold" w:eastAsiaTheme="majorEastAsia" w:hAnsi="Segoe UI Semibold" w:cs="Segoe UI Semibold"/>
          <w:color w:val="0D5761" w:themeColor="accent2"/>
          <w:sz w:val="32"/>
          <w:szCs w:val="32"/>
        </w:rPr>
        <w:t>Does this apply to special education community complaints?</w:t>
      </w:r>
    </w:p>
    <w:p w14:paraId="20044940" w14:textId="6046817E" w:rsidR="6931612C" w:rsidRDefault="00A673A1" w:rsidP="00A455C6">
      <w:pPr>
        <w:spacing w:before="100" w:beforeAutospacing="1" w:after="100" w:afterAutospacing="1" w:line="240" w:lineRule="auto"/>
        <w:rPr>
          <w:rFonts w:eastAsia="Times New Roman"/>
        </w:rPr>
      </w:pPr>
      <w:r w:rsidRPr="6931612C">
        <w:rPr>
          <w:rFonts w:eastAsia="Times New Roman"/>
        </w:rPr>
        <w:t>SB 5883 specifically changes the burden of proof in due process hearings. In a special education community complaint, there is no burden of proof; rather, the obligation is on OSPI to conduct an independent investigation. SB 5883 has no impact on special education community complaints.</w:t>
      </w:r>
    </w:p>
    <w:p w14:paraId="26835C5A" w14:textId="3AD50E87" w:rsidR="00B708B9" w:rsidRDefault="00B708B9" w:rsidP="00B64800">
      <w:pPr>
        <w:spacing w:before="100" w:beforeAutospacing="1" w:after="100" w:afterAutospacing="1" w:line="240" w:lineRule="auto"/>
        <w:rPr>
          <w:rFonts w:ascii="Segoe UI Semibold" w:eastAsiaTheme="majorEastAsia" w:hAnsi="Segoe UI Semibold" w:cs="Segoe UI Semibold"/>
          <w:color w:val="0D5761" w:themeColor="accent2"/>
          <w:sz w:val="32"/>
          <w:szCs w:val="32"/>
        </w:rPr>
      </w:pPr>
      <w:r>
        <w:rPr>
          <w:rFonts w:ascii="Segoe UI Semibold" w:eastAsiaTheme="majorEastAsia" w:hAnsi="Segoe UI Semibold" w:cs="Segoe UI Semibold"/>
          <w:color w:val="0D5761" w:themeColor="accent2"/>
          <w:sz w:val="32"/>
          <w:szCs w:val="32"/>
        </w:rPr>
        <w:t xml:space="preserve">What other states put the burden of proof on </w:t>
      </w:r>
      <w:r w:rsidR="00AF3F51">
        <w:rPr>
          <w:rFonts w:ascii="Segoe UI Semibold" w:eastAsiaTheme="majorEastAsia" w:hAnsi="Segoe UI Semibold" w:cs="Segoe UI Semibold"/>
          <w:color w:val="0D5761" w:themeColor="accent2"/>
          <w:sz w:val="32"/>
          <w:szCs w:val="32"/>
        </w:rPr>
        <w:t>districts?</w:t>
      </w:r>
    </w:p>
    <w:p w14:paraId="7A4E1696" w14:textId="7F0BDFC9" w:rsidR="00144802" w:rsidRDefault="00392105" w:rsidP="00A455C6">
      <w:pPr>
        <w:pStyle w:val="paragraph"/>
        <w:spacing w:before="0" w:beforeAutospacing="0" w:after="0" w:afterAutospacing="0"/>
        <w:textAlignment w:val="baseline"/>
        <w:rPr>
          <w:rStyle w:val="normaltextrun"/>
          <w:rFonts w:ascii="Segoe UI" w:eastAsiaTheme="majorEastAsia" w:hAnsi="Segoe UI" w:cs="Segoe UI"/>
          <w:color w:val="000000"/>
          <w:sz w:val="22"/>
          <w:szCs w:val="22"/>
        </w:rPr>
        <w:sectPr w:rsidR="00144802" w:rsidSect="00D434FC">
          <w:headerReference w:type="even" r:id="rId17"/>
          <w:footerReference w:type="default" r:id="rId18"/>
          <w:headerReference w:type="first" r:id="rId19"/>
          <w:footerReference w:type="first" r:id="rId20"/>
          <w:type w:val="continuous"/>
          <w:pgSz w:w="12240" w:h="15840"/>
          <w:pgMar w:top="1440" w:right="1440" w:bottom="1440" w:left="1440" w:header="720" w:footer="720" w:gutter="0"/>
          <w:cols w:space="720"/>
          <w:titlePg/>
          <w:docGrid w:linePitch="360"/>
        </w:sectPr>
      </w:pPr>
      <w:r w:rsidRPr="6931612C">
        <w:rPr>
          <w:rStyle w:val="normaltextrun"/>
          <w:rFonts w:ascii="Segoe UI" w:hAnsi="Segoe UI" w:cs="Segoe UI"/>
          <w:sz w:val="22"/>
          <w:szCs w:val="22"/>
        </w:rPr>
        <w:t>Washington joins six other states that have specifically put the burden of proof on the school district, these other states include:</w:t>
      </w:r>
    </w:p>
    <w:p w14:paraId="6DAC0367" w14:textId="0E0A4894" w:rsidR="00FB1AC1" w:rsidRDefault="00392105" w:rsidP="00FB1AC1">
      <w:pPr>
        <w:pStyle w:val="paragraph"/>
        <w:numPr>
          <w:ilvl w:val="0"/>
          <w:numId w:val="11"/>
        </w:numPr>
        <w:spacing w:before="0" w:beforeAutospacing="0" w:after="0" w:afterAutospacing="0"/>
        <w:textAlignment w:val="baseline"/>
        <w:rPr>
          <w:rFonts w:ascii="Segoe UI" w:hAnsi="Segoe UI" w:cs="Segoe UI"/>
          <w:sz w:val="22"/>
          <w:szCs w:val="22"/>
        </w:rPr>
      </w:pPr>
      <w:r>
        <w:rPr>
          <w:rStyle w:val="normaltextrun"/>
          <w:rFonts w:ascii="Segoe UI" w:eastAsiaTheme="majorEastAsia" w:hAnsi="Segoe UI" w:cs="Segoe UI"/>
          <w:color w:val="000000"/>
          <w:sz w:val="22"/>
          <w:szCs w:val="22"/>
        </w:rPr>
        <w:t>Connecticut</w:t>
      </w:r>
      <w:r>
        <w:rPr>
          <w:rStyle w:val="FootnoteReference"/>
          <w:rFonts w:ascii="Segoe UI" w:eastAsiaTheme="majorEastAsia" w:hAnsi="Segoe UI" w:cs="Segoe UI"/>
          <w:color w:val="000000"/>
          <w:sz w:val="22"/>
          <w:szCs w:val="22"/>
        </w:rPr>
        <w:footnoteReference w:id="3"/>
      </w:r>
      <w:r>
        <w:rPr>
          <w:rStyle w:val="normaltextrun"/>
          <w:rFonts w:ascii="Segoe UI" w:eastAsiaTheme="majorEastAsia" w:hAnsi="Segoe UI" w:cs="Segoe UI"/>
          <w:color w:val="000000"/>
          <w:sz w:val="22"/>
          <w:szCs w:val="22"/>
        </w:rPr>
        <w:t xml:space="preserve"> </w:t>
      </w:r>
    </w:p>
    <w:p w14:paraId="45AA3701" w14:textId="77777777" w:rsidR="00FB1AC1" w:rsidRDefault="00392105" w:rsidP="00FB1AC1">
      <w:pPr>
        <w:pStyle w:val="paragraph"/>
        <w:numPr>
          <w:ilvl w:val="0"/>
          <w:numId w:val="11"/>
        </w:numPr>
        <w:spacing w:before="0" w:beforeAutospacing="0" w:after="0" w:afterAutospacing="0"/>
        <w:textAlignment w:val="baseline"/>
        <w:rPr>
          <w:rFonts w:ascii="Segoe UI" w:hAnsi="Segoe UI" w:cs="Segoe UI"/>
          <w:sz w:val="22"/>
          <w:szCs w:val="22"/>
        </w:rPr>
      </w:pPr>
      <w:r w:rsidRPr="00FB1AC1">
        <w:rPr>
          <w:rStyle w:val="normaltextrun"/>
          <w:rFonts w:ascii="Segoe UI" w:eastAsiaTheme="majorEastAsia" w:hAnsi="Segoe UI" w:cs="Segoe UI"/>
          <w:color w:val="000000"/>
          <w:sz w:val="22"/>
          <w:szCs w:val="22"/>
        </w:rPr>
        <w:lastRenderedPageBreak/>
        <w:t>New York</w:t>
      </w:r>
      <w:r>
        <w:rPr>
          <w:rStyle w:val="FootnoteReference"/>
          <w:rFonts w:ascii="Segoe UI" w:eastAsiaTheme="majorEastAsia" w:hAnsi="Segoe UI" w:cs="Segoe UI"/>
          <w:color w:val="000000"/>
          <w:sz w:val="22"/>
          <w:szCs w:val="22"/>
        </w:rPr>
        <w:footnoteReference w:id="4"/>
      </w:r>
    </w:p>
    <w:p w14:paraId="62E4343E" w14:textId="77777777" w:rsidR="00FB1AC1" w:rsidRDefault="00392105" w:rsidP="00FB1AC1">
      <w:pPr>
        <w:pStyle w:val="paragraph"/>
        <w:numPr>
          <w:ilvl w:val="0"/>
          <w:numId w:val="11"/>
        </w:numPr>
        <w:spacing w:before="0" w:beforeAutospacing="0" w:after="0" w:afterAutospacing="0"/>
        <w:textAlignment w:val="baseline"/>
        <w:rPr>
          <w:rFonts w:ascii="Segoe UI" w:hAnsi="Segoe UI" w:cs="Segoe UI"/>
          <w:sz w:val="22"/>
          <w:szCs w:val="22"/>
        </w:rPr>
      </w:pPr>
      <w:r w:rsidRPr="00FB1AC1">
        <w:rPr>
          <w:rStyle w:val="normaltextrun"/>
          <w:rFonts w:ascii="Segoe UI" w:eastAsiaTheme="majorEastAsia" w:hAnsi="Segoe UI" w:cs="Segoe UI"/>
          <w:color w:val="000000"/>
          <w:sz w:val="22"/>
          <w:szCs w:val="22"/>
        </w:rPr>
        <w:t>New Jersey</w:t>
      </w:r>
      <w:r w:rsidRPr="00FB1AC1">
        <w:rPr>
          <w:rStyle w:val="eop"/>
          <w:rFonts w:ascii="Segoe UI" w:hAnsi="Segoe UI" w:cs="Segoe UI"/>
          <w:color w:val="000000"/>
          <w:sz w:val="22"/>
          <w:szCs w:val="22"/>
        </w:rPr>
        <w:t> </w:t>
      </w:r>
    </w:p>
    <w:p w14:paraId="0D34B34C" w14:textId="77777777" w:rsidR="00FB1AC1" w:rsidRDefault="00392105" w:rsidP="00FB1AC1">
      <w:pPr>
        <w:pStyle w:val="paragraph"/>
        <w:numPr>
          <w:ilvl w:val="0"/>
          <w:numId w:val="11"/>
        </w:numPr>
        <w:spacing w:before="0" w:beforeAutospacing="0" w:after="0" w:afterAutospacing="0"/>
        <w:textAlignment w:val="baseline"/>
        <w:rPr>
          <w:rFonts w:ascii="Segoe UI" w:hAnsi="Segoe UI" w:cs="Segoe UI"/>
          <w:sz w:val="22"/>
          <w:szCs w:val="22"/>
        </w:rPr>
      </w:pPr>
      <w:r w:rsidRPr="00FB1AC1">
        <w:rPr>
          <w:rStyle w:val="normaltextrun"/>
          <w:rFonts w:ascii="Segoe UI" w:eastAsiaTheme="majorEastAsia" w:hAnsi="Segoe UI" w:cs="Segoe UI"/>
          <w:color w:val="000000"/>
          <w:sz w:val="22"/>
          <w:szCs w:val="22"/>
        </w:rPr>
        <w:t>Delaware</w:t>
      </w:r>
      <w:r w:rsidRPr="00FB1AC1">
        <w:rPr>
          <w:rStyle w:val="eop"/>
          <w:rFonts w:ascii="Segoe UI" w:hAnsi="Segoe UI" w:cs="Segoe UI"/>
          <w:color w:val="000000"/>
          <w:sz w:val="22"/>
          <w:szCs w:val="22"/>
        </w:rPr>
        <w:t> </w:t>
      </w:r>
    </w:p>
    <w:p w14:paraId="368E33D2" w14:textId="3B8F0F63" w:rsidR="00FB1AC1" w:rsidRDefault="00392105" w:rsidP="00FB1AC1">
      <w:pPr>
        <w:pStyle w:val="paragraph"/>
        <w:numPr>
          <w:ilvl w:val="0"/>
          <w:numId w:val="11"/>
        </w:numPr>
        <w:spacing w:before="0" w:beforeAutospacing="0" w:after="0" w:afterAutospacing="0"/>
        <w:textAlignment w:val="baseline"/>
        <w:rPr>
          <w:rFonts w:ascii="Segoe UI" w:hAnsi="Segoe UI" w:cs="Segoe UI"/>
          <w:sz w:val="22"/>
          <w:szCs w:val="22"/>
        </w:rPr>
      </w:pPr>
      <w:r w:rsidRPr="00FB1AC1">
        <w:rPr>
          <w:rStyle w:val="normaltextrun"/>
          <w:rFonts w:ascii="Segoe UI" w:eastAsiaTheme="majorEastAsia" w:hAnsi="Segoe UI" w:cs="Segoe UI"/>
          <w:color w:val="000000"/>
          <w:sz w:val="22"/>
          <w:szCs w:val="22"/>
        </w:rPr>
        <w:t xml:space="preserve">New Hampshire </w:t>
      </w:r>
    </w:p>
    <w:p w14:paraId="0A4DC8BC" w14:textId="69731E63" w:rsidR="00392105" w:rsidRPr="00310EDF" w:rsidRDefault="00392105" w:rsidP="00310EDF">
      <w:pPr>
        <w:pStyle w:val="paragraph"/>
        <w:numPr>
          <w:ilvl w:val="0"/>
          <w:numId w:val="11"/>
        </w:numPr>
        <w:spacing w:before="0" w:beforeAutospacing="0" w:after="0" w:afterAutospacing="0"/>
        <w:textAlignment w:val="baseline"/>
        <w:rPr>
          <w:rFonts w:ascii="Segoe UI" w:hAnsi="Segoe UI" w:cs="Segoe UI"/>
          <w:sz w:val="22"/>
          <w:szCs w:val="22"/>
        </w:rPr>
      </w:pPr>
      <w:r w:rsidRPr="00FB1AC1">
        <w:rPr>
          <w:rStyle w:val="normaltextrun"/>
          <w:rFonts w:ascii="Segoe UI" w:eastAsiaTheme="majorEastAsia" w:hAnsi="Segoe UI" w:cs="Segoe UI"/>
          <w:color w:val="000000"/>
          <w:sz w:val="22"/>
          <w:szCs w:val="22"/>
        </w:rPr>
        <w:t>West Virginia</w:t>
      </w:r>
      <w:r w:rsidRPr="00FB1AC1">
        <w:rPr>
          <w:rStyle w:val="eop"/>
          <w:rFonts w:ascii="Segoe UI" w:hAnsi="Segoe UI" w:cs="Segoe UI"/>
          <w:color w:val="000000"/>
          <w:sz w:val="22"/>
          <w:szCs w:val="22"/>
        </w:rPr>
        <w:t> </w:t>
      </w:r>
    </w:p>
    <w:p w14:paraId="20C57F97" w14:textId="77777777" w:rsidR="00144802" w:rsidRDefault="00144802" w:rsidP="00B64800">
      <w:pPr>
        <w:spacing w:before="100" w:beforeAutospacing="1" w:after="100" w:afterAutospacing="1" w:line="240" w:lineRule="auto"/>
        <w:rPr>
          <w:rFonts w:ascii="Segoe UI Semibold" w:eastAsiaTheme="majorEastAsia" w:hAnsi="Segoe UI Semibold" w:cs="Segoe UI Semibold"/>
          <w:color w:val="0D5761" w:themeColor="accent2"/>
          <w:sz w:val="32"/>
          <w:szCs w:val="32"/>
        </w:rPr>
        <w:sectPr w:rsidR="00144802" w:rsidSect="00D434FC">
          <w:type w:val="continuous"/>
          <w:pgSz w:w="12240" w:h="15840"/>
          <w:pgMar w:top="1440" w:right="1440" w:bottom="1440" w:left="1440" w:header="720" w:footer="720" w:gutter="0"/>
          <w:cols w:num="2" w:space="720"/>
          <w:titlePg/>
          <w:docGrid w:linePitch="360"/>
        </w:sectPr>
      </w:pPr>
    </w:p>
    <w:p w14:paraId="0889E399" w14:textId="77777777" w:rsidR="00144802" w:rsidRDefault="00144802" w:rsidP="00144802">
      <w:pPr>
        <w:spacing w:after="0" w:line="240" w:lineRule="auto"/>
        <w:rPr>
          <w:rFonts w:ascii="Segoe UI Semibold" w:eastAsiaTheme="majorEastAsia" w:hAnsi="Segoe UI Semibold" w:cs="Segoe UI Semibold"/>
          <w:color w:val="0D5761" w:themeColor="accent2"/>
          <w:sz w:val="32"/>
          <w:szCs w:val="32"/>
        </w:rPr>
      </w:pPr>
    </w:p>
    <w:p w14:paraId="1CBC1C69" w14:textId="77777777" w:rsidR="00F74BDD" w:rsidRDefault="00F74BDD">
      <w:pPr>
        <w:rPr>
          <w:rFonts w:ascii="Segoe UI Semibold" w:eastAsiaTheme="majorEastAsia" w:hAnsi="Segoe UI Semibold" w:cs="Segoe UI Semibold"/>
          <w:color w:val="0D5761" w:themeColor="accent2"/>
          <w:sz w:val="32"/>
          <w:szCs w:val="32"/>
        </w:rPr>
      </w:pPr>
      <w:r>
        <w:rPr>
          <w:rFonts w:ascii="Segoe UI Semibold" w:eastAsiaTheme="majorEastAsia" w:hAnsi="Segoe UI Semibold" w:cs="Segoe UI Semibold"/>
          <w:color w:val="0D5761" w:themeColor="accent2"/>
          <w:sz w:val="32"/>
          <w:szCs w:val="32"/>
        </w:rPr>
        <w:br w:type="page"/>
      </w:r>
    </w:p>
    <w:p w14:paraId="5C4E6109" w14:textId="2CBAFE57" w:rsidR="00D10CC2" w:rsidRDefault="00D10CC2" w:rsidP="00144802">
      <w:pPr>
        <w:spacing w:after="100" w:afterAutospacing="1" w:line="240" w:lineRule="auto"/>
        <w:rPr>
          <w:rFonts w:ascii="Segoe UI Semibold" w:eastAsiaTheme="majorEastAsia" w:hAnsi="Segoe UI Semibold" w:cs="Segoe UI Semibold"/>
          <w:color w:val="0D5761" w:themeColor="accent2"/>
          <w:sz w:val="32"/>
          <w:szCs w:val="32"/>
        </w:rPr>
      </w:pPr>
      <w:r>
        <w:rPr>
          <w:rFonts w:ascii="Segoe UI Semibold" w:eastAsiaTheme="majorEastAsia" w:hAnsi="Segoe UI Semibold" w:cs="Segoe UI Semibold"/>
          <w:color w:val="0D5761" w:themeColor="accent2"/>
          <w:sz w:val="32"/>
          <w:szCs w:val="32"/>
        </w:rPr>
        <w:lastRenderedPageBreak/>
        <w:t>What resources are available?</w:t>
      </w:r>
    </w:p>
    <w:p w14:paraId="22D739D9" w14:textId="304E2E9A" w:rsidR="009F290C" w:rsidRPr="009F290C" w:rsidRDefault="009F290C" w:rsidP="00D2643A">
      <w:pPr>
        <w:rPr>
          <w:rStyle w:val="normaltextrun"/>
        </w:rPr>
      </w:pPr>
      <w:r>
        <w:t xml:space="preserve">For more on what the burden of proof is and a survey of the law in the US, see: </w:t>
      </w:r>
      <w:hyperlink r:id="rId21" w:history="1">
        <w:r w:rsidRPr="00D2643A">
          <w:rPr>
            <w:rStyle w:val="Hyperlink"/>
            <w:rFonts w:eastAsiaTheme="majorEastAsia"/>
            <w:shd w:val="clear" w:color="auto" w:fill="FFFFFF"/>
          </w:rPr>
          <w:t>Allocating the Burden of Proof in Administrative and Judicial Proceedings under the IDEA</w:t>
        </w:r>
      </w:hyperlink>
      <w:r w:rsidRPr="00D2643A">
        <w:rPr>
          <w:rStyle w:val="normaltextrun"/>
          <w:color w:val="000000"/>
        </w:rPr>
        <w:t xml:space="preserve"> (Mayes, Zirkel, Huefner, 2005)</w:t>
      </w:r>
      <w:r w:rsidRPr="00BB4C82">
        <w:t xml:space="preserve"> </w:t>
      </w:r>
      <w:r w:rsidRPr="00D2643A">
        <w:rPr>
          <w:rStyle w:val="normaltextrun"/>
          <w:color w:val="000000"/>
          <w:shd w:val="clear" w:color="auto" w:fill="FFFFFF"/>
        </w:rPr>
        <w:t xml:space="preserve">and </w:t>
      </w:r>
      <w:hyperlink r:id="rId22" w:tgtFrame="_blank" w:history="1">
        <w:r w:rsidRPr="00D2643A">
          <w:rPr>
            <w:rStyle w:val="normaltextrun"/>
            <w:color w:val="0563C1"/>
            <w:u w:val="single"/>
            <w:shd w:val="clear" w:color="auto" w:fill="FFFFFF"/>
          </w:rPr>
          <w:t>“Who Has the Burden of Persuasion in Impartial Hearings Under the IDEA”</w:t>
        </w:r>
      </w:hyperlink>
      <w:r w:rsidRPr="00D2643A">
        <w:rPr>
          <w:rStyle w:val="normaltextrun"/>
          <w:color w:val="000000"/>
          <w:shd w:val="clear" w:color="auto" w:fill="FFFFFF"/>
        </w:rPr>
        <w:t xml:space="preserve"> (Zirkel, 2012)</w:t>
      </w:r>
      <w:r w:rsidR="00F74BDD">
        <w:rPr>
          <w:rStyle w:val="normaltextrun"/>
          <w:color w:val="000000"/>
          <w:shd w:val="clear" w:color="auto" w:fill="FFFFFF"/>
        </w:rPr>
        <w:t>.</w:t>
      </w:r>
    </w:p>
    <w:p w14:paraId="093AAE5D" w14:textId="771DE3CE" w:rsidR="00D2643A" w:rsidRDefault="006569C3" w:rsidP="00257AF1">
      <w:r>
        <w:t xml:space="preserve">Districts </w:t>
      </w:r>
      <w:r w:rsidR="001643F2">
        <w:t>should</w:t>
      </w:r>
      <w:r>
        <w:t xml:space="preserve"> consider professional development </w:t>
      </w:r>
      <w:r w:rsidR="001643F2">
        <w:t>related to engaging families and addressing potential conflict before it gets to a formal complaint or due process. Resources include:</w:t>
      </w:r>
      <w:r w:rsidR="00D2643A">
        <w:t xml:space="preserve"> </w:t>
      </w:r>
    </w:p>
    <w:p w14:paraId="44330A74" w14:textId="1C7B95A7" w:rsidR="00D2643A" w:rsidRDefault="00000000" w:rsidP="00D2643A">
      <w:pPr>
        <w:pStyle w:val="ListParagraph"/>
        <w:numPr>
          <w:ilvl w:val="0"/>
          <w:numId w:val="13"/>
        </w:numPr>
      </w:pPr>
      <w:hyperlink r:id="rId23" w:history="1">
        <w:r w:rsidR="004F58BC" w:rsidRPr="002449D3">
          <w:rPr>
            <w:rStyle w:val="Hyperlink"/>
          </w:rPr>
          <w:t>The Transformative Power of Engaging Parents as Partners</w:t>
        </w:r>
      </w:hyperlink>
      <w:r w:rsidR="004F58BC">
        <w:t>: CADRE Webinar with Poway Unified School District, California – “</w:t>
      </w:r>
      <w:r w:rsidR="004F58BC" w:rsidRPr="00035F05">
        <w:t>Learn how Poway Unified School District completely transformed their relationships with families, re-established trust, and even more importantly, improved students’ learning experiences. Their intentional efforts to engage parents as partners also helped save the district millions of dollars in attorney fees and settlement costs.</w:t>
      </w:r>
      <w:r w:rsidR="00F74BDD">
        <w:t xml:space="preserve"> </w:t>
      </w:r>
      <w:r w:rsidR="004F58BC" w:rsidRPr="00035F05">
        <w:t>Their hope is that by continuing to partner with parents, staff can spend less time and energy embroiled in conflict and more time and energy exploring ways to continuously improve students’ learning experiences.</w:t>
      </w:r>
      <w:r w:rsidR="004F58BC">
        <w:t>”</w:t>
      </w:r>
    </w:p>
    <w:p w14:paraId="248C9F07" w14:textId="77777777" w:rsidR="00D2643A" w:rsidRDefault="00D2643A" w:rsidP="00D2643A">
      <w:pPr>
        <w:pStyle w:val="ListParagraph"/>
      </w:pPr>
    </w:p>
    <w:p w14:paraId="61DB9C56" w14:textId="3605264B" w:rsidR="00D2643A" w:rsidRPr="00D2643A" w:rsidRDefault="00000000" w:rsidP="00D2643A">
      <w:pPr>
        <w:pStyle w:val="ListParagraph"/>
        <w:numPr>
          <w:ilvl w:val="0"/>
          <w:numId w:val="13"/>
        </w:numPr>
        <w:rPr>
          <w:rStyle w:val="element-invisible"/>
        </w:rPr>
      </w:pPr>
      <w:hyperlink r:id="rId24" w:anchor="/registration" w:history="1">
        <w:r w:rsidR="000A00A0" w:rsidRPr="00D2643A">
          <w:rPr>
            <w:rStyle w:val="Hyperlink"/>
          </w:rPr>
          <w:t>Deconstructing Our Conflict Story: It Takes Vision and Leadership:</w:t>
        </w:r>
      </w:hyperlink>
      <w:r w:rsidR="000A00A0" w:rsidRPr="00D2643A">
        <w:t xml:space="preserve"> CADRE Webinar coming up on May 10, 2024</w:t>
      </w:r>
      <w:r w:rsidR="00560A24">
        <w:t>,</w:t>
      </w:r>
      <w:r w:rsidR="000A00A0" w:rsidRPr="00D2643A">
        <w:t xml:space="preserve"> at 10 am. Join Greg Abell and Carlo Rossi, Sound Options Group, LLC; and Greg Mizel and Jodi Payne, Poway Unified School District</w:t>
      </w:r>
      <w:r w:rsidR="00522813" w:rsidRPr="00D2643A">
        <w:t>. “</w:t>
      </w:r>
      <w:r w:rsidR="00294AEF" w:rsidRPr="00D2643A">
        <w:t>In this webinar, presenters will identify the shift in the Narrative of Special Education, then describe characteristics of the current story, and illustrate the cost of what has become for many, a polarizing conflict story.</w:t>
      </w:r>
      <w:r w:rsidR="00F74BDD">
        <w:t xml:space="preserve"> </w:t>
      </w:r>
      <w:r w:rsidR="00294AEF" w:rsidRPr="00D2643A">
        <w:t>We will revisit the work of the Poway Unified School District introduced in a 2022 CADRE webinar.</w:t>
      </w:r>
      <w:r w:rsidR="00F74BDD">
        <w:t xml:space="preserve"> </w:t>
      </w:r>
      <w:r w:rsidR="00294AEF" w:rsidRPr="00D2643A">
        <w:t xml:space="preserve">At that time, the presenters shared the work they have been doing to change their </w:t>
      </w:r>
      <w:r w:rsidR="00560A24">
        <w:t>district's</w:t>
      </w:r>
      <w:r w:rsidR="00294AEF" w:rsidRPr="00D2643A">
        <w:t xml:space="preserve"> story and their commitment to building healthy relationships with families by taking a systems approach.</w:t>
      </w:r>
      <w:r w:rsidR="00F74BDD">
        <w:t xml:space="preserve"> </w:t>
      </w:r>
      <w:r w:rsidR="00294AEF" w:rsidRPr="00D2643A">
        <w:t>In this webinar</w:t>
      </w:r>
      <w:r w:rsidR="00C43DE8">
        <w:t>,</w:t>
      </w:r>
      <w:r w:rsidR="00294AEF" w:rsidRPr="00D2643A">
        <w:t xml:space="preserve"> we will invite them to reflect on a third factor we believe to be critical to their success: the changes they initiated called for vision and strong leadership.</w:t>
      </w:r>
      <w:r w:rsidR="00F74BDD">
        <w:t xml:space="preserve"> </w:t>
      </w:r>
      <w:r w:rsidR="00294AEF" w:rsidRPr="00D2643A">
        <w:t>They will identify and describe the challenges they faced and the leadership competencies essential to their success.</w:t>
      </w:r>
      <w:r w:rsidR="00522813" w:rsidRPr="00D2643A">
        <w:t xml:space="preserve">” </w:t>
      </w:r>
      <w:hyperlink r:id="rId25" w:history="1">
        <w:r w:rsidR="000D71A1">
          <w:rPr>
            <w:rStyle w:val="element-invisible"/>
            <w:color w:val="075A99"/>
          </w:rPr>
          <w:t>Click Here to Register!</w:t>
        </w:r>
      </w:hyperlink>
    </w:p>
    <w:p w14:paraId="256C6A20" w14:textId="77777777" w:rsidR="00D2643A" w:rsidRPr="00D2643A" w:rsidRDefault="00D2643A" w:rsidP="00D2643A">
      <w:pPr>
        <w:pStyle w:val="ListParagraph"/>
        <w:rPr>
          <w:rStyle w:val="element-invisible"/>
        </w:rPr>
      </w:pPr>
    </w:p>
    <w:p w14:paraId="41E8763F" w14:textId="161FBC81" w:rsidR="00A8633B" w:rsidRPr="00D2643A" w:rsidRDefault="00D456A5" w:rsidP="00D2643A">
      <w:pPr>
        <w:pStyle w:val="ListParagraph"/>
        <w:numPr>
          <w:ilvl w:val="0"/>
          <w:numId w:val="13"/>
        </w:numPr>
      </w:pPr>
      <w:r w:rsidRPr="00D177EE">
        <w:rPr>
          <w:u w:val="single"/>
        </w:rPr>
        <w:t>Sound Options Group</w:t>
      </w:r>
      <w:r w:rsidR="00E82762" w:rsidRPr="00D2643A">
        <w:t xml:space="preserve">, under contract with OSPI, continues to offer resources supporting </w:t>
      </w:r>
      <w:r w:rsidR="00C43DE8">
        <w:t>LEAs</w:t>
      </w:r>
      <w:r w:rsidR="00E82762" w:rsidRPr="00D2643A">
        <w:t xml:space="preserve"> and families to effectively engage and navigate conflict prior to a Due Process Hearing.</w:t>
      </w:r>
      <w:r w:rsidR="00F74BDD">
        <w:t xml:space="preserve"> </w:t>
      </w:r>
      <w:r w:rsidR="00E82762" w:rsidRPr="00D2643A">
        <w:t>Both Mediation and IEP Facilitation are available to support effective communication and shared decision making in service of children and youth served under the IDEA.</w:t>
      </w:r>
      <w:r w:rsidR="00F74BDD">
        <w:t xml:space="preserve"> </w:t>
      </w:r>
      <w:r w:rsidR="00E82762" w:rsidRPr="00D2643A">
        <w:t>In addition, Sound Options Group provides a comprehensive menu of seminars focused on building individual and collective capacity at the local level in support of healthy conflict engagement.</w:t>
      </w:r>
      <w:r w:rsidR="00F74BDD">
        <w:t xml:space="preserve"> </w:t>
      </w:r>
      <w:r w:rsidR="00E82762" w:rsidRPr="00D2643A">
        <w:t>These offerings are organized and delivered in the context of a Multi-Tiered System of Support (MTSS).</w:t>
      </w:r>
    </w:p>
    <w:p w14:paraId="25BC0F11" w14:textId="16488D25" w:rsidR="00E82762" w:rsidRPr="00A8633B" w:rsidRDefault="00E82762" w:rsidP="00A8633B">
      <w:pPr>
        <w:pStyle w:val="Heading1"/>
        <w:numPr>
          <w:ilvl w:val="1"/>
          <w:numId w:val="8"/>
        </w:numPr>
        <w:spacing w:before="0" w:line="295" w:lineRule="atLeast"/>
        <w:rPr>
          <w:rFonts w:ascii="Segoe UI" w:eastAsiaTheme="minorHAnsi" w:hAnsi="Segoe UI" w:cs="Segoe UI"/>
          <w:color w:val="auto"/>
          <w:sz w:val="22"/>
          <w:szCs w:val="22"/>
        </w:rPr>
      </w:pPr>
      <w:r w:rsidRPr="00A8633B">
        <w:rPr>
          <w:rFonts w:ascii="Segoe UI" w:hAnsi="Segoe UI" w:cs="Segoe UI"/>
          <w:color w:val="auto"/>
          <w:sz w:val="22"/>
          <w:szCs w:val="22"/>
        </w:rPr>
        <w:lastRenderedPageBreak/>
        <w:t>Tier 1 seminars are designed for individuals to develop confidence and competence for dealing with conflict.</w:t>
      </w:r>
      <w:r w:rsidR="00F74BDD">
        <w:rPr>
          <w:rFonts w:ascii="Segoe UI" w:hAnsi="Segoe UI" w:cs="Segoe UI"/>
          <w:color w:val="auto"/>
          <w:sz w:val="22"/>
          <w:szCs w:val="22"/>
        </w:rPr>
        <w:t xml:space="preserve"> </w:t>
      </w:r>
      <w:r w:rsidRPr="00A8633B">
        <w:rPr>
          <w:rFonts w:ascii="Segoe UI" w:hAnsi="Segoe UI" w:cs="Segoe UI"/>
          <w:color w:val="auto"/>
          <w:sz w:val="22"/>
          <w:szCs w:val="22"/>
        </w:rPr>
        <w:t>Examples include:</w:t>
      </w:r>
    </w:p>
    <w:p w14:paraId="3A9AC409" w14:textId="77777777" w:rsidR="00E82762" w:rsidRPr="00E82762" w:rsidRDefault="00E82762" w:rsidP="00A8633B">
      <w:pPr>
        <w:pStyle w:val="ListParagraph"/>
        <w:numPr>
          <w:ilvl w:val="2"/>
          <w:numId w:val="12"/>
        </w:numPr>
        <w:spacing w:after="0" w:line="240" w:lineRule="auto"/>
      </w:pPr>
      <w:r w:rsidRPr="00E82762">
        <w:t>Engaging Challenging Conversations</w:t>
      </w:r>
    </w:p>
    <w:p w14:paraId="5E5F6456" w14:textId="77777777" w:rsidR="00E82762" w:rsidRPr="00E82762" w:rsidRDefault="00E82762" w:rsidP="00A8633B">
      <w:pPr>
        <w:pStyle w:val="ListParagraph"/>
        <w:numPr>
          <w:ilvl w:val="2"/>
          <w:numId w:val="12"/>
        </w:numPr>
        <w:spacing w:after="0" w:line="240" w:lineRule="auto"/>
      </w:pPr>
      <w:r w:rsidRPr="00E82762">
        <w:t>Leading Through Change and Conflict</w:t>
      </w:r>
    </w:p>
    <w:p w14:paraId="5401FDEF" w14:textId="77777777" w:rsidR="00A8633B" w:rsidRDefault="00E82762" w:rsidP="00A8633B">
      <w:pPr>
        <w:pStyle w:val="ListParagraph"/>
        <w:numPr>
          <w:ilvl w:val="2"/>
          <w:numId w:val="12"/>
        </w:numPr>
        <w:spacing w:after="0" w:line="240" w:lineRule="auto"/>
      </w:pPr>
      <w:r w:rsidRPr="00E82762">
        <w:t>Foundations of Effective Teaming</w:t>
      </w:r>
    </w:p>
    <w:p w14:paraId="6792DFE7" w14:textId="42F22483" w:rsidR="00E82762" w:rsidRPr="00E82762" w:rsidRDefault="00E82762" w:rsidP="00A8633B">
      <w:pPr>
        <w:pStyle w:val="ListParagraph"/>
        <w:numPr>
          <w:ilvl w:val="1"/>
          <w:numId w:val="12"/>
        </w:numPr>
        <w:spacing w:after="0" w:line="240" w:lineRule="auto"/>
      </w:pPr>
      <w:r w:rsidRPr="00E82762">
        <w:t xml:space="preserve">Tier 2 seminars are designed for individuals who want to build skills for supporting others to engage </w:t>
      </w:r>
      <w:r w:rsidR="000D22A1">
        <w:t xml:space="preserve">in </w:t>
      </w:r>
      <w:r w:rsidRPr="00E82762">
        <w:t>conflict and creating local systemic capacity in support of collaboration. Examples include:</w:t>
      </w:r>
    </w:p>
    <w:p w14:paraId="08A487A6" w14:textId="6ADD23F8" w:rsidR="00E82762" w:rsidRPr="00E82762" w:rsidRDefault="00E82762" w:rsidP="00A8633B">
      <w:pPr>
        <w:pStyle w:val="ListParagraph"/>
        <w:numPr>
          <w:ilvl w:val="2"/>
          <w:numId w:val="12"/>
        </w:numPr>
        <w:spacing w:after="0" w:line="240" w:lineRule="auto"/>
      </w:pPr>
      <w:r w:rsidRPr="00E82762">
        <w:t>Operating From the Third Side:</w:t>
      </w:r>
      <w:r w:rsidR="00F74BDD">
        <w:t xml:space="preserve"> </w:t>
      </w:r>
      <w:r w:rsidRPr="00E82762">
        <w:t>Supporting Others to Navigate Conflict</w:t>
      </w:r>
    </w:p>
    <w:p w14:paraId="2AF49FE8" w14:textId="77777777" w:rsidR="00E82762" w:rsidRPr="00E82762" w:rsidRDefault="00E82762" w:rsidP="00A8633B">
      <w:pPr>
        <w:pStyle w:val="ListParagraph"/>
        <w:numPr>
          <w:ilvl w:val="2"/>
          <w:numId w:val="12"/>
        </w:numPr>
        <w:spacing w:after="0" w:line="240" w:lineRule="auto"/>
      </w:pPr>
      <w:r w:rsidRPr="00E82762">
        <w:t>Facilitation</w:t>
      </w:r>
    </w:p>
    <w:p w14:paraId="05A74E64" w14:textId="77777777" w:rsidR="00E82762" w:rsidRPr="00E82762" w:rsidRDefault="00E82762" w:rsidP="00A8633B">
      <w:pPr>
        <w:pStyle w:val="ListParagraph"/>
        <w:numPr>
          <w:ilvl w:val="2"/>
          <w:numId w:val="12"/>
        </w:numPr>
        <w:spacing w:after="0" w:line="240" w:lineRule="auto"/>
      </w:pPr>
      <w:r w:rsidRPr="00E82762">
        <w:t>IEP Facilitation</w:t>
      </w:r>
    </w:p>
    <w:p w14:paraId="7E771443" w14:textId="77777777" w:rsidR="00E82762" w:rsidRPr="00E82762" w:rsidRDefault="00E82762" w:rsidP="00A8633B">
      <w:pPr>
        <w:pStyle w:val="ListParagraph"/>
        <w:numPr>
          <w:ilvl w:val="2"/>
          <w:numId w:val="12"/>
        </w:numPr>
        <w:spacing w:after="0" w:line="240" w:lineRule="auto"/>
      </w:pPr>
      <w:r w:rsidRPr="00E82762">
        <w:t>Coaching</w:t>
      </w:r>
    </w:p>
    <w:p w14:paraId="7E590696" w14:textId="0D66FA87" w:rsidR="00E82762" w:rsidRDefault="00E82762" w:rsidP="00E82762">
      <w:pPr>
        <w:pStyle w:val="ListParagraph"/>
        <w:numPr>
          <w:ilvl w:val="2"/>
          <w:numId w:val="12"/>
        </w:numPr>
        <w:spacing w:after="0" w:line="240" w:lineRule="auto"/>
      </w:pPr>
      <w:r w:rsidRPr="00E82762">
        <w:t>Teaching Basic Conflict Engagement Skills</w:t>
      </w:r>
    </w:p>
    <w:p w14:paraId="0D6D3FB0" w14:textId="77777777" w:rsidR="00D2643A" w:rsidRPr="00E82762" w:rsidRDefault="00D2643A" w:rsidP="00D2643A">
      <w:pPr>
        <w:pStyle w:val="ListParagraph"/>
        <w:spacing w:after="0" w:line="240" w:lineRule="auto"/>
        <w:ind w:left="2160"/>
      </w:pPr>
    </w:p>
    <w:p w14:paraId="385E9FA1" w14:textId="021C664A" w:rsidR="00E82762" w:rsidRPr="00E82762" w:rsidRDefault="00E82762" w:rsidP="00257AF1">
      <w:pPr>
        <w:ind w:left="360"/>
      </w:pPr>
      <w:r w:rsidRPr="00E82762">
        <w:t>For more information contact Greg Abell, Sound Options Group at 206</w:t>
      </w:r>
      <w:r w:rsidR="00560A24">
        <w:t>-</w:t>
      </w:r>
      <w:r w:rsidRPr="00E82762">
        <w:t>842</w:t>
      </w:r>
      <w:r w:rsidR="00560A24">
        <w:t>-</w:t>
      </w:r>
      <w:r w:rsidRPr="00E82762">
        <w:t>2298 or 800</w:t>
      </w:r>
      <w:r w:rsidR="00560A24">
        <w:t>-</w:t>
      </w:r>
      <w:r w:rsidRPr="00E82762">
        <w:t>692</w:t>
      </w:r>
      <w:r w:rsidR="00560A24">
        <w:t>-</w:t>
      </w:r>
      <w:r w:rsidRPr="00E82762">
        <w:t xml:space="preserve">2540 or go to </w:t>
      </w:r>
      <w:hyperlink r:id="rId26" w:history="1">
        <w:r w:rsidRPr="00E82762">
          <w:rPr>
            <w:rStyle w:val="Hyperlink"/>
          </w:rPr>
          <w:t>https://somtg.com/ospi-professional-development-calendar/</w:t>
        </w:r>
      </w:hyperlink>
      <w:r w:rsidRPr="00E82762">
        <w:t xml:space="preserve"> for a calendar of current offerings.</w:t>
      </w:r>
    </w:p>
    <w:p w14:paraId="756D4D67" w14:textId="77777777" w:rsidR="00E82762" w:rsidRPr="00E82762" w:rsidRDefault="00E82762" w:rsidP="00E82762"/>
    <w:sectPr w:rsidR="00E82762" w:rsidRPr="00E82762" w:rsidSect="00D434FC">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376787" w14:textId="77777777" w:rsidR="00D434FC" w:rsidRDefault="00D434FC" w:rsidP="006059B4">
      <w:pPr>
        <w:spacing w:after="0" w:line="240" w:lineRule="auto"/>
      </w:pPr>
      <w:r>
        <w:separator/>
      </w:r>
    </w:p>
  </w:endnote>
  <w:endnote w:type="continuationSeparator" w:id="0">
    <w:p w14:paraId="2DAD07A7" w14:textId="77777777" w:rsidR="00D434FC" w:rsidRDefault="00D434FC" w:rsidP="006059B4">
      <w:pPr>
        <w:spacing w:after="0" w:line="240" w:lineRule="auto"/>
      </w:pPr>
      <w:r>
        <w:continuationSeparator/>
      </w:r>
    </w:p>
  </w:endnote>
  <w:endnote w:type="continuationNotice" w:id="1">
    <w:p w14:paraId="69B83C73" w14:textId="77777777" w:rsidR="00D434FC" w:rsidRDefault="00D434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96B315" w14:textId="77777777" w:rsidR="00AC3EDD" w:rsidRDefault="00AC3ED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BB6690" w14:textId="19A071BB" w:rsidR="00AC3EDD" w:rsidRDefault="001E79F9" w:rsidP="00DC4BF4">
    <w:pPr>
      <w:pStyle w:val="Footer"/>
      <w:jc w:val="right"/>
    </w:pPr>
    <w:r>
      <w:rPr>
        <w:noProof/>
        <w:lang w:bidi="pa-IN"/>
      </w:rPr>
      <w:drawing>
        <wp:inline distT="0" distB="0" distL="0" distR="0" wp14:anchorId="42120C5E" wp14:editId="49714ED6">
          <wp:extent cx="2716637" cy="448056"/>
          <wp:effectExtent l="0" t="0" r="0" b="9525"/>
          <wp:docPr id="4" name="Picture 4" title="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PI_MainLogo_FullColor.jpg"/>
                  <pic:cNvPicPr/>
                </pic:nvPicPr>
                <pic:blipFill>
                  <a:blip r:embed="rId1">
                    <a:extLst>
                      <a:ext uri="{28A0092B-C50C-407E-A947-70E740481C1C}">
                        <a14:useLocalDpi xmlns:a14="http://schemas.microsoft.com/office/drawing/2010/main" val="0"/>
                      </a:ext>
                    </a:extLst>
                  </a:blip>
                  <a:stretch>
                    <a:fillRect/>
                  </a:stretch>
                </pic:blipFill>
                <pic:spPr>
                  <a:xfrm>
                    <a:off x="0" y="0"/>
                    <a:ext cx="2716637" cy="448056"/>
                  </a:xfrm>
                  <a:prstGeom prst="rect">
                    <a:avLst/>
                  </a:prstGeom>
                </pic:spPr>
              </pic:pic>
            </a:graphicData>
          </a:graphic>
        </wp:inline>
      </w:drawing>
    </w:r>
    <w:r w:rsidR="00F74BDD">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0E991E" w14:textId="77777777" w:rsidR="00A673A1" w:rsidRDefault="00A673A1">
    <w:pPr>
      <w:pStyle w:val="Footer"/>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D67038" w14:textId="680541D2" w:rsidR="00A673A1" w:rsidRDefault="00A673A1" w:rsidP="00DC4BF4">
    <w:pPr>
      <w:pStyle w:val="Footer"/>
      <w:jc w:val="right"/>
    </w:pPr>
    <w:r>
      <w:rPr>
        <w:noProof/>
        <w:lang w:bidi="pa-IN"/>
      </w:rPr>
      <w:drawing>
        <wp:inline distT="0" distB="0" distL="0" distR="0" wp14:anchorId="4C85D72E" wp14:editId="459CE769">
          <wp:extent cx="2716637" cy="448056"/>
          <wp:effectExtent l="0" t="0" r="0" b="9525"/>
          <wp:docPr id="423794436" name="Picture 423794436" title="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PI_MainLogo_FullColor.jpg"/>
                  <pic:cNvPicPr/>
                </pic:nvPicPr>
                <pic:blipFill>
                  <a:blip r:embed="rId1">
                    <a:extLst>
                      <a:ext uri="{28A0092B-C50C-407E-A947-70E740481C1C}">
                        <a14:useLocalDpi xmlns:a14="http://schemas.microsoft.com/office/drawing/2010/main" val="0"/>
                      </a:ext>
                    </a:extLst>
                  </a:blip>
                  <a:stretch>
                    <a:fillRect/>
                  </a:stretch>
                </pic:blipFill>
                <pic:spPr>
                  <a:xfrm>
                    <a:off x="0" y="0"/>
                    <a:ext cx="2716637" cy="448056"/>
                  </a:xfrm>
                  <a:prstGeom prst="rect">
                    <a:avLst/>
                  </a:prstGeom>
                </pic:spPr>
              </pic:pic>
            </a:graphicData>
          </a:graphic>
        </wp:inline>
      </w:drawing>
    </w:r>
    <w:r w:rsidR="00F74BDD">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B9FF0A" w14:textId="77777777" w:rsidR="00D434FC" w:rsidRDefault="00D434FC" w:rsidP="006059B4">
      <w:pPr>
        <w:spacing w:after="0" w:line="240" w:lineRule="auto"/>
      </w:pPr>
      <w:r>
        <w:separator/>
      </w:r>
    </w:p>
  </w:footnote>
  <w:footnote w:type="continuationSeparator" w:id="0">
    <w:p w14:paraId="61D8160D" w14:textId="77777777" w:rsidR="00D434FC" w:rsidRDefault="00D434FC" w:rsidP="006059B4">
      <w:pPr>
        <w:spacing w:after="0" w:line="240" w:lineRule="auto"/>
      </w:pPr>
      <w:r>
        <w:continuationSeparator/>
      </w:r>
    </w:p>
  </w:footnote>
  <w:footnote w:type="continuationNotice" w:id="1">
    <w:p w14:paraId="67F9793D" w14:textId="77777777" w:rsidR="00D434FC" w:rsidRDefault="00D434FC">
      <w:pPr>
        <w:spacing w:after="0" w:line="240" w:lineRule="auto"/>
      </w:pPr>
    </w:p>
  </w:footnote>
  <w:footnote w:id="2">
    <w:p w14:paraId="7AAA028E" w14:textId="5A924AAA" w:rsidR="00A673A1" w:rsidRPr="00CF2F04" w:rsidRDefault="00A673A1" w:rsidP="00A673A1">
      <w:pPr>
        <w:pStyle w:val="paragraph"/>
        <w:spacing w:before="0" w:beforeAutospacing="0" w:after="0" w:afterAutospacing="0"/>
        <w:textAlignment w:val="baseline"/>
        <w:rPr>
          <w:rFonts w:ascii="Segoe UI" w:hAnsi="Segoe UI" w:cs="Segoe UI"/>
          <w:sz w:val="20"/>
          <w:szCs w:val="20"/>
        </w:rPr>
      </w:pPr>
      <w:r w:rsidRPr="00CF2F04">
        <w:rPr>
          <w:rStyle w:val="FootnoteReference"/>
          <w:rFonts w:ascii="Segoe UI" w:hAnsi="Segoe UI" w:cs="Segoe UI"/>
          <w:sz w:val="20"/>
          <w:szCs w:val="20"/>
        </w:rPr>
        <w:footnoteRef/>
      </w:r>
      <w:r w:rsidRPr="00CF2F04">
        <w:rPr>
          <w:rFonts w:ascii="Segoe UI" w:hAnsi="Segoe UI" w:cs="Segoe UI"/>
          <w:sz w:val="20"/>
          <w:szCs w:val="20"/>
        </w:rPr>
        <w:t xml:space="preserve"> </w:t>
      </w:r>
      <w:r w:rsidRPr="00CF2F04">
        <w:rPr>
          <w:rStyle w:val="normaltextrun"/>
          <w:rFonts w:ascii="Segoe UI" w:eastAsiaTheme="majorEastAsia" w:hAnsi="Segoe UI" w:cs="Segoe UI"/>
          <w:color w:val="000000"/>
          <w:sz w:val="20"/>
          <w:szCs w:val="20"/>
        </w:rPr>
        <w:t xml:space="preserve">See, Thomas Mayes, Perry A. Zirkel, &amp; Dixie Snow Huefner, </w:t>
      </w:r>
      <w:hyperlink r:id="rId1" w:history="1">
        <w:r w:rsidRPr="00CF2F04">
          <w:rPr>
            <w:rStyle w:val="Hyperlink"/>
            <w:rFonts w:ascii="Segoe UI" w:eastAsiaTheme="majorEastAsia" w:hAnsi="Segoe UI" w:cs="Segoe UI"/>
            <w:sz w:val="20"/>
            <w:szCs w:val="20"/>
            <w:shd w:val="clear" w:color="auto" w:fill="FFFFFF"/>
          </w:rPr>
          <w:t>Allocating the Burden of Proof in Administrative and Judicial Proceedings under the IDEA</w:t>
        </w:r>
      </w:hyperlink>
      <w:r w:rsidRPr="00CF2F04">
        <w:rPr>
          <w:rStyle w:val="normaltextrun"/>
          <w:rFonts w:ascii="Segoe UI" w:eastAsiaTheme="majorEastAsia" w:hAnsi="Segoe UI" w:cs="Segoe UI"/>
          <w:color w:val="000000"/>
          <w:sz w:val="20"/>
          <w:szCs w:val="20"/>
        </w:rPr>
        <w:t>, 108 W. VA. L. REV. 27, 33–36 (2005).</w:t>
      </w:r>
      <w:r w:rsidR="00F74BDD">
        <w:rPr>
          <w:rStyle w:val="normaltextrun"/>
          <w:rFonts w:ascii="Segoe UI" w:eastAsiaTheme="majorEastAsia" w:hAnsi="Segoe UI" w:cs="Segoe UI"/>
          <w:color w:val="000000"/>
          <w:sz w:val="20"/>
          <w:szCs w:val="20"/>
        </w:rPr>
        <w:t xml:space="preserve"> </w:t>
      </w:r>
    </w:p>
  </w:footnote>
  <w:footnote w:id="3">
    <w:p w14:paraId="497CF7C9" w14:textId="7DC2EA86" w:rsidR="00392105" w:rsidRDefault="00392105" w:rsidP="00392105">
      <w:pPr>
        <w:pStyle w:val="FootnoteText"/>
      </w:pPr>
      <w:r>
        <w:rPr>
          <w:rStyle w:val="FootnoteReference"/>
        </w:rPr>
        <w:footnoteRef/>
      </w:r>
      <w:r w:rsidR="00F74BDD">
        <w:t xml:space="preserve"> </w:t>
      </w:r>
      <w:r>
        <w:rPr>
          <w:rStyle w:val="normaltextrun"/>
          <w:color w:val="000000"/>
          <w:shd w:val="clear" w:color="auto" w:fill="FFFFFF"/>
        </w:rPr>
        <w:t xml:space="preserve">Connecticut shared they have had legislative pushes to put the burden of proof on the party filing the due process in 2007 and 2009 (at the time of the research report). Connecticut noted that burden of proof (persuasion) becomes important only in those 50-50 cases which is rare. LEAs push periodically to shift the burden to </w:t>
      </w:r>
      <w:r w:rsidR="00003A8F">
        <w:rPr>
          <w:rStyle w:val="normaltextrun"/>
          <w:color w:val="000000"/>
          <w:shd w:val="clear" w:color="auto" w:fill="FFFFFF"/>
        </w:rPr>
        <w:t>parents,</w:t>
      </w:r>
      <w:r>
        <w:rPr>
          <w:rStyle w:val="normaltextrun"/>
          <w:color w:val="000000"/>
          <w:shd w:val="clear" w:color="auto" w:fill="FFFFFF"/>
        </w:rPr>
        <w:t xml:space="preserve"> but the effort has not been successful in part because it really is</w:t>
      </w:r>
      <w:r w:rsidR="00144802">
        <w:rPr>
          <w:rStyle w:val="normaltextrun"/>
          <w:color w:val="000000"/>
          <w:shd w:val="clear" w:color="auto" w:fill="FFFFFF"/>
        </w:rPr>
        <w:t xml:space="preserve"> no</w:t>
      </w:r>
      <w:r>
        <w:rPr>
          <w:rStyle w:val="normaltextrun"/>
          <w:color w:val="000000"/>
          <w:shd w:val="clear" w:color="auto" w:fill="FFFFFF"/>
        </w:rPr>
        <w:t>t having a big impact on decisions. (See Conn. Research; Emails on file with author). </w:t>
      </w:r>
    </w:p>
  </w:footnote>
  <w:footnote w:id="4">
    <w:p w14:paraId="193DEEA8" w14:textId="77777777" w:rsidR="00392105" w:rsidRDefault="00392105" w:rsidP="00392105">
      <w:pPr>
        <w:pStyle w:val="FootnoteText"/>
      </w:pPr>
      <w:r>
        <w:rPr>
          <w:rStyle w:val="FootnoteReference"/>
        </w:rPr>
        <w:footnoteRef/>
      </w:r>
      <w:r>
        <w:t xml:space="preserve"> </w:t>
      </w:r>
      <w:r>
        <w:rPr>
          <w:rStyle w:val="normaltextrun"/>
          <w:color w:val="000000"/>
          <w:shd w:val="clear" w:color="auto" w:fill="FFFFFF"/>
        </w:rPr>
        <w:t>Except tuition reimbursement where the burden remains on the parent/person filing. See Zirkel article.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C0EB9A" w14:textId="77777777" w:rsidR="00FD288B" w:rsidRDefault="00000000">
    <w:pPr>
      <w:pStyle w:val="Header"/>
    </w:pPr>
    <w:r>
      <w:rPr>
        <w:noProof/>
        <w:lang w:bidi="pa-IN"/>
      </w:rPr>
      <w:pict w14:anchorId="6DBA62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9909391" o:spid="_x0000_s1026" type="#_x0000_t75" style="position:absolute;margin-left:0;margin-top:0;width:612pt;height:11in;z-index:-251658238;mso-position-horizontal:center;mso-position-horizontal-relative:margin;mso-position-vertical:center;mso-position-vertical-relative:margin" o:allowincell="f">
          <v:imagedata r:id="rId1" o:title="OnePager-FAQ"/>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63CBAC" w14:textId="77777777" w:rsidR="00535A83" w:rsidRDefault="00535A83">
    <w:pPr>
      <w:pStyle w:val="Header"/>
    </w:pPr>
    <w:r>
      <w:rPr>
        <w:noProof/>
        <w:color w:val="000000"/>
        <w:sz w:val="26"/>
        <w:szCs w:val="26"/>
        <w:lang w:bidi="pa-IN"/>
      </w:rPr>
      <mc:AlternateContent>
        <mc:Choice Requires="wpg">
          <w:drawing>
            <wp:anchor distT="0" distB="0" distL="114300" distR="114300" simplePos="0" relativeHeight="251658240" behindDoc="0" locked="0" layoutInCell="1" allowOverlap="1" wp14:anchorId="227310B2" wp14:editId="33543F6D">
              <wp:simplePos x="0" y="0"/>
              <wp:positionH relativeFrom="column">
                <wp:posOffset>-240030</wp:posOffset>
              </wp:positionH>
              <wp:positionV relativeFrom="paragraph">
                <wp:posOffset>-13335</wp:posOffset>
              </wp:positionV>
              <wp:extent cx="511708" cy="2879623"/>
              <wp:effectExtent l="0" t="0" r="3175" b="0"/>
              <wp:wrapNone/>
              <wp:docPr id="3" name="Group 3" title="Decorative Line"/>
              <wp:cNvGraphicFramePr/>
              <a:graphic xmlns:a="http://schemas.openxmlformats.org/drawingml/2006/main">
                <a:graphicData uri="http://schemas.microsoft.com/office/word/2010/wordprocessingGroup">
                  <wpg:wgp>
                    <wpg:cNvGrpSpPr/>
                    <wpg:grpSpPr>
                      <a:xfrm>
                        <a:off x="0" y="0"/>
                        <a:ext cx="511708" cy="2879623"/>
                        <a:chOff x="0" y="0"/>
                        <a:chExt cx="511708" cy="2879623"/>
                      </a:xfrm>
                    </wpg:grpSpPr>
                    <wps:wsp>
                      <wps:cNvPr id="1" name="Oval 1"/>
                      <wps:cNvSpPr/>
                      <wps:spPr>
                        <a:xfrm>
                          <a:off x="0" y="2367915"/>
                          <a:ext cx="511708" cy="511708"/>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0" y="0"/>
                          <a:ext cx="511175" cy="262318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rto="http://schemas.microsoft.com/office/word/2006/arto" xmlns:a="http://schemas.openxmlformats.org/drawingml/2006/main">
          <w:pict>
            <v:group id="Group 3" style="position:absolute;margin-left:-18.9pt;margin-top:-1.05pt;width:40.3pt;height:226.75pt;z-index:251658240" alt="Title: Decorative Line" coordsize="5117,28796" o:spid="_x0000_s1026" w14:anchorId="1550FA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">
              <v:oval id="Oval 1" style="position:absolute;top:23679;width:5117;height:5117;visibility:visible;mso-wrap-style:square;v-text-anchor:middle" o:spid="_x0000_s1027" fillcolor="#fbc639 [3204]"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">
                <v:stroke joinstyle="miter"/>
              </v:oval>
              <v:rect id="Rectangle 2" style="position:absolute;width:5111;height:26231;visibility:visible;mso-wrap-style:square;v-text-anchor:middle" o:spid="_x0000_s1028" fillcolor="#fbc639 [3204]"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"/>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A215C4" w14:textId="77777777" w:rsidR="00A673A1" w:rsidRDefault="00000000">
    <w:pPr>
      <w:pStyle w:val="Header"/>
    </w:pPr>
    <w:r>
      <w:rPr>
        <w:noProof/>
        <w:lang w:bidi="pa-IN"/>
      </w:rPr>
      <w:pict w14:anchorId="1DAF00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0;width:612pt;height:11in;z-index:-251658237;mso-position-horizontal:center;mso-position-horizontal-relative:margin;mso-position-vertical:center;mso-position-vertical-relative:margin" o:allowincell="f">
          <v:imagedata r:id="rId1" o:title="OnePager-FAQ"/>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902FC5" w14:textId="77777777" w:rsidR="00A673A1" w:rsidRDefault="00A673A1">
    <w:pPr>
      <w:pStyle w:val="Header"/>
    </w:pPr>
    <w:r>
      <w:rPr>
        <w:noProof/>
        <w:color w:val="000000"/>
        <w:sz w:val="26"/>
        <w:szCs w:val="26"/>
        <w:lang w:bidi="pa-IN"/>
      </w:rPr>
      <mc:AlternateContent>
        <mc:Choice Requires="wpg">
          <w:drawing>
            <wp:anchor distT="0" distB="0" distL="114300" distR="114300" simplePos="0" relativeHeight="251658241" behindDoc="0" locked="0" layoutInCell="1" allowOverlap="1" wp14:anchorId="1C6FE7E7" wp14:editId="0C2041B8">
              <wp:simplePos x="0" y="0"/>
              <wp:positionH relativeFrom="column">
                <wp:posOffset>-240030</wp:posOffset>
              </wp:positionH>
              <wp:positionV relativeFrom="paragraph">
                <wp:posOffset>-13335</wp:posOffset>
              </wp:positionV>
              <wp:extent cx="511708" cy="2879623"/>
              <wp:effectExtent l="0" t="0" r="3175" b="0"/>
              <wp:wrapNone/>
              <wp:docPr id="333772316" name="Group 333772316" title="Decorative Line"/>
              <wp:cNvGraphicFramePr/>
              <a:graphic xmlns:a="http://schemas.openxmlformats.org/drawingml/2006/main">
                <a:graphicData uri="http://schemas.microsoft.com/office/word/2010/wordprocessingGroup">
                  <wpg:wgp>
                    <wpg:cNvGrpSpPr/>
                    <wpg:grpSpPr>
                      <a:xfrm>
                        <a:off x="0" y="0"/>
                        <a:ext cx="511708" cy="2879623"/>
                        <a:chOff x="0" y="0"/>
                        <a:chExt cx="511708" cy="2879623"/>
                      </a:xfrm>
                    </wpg:grpSpPr>
                    <wps:wsp>
                      <wps:cNvPr id="269297150" name="Oval 269297150"/>
                      <wps:cNvSpPr/>
                      <wps:spPr>
                        <a:xfrm>
                          <a:off x="0" y="2367915"/>
                          <a:ext cx="511708" cy="511708"/>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2706990" name="Rectangle 252706990"/>
                      <wps:cNvSpPr/>
                      <wps:spPr>
                        <a:xfrm>
                          <a:off x="0" y="0"/>
                          <a:ext cx="511175" cy="262318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rto="http://schemas.microsoft.com/office/word/2006/arto" xmlns:a="http://schemas.openxmlformats.org/drawingml/2006/main">
          <w:pict>
            <v:group id="Group 333772316" style="position:absolute;margin-left:-18.9pt;margin-top:-1.05pt;width:40.3pt;height:226.75pt;z-index:251660288" alt="Title: Decorative Line" coordsize="5117,28796" o:spid="_x0000_s1026" w14:anchorId="36663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">
              <v:oval id="Oval 269297150" style="position:absolute;top:23679;width:5117;height:5117;visibility:visible;mso-wrap-style:square;v-text-anchor:middle" o:spid="_x0000_s1027" fillcolor="#fbc639 [3204]"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">
                <v:stroke joinstyle="miter"/>
              </v:oval>
              <v:rect id="Rectangle 252706990" style="position:absolute;width:5111;height:26231;visibility:visible;mso-wrap-style:square;v-text-anchor:middle" o:spid="_x0000_s1028" fillcolor="#fbc639 [3204]"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"/>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35B90"/>
    <w:multiLevelType w:val="hybridMultilevel"/>
    <w:tmpl w:val="FC76B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81372"/>
    <w:multiLevelType w:val="hybridMultilevel"/>
    <w:tmpl w:val="77EAC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35124"/>
    <w:multiLevelType w:val="hybridMultilevel"/>
    <w:tmpl w:val="D698FEAE"/>
    <w:lvl w:ilvl="0" w:tplc="F9D86EE2">
      <w:numFmt w:val="bullet"/>
      <w:lvlText w:val="-"/>
      <w:lvlJc w:val="left"/>
      <w:pPr>
        <w:ind w:left="720" w:hanging="360"/>
      </w:pPr>
      <w:rPr>
        <w:rFonts w:ascii="Segoe UI" w:eastAsiaTheme="minorHAnsi" w:hAnsi="Segoe UI" w:cs="Segoe U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2553DA"/>
    <w:multiLevelType w:val="hybridMultilevel"/>
    <w:tmpl w:val="14B6D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890AC9"/>
    <w:multiLevelType w:val="hybridMultilevel"/>
    <w:tmpl w:val="97260338"/>
    <w:lvl w:ilvl="0" w:tplc="1C6CAAB0">
      <w:start w:val="3"/>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372505"/>
    <w:multiLevelType w:val="hybridMultilevel"/>
    <w:tmpl w:val="F17E3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6A1595"/>
    <w:multiLevelType w:val="hybridMultilevel"/>
    <w:tmpl w:val="6DAAA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F57062"/>
    <w:multiLevelType w:val="multilevel"/>
    <w:tmpl w:val="6C903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21264EA"/>
    <w:multiLevelType w:val="hybridMultilevel"/>
    <w:tmpl w:val="54BC053A"/>
    <w:lvl w:ilvl="0" w:tplc="65062BE4">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381C03"/>
    <w:multiLevelType w:val="hybridMultilevel"/>
    <w:tmpl w:val="8CDA0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1C4D08"/>
    <w:multiLevelType w:val="hybridMultilevel"/>
    <w:tmpl w:val="C1F44F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DC240B"/>
    <w:multiLevelType w:val="hybridMultilevel"/>
    <w:tmpl w:val="E73C9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08201BF"/>
    <w:multiLevelType w:val="hybridMultilevel"/>
    <w:tmpl w:val="43209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2661622">
    <w:abstractNumId w:val="9"/>
  </w:num>
  <w:num w:numId="2" w16cid:durableId="1985810238">
    <w:abstractNumId w:val="12"/>
  </w:num>
  <w:num w:numId="3" w16cid:durableId="1804300652">
    <w:abstractNumId w:val="4"/>
  </w:num>
  <w:num w:numId="4" w16cid:durableId="4065684">
    <w:abstractNumId w:val="5"/>
  </w:num>
  <w:num w:numId="5" w16cid:durableId="708652539">
    <w:abstractNumId w:val="8"/>
  </w:num>
  <w:num w:numId="6" w16cid:durableId="1226992466">
    <w:abstractNumId w:val="2"/>
  </w:num>
  <w:num w:numId="7" w16cid:durableId="638656640">
    <w:abstractNumId w:val="7"/>
  </w:num>
  <w:num w:numId="8" w16cid:durableId="84770483">
    <w:abstractNumId w:val="10"/>
  </w:num>
  <w:num w:numId="9" w16cid:durableId="1557201232">
    <w:abstractNumId w:val="3"/>
  </w:num>
  <w:num w:numId="10" w16cid:durableId="1254971771">
    <w:abstractNumId w:val="0"/>
  </w:num>
  <w:num w:numId="11" w16cid:durableId="1569222413">
    <w:abstractNumId w:val="1"/>
  </w:num>
  <w:num w:numId="12" w16cid:durableId="334958559">
    <w:abstractNumId w:val="11"/>
  </w:num>
  <w:num w:numId="13" w16cid:durableId="14117337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DB3"/>
    <w:rsid w:val="00002446"/>
    <w:rsid w:val="00003A8F"/>
    <w:rsid w:val="00015B9A"/>
    <w:rsid w:val="0003742C"/>
    <w:rsid w:val="00042B89"/>
    <w:rsid w:val="00062639"/>
    <w:rsid w:val="00093FFA"/>
    <w:rsid w:val="000A00A0"/>
    <w:rsid w:val="000C114D"/>
    <w:rsid w:val="000D22A1"/>
    <w:rsid w:val="000D71A1"/>
    <w:rsid w:val="000E2A56"/>
    <w:rsid w:val="000E4F2D"/>
    <w:rsid w:val="00105700"/>
    <w:rsid w:val="00144802"/>
    <w:rsid w:val="001643F2"/>
    <w:rsid w:val="001926BA"/>
    <w:rsid w:val="001B3CE7"/>
    <w:rsid w:val="001C526A"/>
    <w:rsid w:val="001E79F9"/>
    <w:rsid w:val="00254E8B"/>
    <w:rsid w:val="00257AF1"/>
    <w:rsid w:val="002816E9"/>
    <w:rsid w:val="002852A6"/>
    <w:rsid w:val="00294AEF"/>
    <w:rsid w:val="00295638"/>
    <w:rsid w:val="002B4EB2"/>
    <w:rsid w:val="002D1379"/>
    <w:rsid w:val="002D4376"/>
    <w:rsid w:val="002F0789"/>
    <w:rsid w:val="00310EDF"/>
    <w:rsid w:val="0034712F"/>
    <w:rsid w:val="00392105"/>
    <w:rsid w:val="003C2CFF"/>
    <w:rsid w:val="003C629B"/>
    <w:rsid w:val="003E7FD6"/>
    <w:rsid w:val="00420666"/>
    <w:rsid w:val="004209D7"/>
    <w:rsid w:val="004279EA"/>
    <w:rsid w:val="004669B1"/>
    <w:rsid w:val="004711E8"/>
    <w:rsid w:val="004764B4"/>
    <w:rsid w:val="004B2050"/>
    <w:rsid w:val="004C2C58"/>
    <w:rsid w:val="004C5638"/>
    <w:rsid w:val="004C7969"/>
    <w:rsid w:val="004F2955"/>
    <w:rsid w:val="004F58BC"/>
    <w:rsid w:val="00522813"/>
    <w:rsid w:val="0052706C"/>
    <w:rsid w:val="00535A83"/>
    <w:rsid w:val="005376D8"/>
    <w:rsid w:val="00560A24"/>
    <w:rsid w:val="0056450F"/>
    <w:rsid w:val="00580731"/>
    <w:rsid w:val="005951CB"/>
    <w:rsid w:val="005C5190"/>
    <w:rsid w:val="005F2353"/>
    <w:rsid w:val="006059B4"/>
    <w:rsid w:val="00607D1B"/>
    <w:rsid w:val="00607D72"/>
    <w:rsid w:val="006569C3"/>
    <w:rsid w:val="006625D7"/>
    <w:rsid w:val="006A1ACC"/>
    <w:rsid w:val="006B7DFA"/>
    <w:rsid w:val="006E4994"/>
    <w:rsid w:val="006F470E"/>
    <w:rsid w:val="00701DB3"/>
    <w:rsid w:val="00747C3D"/>
    <w:rsid w:val="00773C82"/>
    <w:rsid w:val="00776215"/>
    <w:rsid w:val="00786E97"/>
    <w:rsid w:val="007A11E2"/>
    <w:rsid w:val="00817A47"/>
    <w:rsid w:val="00827B6D"/>
    <w:rsid w:val="008467B5"/>
    <w:rsid w:val="008827BC"/>
    <w:rsid w:val="008872A5"/>
    <w:rsid w:val="008B1786"/>
    <w:rsid w:val="008B3783"/>
    <w:rsid w:val="008E07D3"/>
    <w:rsid w:val="008F7C5D"/>
    <w:rsid w:val="00973CEC"/>
    <w:rsid w:val="00980257"/>
    <w:rsid w:val="00987479"/>
    <w:rsid w:val="009A304F"/>
    <w:rsid w:val="009B45A4"/>
    <w:rsid w:val="009D4005"/>
    <w:rsid w:val="009F290C"/>
    <w:rsid w:val="009F3874"/>
    <w:rsid w:val="00A27664"/>
    <w:rsid w:val="00A455C6"/>
    <w:rsid w:val="00A57073"/>
    <w:rsid w:val="00A570A7"/>
    <w:rsid w:val="00A673A1"/>
    <w:rsid w:val="00A849DD"/>
    <w:rsid w:val="00A8633B"/>
    <w:rsid w:val="00A90134"/>
    <w:rsid w:val="00AB3D33"/>
    <w:rsid w:val="00AB4DA2"/>
    <w:rsid w:val="00AC3EDD"/>
    <w:rsid w:val="00AF3291"/>
    <w:rsid w:val="00AF3F51"/>
    <w:rsid w:val="00B50715"/>
    <w:rsid w:val="00B5111C"/>
    <w:rsid w:val="00B64800"/>
    <w:rsid w:val="00B708B9"/>
    <w:rsid w:val="00B71EC4"/>
    <w:rsid w:val="00BD4029"/>
    <w:rsid w:val="00C30F58"/>
    <w:rsid w:val="00C43DE8"/>
    <w:rsid w:val="00C901A4"/>
    <w:rsid w:val="00D10CC2"/>
    <w:rsid w:val="00D177EE"/>
    <w:rsid w:val="00D2643A"/>
    <w:rsid w:val="00D434FC"/>
    <w:rsid w:val="00D456A5"/>
    <w:rsid w:val="00D7164C"/>
    <w:rsid w:val="00D94888"/>
    <w:rsid w:val="00DA3771"/>
    <w:rsid w:val="00DC4BF4"/>
    <w:rsid w:val="00DF08C4"/>
    <w:rsid w:val="00E14767"/>
    <w:rsid w:val="00E46E95"/>
    <w:rsid w:val="00E538B2"/>
    <w:rsid w:val="00E56877"/>
    <w:rsid w:val="00E82762"/>
    <w:rsid w:val="00ED3399"/>
    <w:rsid w:val="00EE0FB4"/>
    <w:rsid w:val="00EE4BC6"/>
    <w:rsid w:val="00F22806"/>
    <w:rsid w:val="00F3071D"/>
    <w:rsid w:val="00F43007"/>
    <w:rsid w:val="00F43221"/>
    <w:rsid w:val="00F74BDD"/>
    <w:rsid w:val="00FB1AC1"/>
    <w:rsid w:val="00FD288B"/>
    <w:rsid w:val="00FE4AF6"/>
    <w:rsid w:val="05DDA19E"/>
    <w:rsid w:val="0EA52C95"/>
    <w:rsid w:val="1380E321"/>
    <w:rsid w:val="148790D7"/>
    <w:rsid w:val="17531205"/>
    <w:rsid w:val="17F160F5"/>
    <w:rsid w:val="198D3156"/>
    <w:rsid w:val="2673A1E4"/>
    <w:rsid w:val="280F7245"/>
    <w:rsid w:val="2B471307"/>
    <w:rsid w:val="36365224"/>
    <w:rsid w:val="3800BD53"/>
    <w:rsid w:val="40AE522E"/>
    <w:rsid w:val="4767AD84"/>
    <w:rsid w:val="4FCA6F1E"/>
    <w:rsid w:val="6931612C"/>
    <w:rsid w:val="6FCB4252"/>
    <w:rsid w:val="709465A3"/>
    <w:rsid w:val="70ADD4CA"/>
    <w:rsid w:val="7891EC83"/>
  </w:rsids>
  <m:mathPr>
    <m:mathFont m:val="Cambria Math"/>
    <m:brkBin m:val="before"/>
    <m:brkBinSub m:val="--"/>
    <m:smallFrac m:val="0"/>
    <m:dispDef/>
    <m:lMargin m:val="0"/>
    <m:rMargin m:val="0"/>
    <m:defJc m:val="centerGroup"/>
    <m:wrapIndent m:val="1440"/>
    <m:intLim m:val="subSup"/>
    <m:naryLim m:val="undOvr"/>
  </m:mathPr>
  <w:themeFontLang w:val="en-US" w:eastAsia="ja-JP" w:bidi="p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619B75E"/>
  <w14:defaultImageDpi w14:val="96"/>
  <w15:chartTrackingRefBased/>
  <w15:docId w15:val="{B35A7848-759C-4EC8-90DB-5B94F520A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Segoe UI" w:eastAsiaTheme="minorHAnsi" w:hAnsi="Segoe UI" w:cs="Segoe U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0A0"/>
  </w:style>
  <w:style w:type="paragraph" w:styleId="Heading1">
    <w:name w:val="heading 1"/>
    <w:basedOn w:val="Normal"/>
    <w:next w:val="Normal"/>
    <w:link w:val="Heading1Char"/>
    <w:uiPriority w:val="9"/>
    <w:qFormat/>
    <w:rsid w:val="00A90134"/>
    <w:pPr>
      <w:keepNext/>
      <w:keepLines/>
      <w:spacing w:before="240" w:after="0"/>
      <w:outlineLvl w:val="0"/>
    </w:pPr>
    <w:rPr>
      <w:rFonts w:ascii="Segoe UI Semibold" w:eastAsiaTheme="majorEastAsia" w:hAnsi="Segoe UI Semibold" w:cs="Segoe UI Semibold"/>
      <w:color w:val="0D5761" w:themeColor="accent2"/>
      <w:sz w:val="32"/>
      <w:szCs w:val="32"/>
    </w:rPr>
  </w:style>
  <w:style w:type="paragraph" w:styleId="Heading2">
    <w:name w:val="heading 2"/>
    <w:basedOn w:val="Normal"/>
    <w:next w:val="Normal"/>
    <w:link w:val="Heading2Char"/>
    <w:uiPriority w:val="9"/>
    <w:unhideWhenUsed/>
    <w:qFormat/>
    <w:rsid w:val="001B3CE7"/>
    <w:pPr>
      <w:keepNext/>
      <w:keepLines/>
      <w:spacing w:before="40" w:after="0"/>
      <w:outlineLvl w:val="1"/>
    </w:pPr>
    <w:rPr>
      <w:rFonts w:ascii="Segoe UI Semibold" w:eastAsiaTheme="majorEastAsia" w:hAnsi="Segoe UI Semibold" w:cs="Segoe UI Semibold"/>
      <w:color w:val="40403D" w:themeColor="text1"/>
      <w:sz w:val="28"/>
      <w:szCs w:val="28"/>
    </w:rPr>
  </w:style>
  <w:style w:type="paragraph" w:styleId="Heading3">
    <w:name w:val="heading 3"/>
    <w:basedOn w:val="Normal"/>
    <w:next w:val="Normal"/>
    <w:link w:val="Heading3Char"/>
    <w:uiPriority w:val="9"/>
    <w:unhideWhenUsed/>
    <w:qFormat/>
    <w:rsid w:val="001B3CE7"/>
    <w:pPr>
      <w:keepNext/>
      <w:keepLines/>
      <w:spacing w:before="40" w:after="0"/>
      <w:outlineLvl w:val="2"/>
    </w:pPr>
    <w:rPr>
      <w:rFonts w:ascii="Segoe UI Semibold" w:eastAsiaTheme="majorEastAsia" w:hAnsi="Segoe UI Semibold" w:cs="Segoe UI Semibold"/>
      <w:color w:val="0D5761"/>
      <w:sz w:val="24"/>
      <w:szCs w:val="24"/>
    </w:rPr>
  </w:style>
  <w:style w:type="paragraph" w:styleId="Heading4">
    <w:name w:val="heading 4"/>
    <w:basedOn w:val="Normal"/>
    <w:next w:val="Normal"/>
    <w:link w:val="Heading4Char"/>
    <w:uiPriority w:val="9"/>
    <w:semiHidden/>
    <w:unhideWhenUsed/>
    <w:qFormat/>
    <w:rsid w:val="008F7C5D"/>
    <w:pPr>
      <w:keepNext/>
      <w:keepLines/>
      <w:spacing w:before="40" w:after="0"/>
      <w:outlineLvl w:val="3"/>
    </w:pPr>
    <w:rPr>
      <w:rFonts w:asciiTheme="majorHAnsi" w:eastAsiaTheme="majorEastAsia" w:hAnsiTheme="majorHAnsi" w:cstheme="majorBidi"/>
      <w:i/>
      <w:iCs/>
      <w:color w:val="40403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ourcesHeader">
    <w:name w:val="Resources Header"/>
    <w:basedOn w:val="Normal"/>
    <w:uiPriority w:val="1"/>
    <w:qFormat/>
    <w:rsid w:val="00A90134"/>
    <w:pPr>
      <w:widowControl w:val="0"/>
      <w:autoSpaceDE w:val="0"/>
      <w:autoSpaceDN w:val="0"/>
      <w:spacing w:before="296" w:after="0" w:line="240" w:lineRule="auto"/>
      <w:ind w:left="103"/>
    </w:pPr>
    <w:rPr>
      <w:rFonts w:eastAsia="Segoe UI"/>
      <w:noProof/>
      <w:lang w:bidi="pa-IN"/>
    </w:rPr>
  </w:style>
  <w:style w:type="paragraph" w:styleId="ListParagraph">
    <w:name w:val="List Paragraph"/>
    <w:basedOn w:val="Normal"/>
    <w:uiPriority w:val="34"/>
    <w:qFormat/>
    <w:rsid w:val="00A90134"/>
    <w:pPr>
      <w:ind w:left="720"/>
      <w:contextualSpacing/>
    </w:pPr>
  </w:style>
  <w:style w:type="character" w:customStyle="1" w:styleId="Heading1Char">
    <w:name w:val="Heading 1 Char"/>
    <w:basedOn w:val="DefaultParagraphFont"/>
    <w:link w:val="Heading1"/>
    <w:uiPriority w:val="9"/>
    <w:rsid w:val="00A90134"/>
    <w:rPr>
      <w:rFonts w:ascii="Segoe UI Semibold" w:eastAsiaTheme="majorEastAsia" w:hAnsi="Segoe UI Semibold" w:cs="Segoe UI Semibold"/>
      <w:color w:val="0D5761" w:themeColor="accent2"/>
      <w:sz w:val="32"/>
      <w:szCs w:val="32"/>
    </w:rPr>
  </w:style>
  <w:style w:type="character" w:customStyle="1" w:styleId="Heading2Char">
    <w:name w:val="Heading 2 Char"/>
    <w:basedOn w:val="DefaultParagraphFont"/>
    <w:link w:val="Heading2"/>
    <w:uiPriority w:val="9"/>
    <w:rsid w:val="001B3CE7"/>
    <w:rPr>
      <w:rFonts w:ascii="Segoe UI Semibold" w:eastAsiaTheme="majorEastAsia" w:hAnsi="Segoe UI Semibold" w:cs="Segoe UI Semibold"/>
      <w:color w:val="40403D" w:themeColor="text1"/>
      <w:sz w:val="28"/>
      <w:szCs w:val="28"/>
    </w:rPr>
  </w:style>
  <w:style w:type="character" w:customStyle="1" w:styleId="Heading3Char">
    <w:name w:val="Heading 3 Char"/>
    <w:basedOn w:val="DefaultParagraphFont"/>
    <w:link w:val="Heading3"/>
    <w:uiPriority w:val="9"/>
    <w:rsid w:val="001B3CE7"/>
    <w:rPr>
      <w:rFonts w:ascii="Segoe UI Semibold" w:eastAsiaTheme="majorEastAsia" w:hAnsi="Segoe UI Semibold" w:cs="Segoe UI Semibold"/>
      <w:color w:val="0D5761"/>
      <w:sz w:val="24"/>
      <w:szCs w:val="24"/>
    </w:rPr>
  </w:style>
  <w:style w:type="paragraph" w:styleId="Title">
    <w:name w:val="Title"/>
    <w:basedOn w:val="Normal"/>
    <w:next w:val="Normal"/>
    <w:link w:val="TitleChar"/>
    <w:uiPriority w:val="10"/>
    <w:qFormat/>
    <w:rsid w:val="001B3CE7"/>
    <w:pPr>
      <w:spacing w:after="0" w:line="240" w:lineRule="auto"/>
      <w:jc w:val="center"/>
    </w:pPr>
    <w:rPr>
      <w:rFonts w:ascii="Segoe UI Semilight" w:hAnsi="Segoe UI Semilight" w:cs="Segoe UI Semilight"/>
      <w:i/>
      <w:iCs/>
      <w:sz w:val="56"/>
      <w:szCs w:val="72"/>
    </w:rPr>
  </w:style>
  <w:style w:type="character" w:customStyle="1" w:styleId="TitleChar">
    <w:name w:val="Title Char"/>
    <w:basedOn w:val="DefaultParagraphFont"/>
    <w:link w:val="Title"/>
    <w:uiPriority w:val="10"/>
    <w:rsid w:val="001B3CE7"/>
    <w:rPr>
      <w:rFonts w:ascii="Segoe UI Semilight" w:hAnsi="Segoe UI Semilight" w:cs="Segoe UI Semilight"/>
      <w:i/>
      <w:iCs/>
      <w:sz w:val="56"/>
      <w:szCs w:val="72"/>
    </w:rPr>
  </w:style>
  <w:style w:type="paragraph" w:styleId="Header">
    <w:name w:val="header"/>
    <w:basedOn w:val="Normal"/>
    <w:link w:val="HeaderChar"/>
    <w:uiPriority w:val="99"/>
    <w:unhideWhenUsed/>
    <w:rsid w:val="006059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9B4"/>
  </w:style>
  <w:style w:type="paragraph" w:styleId="Footer">
    <w:name w:val="footer"/>
    <w:basedOn w:val="Normal"/>
    <w:link w:val="FooterChar"/>
    <w:uiPriority w:val="99"/>
    <w:unhideWhenUsed/>
    <w:rsid w:val="006059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9B4"/>
  </w:style>
  <w:style w:type="paragraph" w:styleId="BalloonText">
    <w:name w:val="Balloon Text"/>
    <w:basedOn w:val="Normal"/>
    <w:link w:val="BalloonTextChar"/>
    <w:uiPriority w:val="99"/>
    <w:semiHidden/>
    <w:unhideWhenUsed/>
    <w:rsid w:val="00AC3EDD"/>
    <w:pPr>
      <w:spacing w:after="0" w:line="240" w:lineRule="auto"/>
    </w:pPr>
    <w:rPr>
      <w:sz w:val="18"/>
      <w:szCs w:val="18"/>
    </w:rPr>
  </w:style>
  <w:style w:type="character" w:customStyle="1" w:styleId="BalloonTextChar">
    <w:name w:val="Balloon Text Char"/>
    <w:basedOn w:val="DefaultParagraphFont"/>
    <w:link w:val="BalloonText"/>
    <w:uiPriority w:val="99"/>
    <w:semiHidden/>
    <w:rsid w:val="00AC3EDD"/>
    <w:rPr>
      <w:sz w:val="18"/>
      <w:szCs w:val="18"/>
    </w:rPr>
  </w:style>
  <w:style w:type="character" w:customStyle="1" w:styleId="Heading4Char">
    <w:name w:val="Heading 4 Char"/>
    <w:basedOn w:val="DefaultParagraphFont"/>
    <w:link w:val="Heading4"/>
    <w:uiPriority w:val="9"/>
    <w:semiHidden/>
    <w:rsid w:val="008F7C5D"/>
    <w:rPr>
      <w:rFonts w:asciiTheme="majorHAnsi" w:eastAsiaTheme="majorEastAsia" w:hAnsiTheme="majorHAnsi" w:cstheme="majorBidi"/>
      <w:i/>
      <w:iCs/>
      <w:color w:val="40403D" w:themeColor="text2"/>
    </w:rPr>
  </w:style>
  <w:style w:type="character" w:styleId="IntenseEmphasis">
    <w:name w:val="Intense Emphasis"/>
    <w:basedOn w:val="DefaultParagraphFont"/>
    <w:uiPriority w:val="21"/>
    <w:qFormat/>
    <w:rsid w:val="008F7C5D"/>
    <w:rPr>
      <w:i/>
      <w:iCs/>
      <w:color w:val="0D5761" w:themeColor="accent2"/>
    </w:rPr>
  </w:style>
  <w:style w:type="paragraph" w:styleId="IntenseQuote">
    <w:name w:val="Intense Quote"/>
    <w:basedOn w:val="Normal"/>
    <w:next w:val="Normal"/>
    <w:link w:val="IntenseQuoteChar"/>
    <w:uiPriority w:val="30"/>
    <w:qFormat/>
    <w:rsid w:val="008F7C5D"/>
    <w:pPr>
      <w:pBdr>
        <w:top w:val="single" w:sz="4" w:space="10" w:color="FBC639" w:themeColor="accent1"/>
        <w:bottom w:val="single" w:sz="4" w:space="10" w:color="FBC639" w:themeColor="accent1"/>
      </w:pBdr>
      <w:spacing w:before="360" w:after="360"/>
      <w:ind w:left="864" w:right="864"/>
      <w:jc w:val="center"/>
    </w:pPr>
    <w:rPr>
      <w:i/>
      <w:iCs/>
      <w:color w:val="0D5761" w:themeColor="accent2"/>
    </w:rPr>
  </w:style>
  <w:style w:type="character" w:customStyle="1" w:styleId="IntenseQuoteChar">
    <w:name w:val="Intense Quote Char"/>
    <w:basedOn w:val="DefaultParagraphFont"/>
    <w:link w:val="IntenseQuote"/>
    <w:uiPriority w:val="30"/>
    <w:rsid w:val="008F7C5D"/>
    <w:rPr>
      <w:i/>
      <w:iCs/>
      <w:color w:val="0D5761" w:themeColor="accent2"/>
    </w:rPr>
  </w:style>
  <w:style w:type="paragraph" w:styleId="NoSpacing">
    <w:name w:val="No Spacing"/>
    <w:uiPriority w:val="1"/>
    <w:qFormat/>
    <w:rsid w:val="00747C3D"/>
    <w:pPr>
      <w:spacing w:after="0" w:line="240" w:lineRule="auto"/>
    </w:pPr>
  </w:style>
  <w:style w:type="paragraph" w:customStyle="1" w:styleId="TableParagraph">
    <w:name w:val="Table Paragraph"/>
    <w:basedOn w:val="Normal"/>
    <w:uiPriority w:val="2"/>
    <w:rsid w:val="004C7969"/>
    <w:pPr>
      <w:spacing w:after="0" w:line="240" w:lineRule="auto"/>
      <w:jc w:val="center"/>
    </w:pPr>
    <w:rPr>
      <w:rFonts w:cstheme="minorBidi"/>
    </w:rPr>
  </w:style>
  <w:style w:type="table" w:customStyle="1" w:styleId="OSPITable">
    <w:name w:val="OSPI Table"/>
    <w:basedOn w:val="TableNormal"/>
    <w:uiPriority w:val="99"/>
    <w:rsid w:val="004C7969"/>
    <w:pPr>
      <w:spacing w:after="0" w:line="240" w:lineRule="auto"/>
      <w:jc w:val="center"/>
    </w:pPr>
    <w:rPr>
      <w:rFonts w:cstheme="minorBidi"/>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Yu Mincho" w:hAnsi="Yu Mincho"/>
        <w:b/>
        <w:i w:val="0"/>
        <w:color w:val="F7F5EB" w:themeColor="background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D5761"/>
      </w:tcPr>
    </w:tblStylePr>
    <w:tblStylePr w:type="band1Horz">
      <w:tblPr/>
      <w:tcPr>
        <w:shd w:val="clear" w:color="auto" w:fill="F7F5EB" w:themeFill="background1"/>
      </w:tcPr>
    </w:tblStylePr>
  </w:style>
  <w:style w:type="table" w:styleId="TableGrid">
    <w:name w:val="Table Grid"/>
    <w:basedOn w:val="TableNormal"/>
    <w:uiPriority w:val="39"/>
    <w:rsid w:val="004C7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SPITableDefault">
    <w:name w:val="OSPI Table (Default)"/>
    <w:basedOn w:val="OSPITable"/>
    <w:uiPriority w:val="99"/>
    <w:rsid w:val="004C7969"/>
    <w:tblPr/>
    <w:tblStylePr w:type="firstRow">
      <w:rPr>
        <w:rFonts w:ascii="Segoe UI" w:hAnsi="Segoe UI"/>
        <w:b/>
        <w:i w:val="0"/>
        <w:color w:val="F7F5EB" w:themeColor="background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D5761"/>
      </w:tcPr>
    </w:tblStylePr>
    <w:tblStylePr w:type="band1Horz">
      <w:tblPr/>
      <w:tcPr>
        <w:shd w:val="clear" w:color="auto" w:fill="F7F5EB" w:themeFill="background1"/>
      </w:tcPr>
    </w:tblStylePr>
  </w:style>
  <w:style w:type="character" w:styleId="Hyperlink">
    <w:name w:val="Hyperlink"/>
    <w:basedOn w:val="DefaultParagraphFont"/>
    <w:uiPriority w:val="99"/>
    <w:unhideWhenUsed/>
    <w:rsid w:val="00E538B2"/>
    <w:rPr>
      <w:color w:val="0D5761" w:themeColor="accent2"/>
      <w:u w:val="single"/>
    </w:rPr>
  </w:style>
  <w:style w:type="character" w:styleId="UnresolvedMention">
    <w:name w:val="Unresolved Mention"/>
    <w:basedOn w:val="DefaultParagraphFont"/>
    <w:uiPriority w:val="99"/>
    <w:semiHidden/>
    <w:unhideWhenUsed/>
    <w:rsid w:val="00E538B2"/>
    <w:rPr>
      <w:color w:val="605E5C"/>
      <w:shd w:val="clear" w:color="auto" w:fill="E1DFDD"/>
    </w:rPr>
  </w:style>
  <w:style w:type="character" w:styleId="CommentReference">
    <w:name w:val="annotation reference"/>
    <w:basedOn w:val="DefaultParagraphFont"/>
    <w:uiPriority w:val="99"/>
    <w:semiHidden/>
    <w:unhideWhenUsed/>
    <w:rsid w:val="00A673A1"/>
    <w:rPr>
      <w:sz w:val="16"/>
      <w:szCs w:val="16"/>
    </w:rPr>
  </w:style>
  <w:style w:type="paragraph" w:styleId="CommentText">
    <w:name w:val="annotation text"/>
    <w:basedOn w:val="Normal"/>
    <w:link w:val="CommentTextChar"/>
    <w:uiPriority w:val="99"/>
    <w:unhideWhenUsed/>
    <w:rsid w:val="00A673A1"/>
    <w:pPr>
      <w:spacing w:line="240" w:lineRule="auto"/>
    </w:pPr>
    <w:rPr>
      <w:sz w:val="20"/>
      <w:szCs w:val="20"/>
    </w:rPr>
  </w:style>
  <w:style w:type="character" w:customStyle="1" w:styleId="CommentTextChar">
    <w:name w:val="Comment Text Char"/>
    <w:basedOn w:val="DefaultParagraphFont"/>
    <w:link w:val="CommentText"/>
    <w:uiPriority w:val="99"/>
    <w:rsid w:val="00A673A1"/>
    <w:rPr>
      <w:sz w:val="20"/>
      <w:szCs w:val="20"/>
    </w:rPr>
  </w:style>
  <w:style w:type="character" w:customStyle="1" w:styleId="normaltextrun">
    <w:name w:val="normaltextrun"/>
    <w:basedOn w:val="DefaultParagraphFont"/>
    <w:rsid w:val="00A673A1"/>
  </w:style>
  <w:style w:type="paragraph" w:customStyle="1" w:styleId="paragraph">
    <w:name w:val="paragraph"/>
    <w:basedOn w:val="Normal"/>
    <w:rsid w:val="00A673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A673A1"/>
  </w:style>
  <w:style w:type="character" w:styleId="FootnoteReference">
    <w:name w:val="footnote reference"/>
    <w:basedOn w:val="DefaultParagraphFont"/>
    <w:uiPriority w:val="99"/>
    <w:semiHidden/>
    <w:unhideWhenUsed/>
    <w:rsid w:val="00A673A1"/>
    <w:rPr>
      <w:vertAlign w:val="superscript"/>
    </w:rPr>
  </w:style>
  <w:style w:type="paragraph" w:styleId="FootnoteText">
    <w:name w:val="footnote text"/>
    <w:basedOn w:val="Normal"/>
    <w:link w:val="FootnoteTextChar"/>
    <w:uiPriority w:val="99"/>
    <w:semiHidden/>
    <w:unhideWhenUsed/>
    <w:rsid w:val="00A673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73A1"/>
    <w:rPr>
      <w:sz w:val="20"/>
      <w:szCs w:val="20"/>
    </w:rPr>
  </w:style>
  <w:style w:type="paragraph" w:styleId="CommentSubject">
    <w:name w:val="annotation subject"/>
    <w:basedOn w:val="CommentText"/>
    <w:next w:val="CommentText"/>
    <w:link w:val="CommentSubjectChar"/>
    <w:uiPriority w:val="99"/>
    <w:semiHidden/>
    <w:unhideWhenUsed/>
    <w:rsid w:val="0003742C"/>
    <w:rPr>
      <w:b/>
      <w:bCs/>
    </w:rPr>
  </w:style>
  <w:style w:type="character" w:customStyle="1" w:styleId="CommentSubjectChar">
    <w:name w:val="Comment Subject Char"/>
    <w:basedOn w:val="CommentTextChar"/>
    <w:link w:val="CommentSubject"/>
    <w:uiPriority w:val="99"/>
    <w:semiHidden/>
    <w:rsid w:val="0003742C"/>
    <w:rPr>
      <w:b/>
      <w:bCs/>
      <w:sz w:val="20"/>
      <w:szCs w:val="20"/>
    </w:rPr>
  </w:style>
  <w:style w:type="character" w:customStyle="1" w:styleId="date-display-single">
    <w:name w:val="date-display-single"/>
    <w:basedOn w:val="DefaultParagraphFont"/>
    <w:rsid w:val="00B5111C"/>
  </w:style>
  <w:style w:type="character" w:customStyle="1" w:styleId="date-display-start">
    <w:name w:val="date-display-start"/>
    <w:basedOn w:val="DefaultParagraphFont"/>
    <w:rsid w:val="00B5111C"/>
  </w:style>
  <w:style w:type="character" w:customStyle="1" w:styleId="date-display-end">
    <w:name w:val="date-display-end"/>
    <w:basedOn w:val="DefaultParagraphFont"/>
    <w:rsid w:val="00B5111C"/>
  </w:style>
  <w:style w:type="paragraph" w:styleId="NormalWeb">
    <w:name w:val="Normal (Web)"/>
    <w:basedOn w:val="Normal"/>
    <w:uiPriority w:val="99"/>
    <w:semiHidden/>
    <w:unhideWhenUsed/>
    <w:rsid w:val="00B511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invisible">
    <w:name w:val="element-invisible"/>
    <w:basedOn w:val="DefaultParagraphFont"/>
    <w:rsid w:val="00B5111C"/>
  </w:style>
  <w:style w:type="character" w:styleId="Strong">
    <w:name w:val="Strong"/>
    <w:basedOn w:val="DefaultParagraphFont"/>
    <w:uiPriority w:val="22"/>
    <w:qFormat/>
    <w:rsid w:val="00B5111C"/>
    <w:rPr>
      <w:b/>
      <w:bCs/>
    </w:rPr>
  </w:style>
  <w:style w:type="character" w:styleId="FollowedHyperlink">
    <w:name w:val="FollowedHyperlink"/>
    <w:basedOn w:val="DefaultParagraphFont"/>
    <w:uiPriority w:val="99"/>
    <w:semiHidden/>
    <w:unhideWhenUsed/>
    <w:rsid w:val="00B50715"/>
    <w:rPr>
      <w:color w:val="C490AA" w:themeColor="followedHyperlink"/>
      <w:u w:val="single"/>
    </w:rPr>
  </w:style>
  <w:style w:type="paragraph" w:styleId="Revision">
    <w:name w:val="Revision"/>
    <w:hidden/>
    <w:uiPriority w:val="99"/>
    <w:semiHidden/>
    <w:rsid w:val="007762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1883403">
      <w:bodyDiv w:val="1"/>
      <w:marLeft w:val="0"/>
      <w:marRight w:val="0"/>
      <w:marTop w:val="0"/>
      <w:marBottom w:val="0"/>
      <w:divBdr>
        <w:top w:val="none" w:sz="0" w:space="0" w:color="auto"/>
        <w:left w:val="none" w:sz="0" w:space="0" w:color="auto"/>
        <w:bottom w:val="none" w:sz="0" w:space="0" w:color="auto"/>
        <w:right w:val="none" w:sz="0" w:space="0" w:color="auto"/>
      </w:divBdr>
    </w:div>
    <w:div w:id="595526696">
      <w:bodyDiv w:val="1"/>
      <w:marLeft w:val="0"/>
      <w:marRight w:val="0"/>
      <w:marTop w:val="0"/>
      <w:marBottom w:val="0"/>
      <w:divBdr>
        <w:top w:val="none" w:sz="0" w:space="0" w:color="auto"/>
        <w:left w:val="none" w:sz="0" w:space="0" w:color="auto"/>
        <w:bottom w:val="none" w:sz="0" w:space="0" w:color="auto"/>
        <w:right w:val="none" w:sz="0" w:space="0" w:color="auto"/>
      </w:divBdr>
    </w:div>
    <w:div w:id="1758987943">
      <w:bodyDiv w:val="1"/>
      <w:marLeft w:val="0"/>
      <w:marRight w:val="0"/>
      <w:marTop w:val="0"/>
      <w:marBottom w:val="0"/>
      <w:divBdr>
        <w:top w:val="none" w:sz="0" w:space="0" w:color="auto"/>
        <w:left w:val="none" w:sz="0" w:space="0" w:color="auto"/>
        <w:bottom w:val="none" w:sz="0" w:space="0" w:color="auto"/>
        <w:right w:val="none" w:sz="0" w:space="0" w:color="auto"/>
      </w:divBdr>
      <w:divsChild>
        <w:div w:id="1365907864">
          <w:marLeft w:val="1047"/>
          <w:marRight w:val="-14400"/>
          <w:marTop w:val="0"/>
          <w:marBottom w:val="0"/>
          <w:divBdr>
            <w:top w:val="none" w:sz="0" w:space="0" w:color="auto"/>
            <w:left w:val="none" w:sz="0" w:space="0" w:color="auto"/>
            <w:bottom w:val="none" w:sz="0" w:space="0" w:color="auto"/>
            <w:right w:val="none" w:sz="0" w:space="0" w:color="auto"/>
          </w:divBdr>
          <w:divsChild>
            <w:div w:id="1567645231">
              <w:marLeft w:val="0"/>
              <w:marRight w:val="0"/>
              <w:marTop w:val="0"/>
              <w:marBottom w:val="0"/>
              <w:divBdr>
                <w:top w:val="none" w:sz="0" w:space="0" w:color="auto"/>
                <w:left w:val="none" w:sz="0" w:space="0" w:color="auto"/>
                <w:bottom w:val="none" w:sz="0" w:space="0" w:color="auto"/>
                <w:right w:val="none" w:sz="0" w:space="0" w:color="auto"/>
              </w:divBdr>
              <w:divsChild>
                <w:div w:id="147600800">
                  <w:marLeft w:val="0"/>
                  <w:marRight w:val="0"/>
                  <w:marTop w:val="0"/>
                  <w:marBottom w:val="0"/>
                  <w:divBdr>
                    <w:top w:val="none" w:sz="0" w:space="0" w:color="auto"/>
                    <w:left w:val="none" w:sz="0" w:space="0" w:color="auto"/>
                    <w:bottom w:val="none" w:sz="0" w:space="0" w:color="auto"/>
                    <w:right w:val="none" w:sz="0" w:space="0" w:color="auto"/>
                  </w:divBdr>
                  <w:divsChild>
                    <w:div w:id="1158302695">
                      <w:marLeft w:val="0"/>
                      <w:marRight w:val="0"/>
                      <w:marTop w:val="0"/>
                      <w:marBottom w:val="0"/>
                      <w:divBdr>
                        <w:top w:val="none" w:sz="0" w:space="0" w:color="auto"/>
                        <w:left w:val="none" w:sz="0" w:space="0" w:color="auto"/>
                        <w:bottom w:val="none" w:sz="0" w:space="0" w:color="auto"/>
                        <w:right w:val="none" w:sz="0" w:space="0" w:color="auto"/>
                      </w:divBdr>
                      <w:divsChild>
                        <w:div w:id="82204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667579">
                  <w:marLeft w:val="0"/>
                  <w:marRight w:val="0"/>
                  <w:marTop w:val="0"/>
                  <w:marBottom w:val="0"/>
                  <w:divBdr>
                    <w:top w:val="none" w:sz="0" w:space="0" w:color="auto"/>
                    <w:left w:val="none" w:sz="0" w:space="0" w:color="auto"/>
                    <w:bottom w:val="none" w:sz="0" w:space="0" w:color="auto"/>
                    <w:right w:val="none" w:sz="0" w:space="0" w:color="auto"/>
                  </w:divBdr>
                  <w:divsChild>
                    <w:div w:id="1341854535">
                      <w:marLeft w:val="0"/>
                      <w:marRight w:val="0"/>
                      <w:marTop w:val="0"/>
                      <w:marBottom w:val="0"/>
                      <w:divBdr>
                        <w:top w:val="none" w:sz="0" w:space="0" w:color="auto"/>
                        <w:left w:val="none" w:sz="0" w:space="0" w:color="auto"/>
                        <w:bottom w:val="none" w:sz="0" w:space="0" w:color="auto"/>
                        <w:right w:val="none" w:sz="0" w:space="0" w:color="auto"/>
                      </w:divBdr>
                      <w:divsChild>
                        <w:div w:id="940915251">
                          <w:marLeft w:val="0"/>
                          <w:marRight w:val="0"/>
                          <w:marTop w:val="0"/>
                          <w:marBottom w:val="0"/>
                          <w:divBdr>
                            <w:top w:val="none" w:sz="0" w:space="0" w:color="auto"/>
                            <w:left w:val="none" w:sz="0" w:space="0" w:color="auto"/>
                            <w:bottom w:val="none" w:sz="0" w:space="0" w:color="auto"/>
                            <w:right w:val="none" w:sz="0" w:space="0" w:color="auto"/>
                          </w:divBdr>
                          <w:divsChild>
                            <w:div w:id="1906254882">
                              <w:marLeft w:val="0"/>
                              <w:marRight w:val="0"/>
                              <w:marTop w:val="0"/>
                              <w:marBottom w:val="0"/>
                              <w:divBdr>
                                <w:top w:val="none" w:sz="0" w:space="0" w:color="auto"/>
                                <w:left w:val="none" w:sz="0" w:space="0" w:color="auto"/>
                                <w:bottom w:val="none" w:sz="0" w:space="0" w:color="auto"/>
                                <w:right w:val="none" w:sz="0" w:space="0" w:color="auto"/>
                              </w:divBdr>
                              <w:divsChild>
                                <w:div w:id="97622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785587">
                  <w:marLeft w:val="0"/>
                  <w:marRight w:val="0"/>
                  <w:marTop w:val="0"/>
                  <w:marBottom w:val="0"/>
                  <w:divBdr>
                    <w:top w:val="none" w:sz="0" w:space="0" w:color="auto"/>
                    <w:left w:val="none" w:sz="0" w:space="0" w:color="auto"/>
                    <w:bottom w:val="none" w:sz="0" w:space="0" w:color="auto"/>
                    <w:right w:val="none" w:sz="0" w:space="0" w:color="auto"/>
                  </w:divBdr>
                  <w:divsChild>
                    <w:div w:id="449250828">
                      <w:marLeft w:val="0"/>
                      <w:marRight w:val="0"/>
                      <w:marTop w:val="0"/>
                      <w:marBottom w:val="0"/>
                      <w:divBdr>
                        <w:top w:val="none" w:sz="0" w:space="0" w:color="auto"/>
                        <w:left w:val="none" w:sz="0" w:space="0" w:color="auto"/>
                        <w:bottom w:val="none" w:sz="0" w:space="0" w:color="auto"/>
                        <w:right w:val="none" w:sz="0" w:space="0" w:color="auto"/>
                      </w:divBdr>
                    </w:div>
                    <w:div w:id="708145158">
                      <w:marLeft w:val="0"/>
                      <w:marRight w:val="0"/>
                      <w:marTop w:val="0"/>
                      <w:marBottom w:val="0"/>
                      <w:divBdr>
                        <w:top w:val="none" w:sz="0" w:space="0" w:color="auto"/>
                        <w:left w:val="none" w:sz="0" w:space="0" w:color="auto"/>
                        <w:bottom w:val="none" w:sz="0" w:space="0" w:color="auto"/>
                        <w:right w:val="none" w:sz="0" w:space="0" w:color="auto"/>
                      </w:divBdr>
                      <w:divsChild>
                        <w:div w:id="199166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hyperlink" Target="https://somtg.com/ospi-professional-development-calendar/" TargetMode="External"/><Relationship Id="rId3" Type="http://schemas.openxmlformats.org/officeDocument/2006/relationships/customXml" Target="../customXml/item3.xml"/><Relationship Id="rId21" Type="http://schemas.openxmlformats.org/officeDocument/2006/relationships/hyperlink" Target="https://researchrepository.wvu.edu/cgi/viewcontent.cgi?article=6149&amp;context=wvlr"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hyperlink" Target="https://us06web.zoom.us/webinar/register/WN_a6ivzV0PQXuUMMukMWzKOA" TargetMode="External"/><Relationship Id="rId2" Type="http://schemas.openxmlformats.org/officeDocument/2006/relationships/customXml" Target="../customXml/item2.xml"/><Relationship Id="rId16" Type="http://schemas.openxmlformats.org/officeDocument/2006/relationships/hyperlink" Target="https://lawfilesext.leg.wa.gov/biennium/2023-24/Pdf/Bills/Senate%20Bills/5883.pdf?q=20240228150329"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us06web.zoom.us/webinar/register/WN_a6ivzV0PQXuUMMukMWzKOA" TargetMode="External"/><Relationship Id="rId5" Type="http://schemas.openxmlformats.org/officeDocument/2006/relationships/numbering" Target="numbering.xml"/><Relationship Id="rId15" Type="http://schemas.openxmlformats.org/officeDocument/2006/relationships/hyperlink" Target="https://app.leg.wa.gov/billsummary?BillNumber=5883&amp;Initiative=false&amp;Year=2023" TargetMode="External"/><Relationship Id="rId23" Type="http://schemas.openxmlformats.org/officeDocument/2006/relationships/hyperlink" Target="https://www.cadreworks.org/events/transformative-power-engaging-parents-partners"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perryzirkel.files.wordpress.com/2013/12/zirkel-burden-of-proof-article.pdf"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4.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1" Type="http://schemas.openxmlformats.org/officeDocument/2006/relationships/hyperlink" Target="https://researchrepository.wvu.edu/cgi/viewcontent.cgi?article=6149&amp;context=wvl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rv-file09\Templates\Handout-Template.dotx" TargetMode="External"/></Relationships>
</file>

<file path=word/theme/theme1.xml><?xml version="1.0" encoding="utf-8"?>
<a:theme xmlns:a="http://schemas.openxmlformats.org/drawingml/2006/main" name="Office Theme">
  <a:themeElements>
    <a:clrScheme name="OSPI New Palette">
      <a:dk1>
        <a:srgbClr val="40403D"/>
      </a:dk1>
      <a:lt1>
        <a:srgbClr val="F7F5EB"/>
      </a:lt1>
      <a:dk2>
        <a:srgbClr val="40403D"/>
      </a:dk2>
      <a:lt2>
        <a:srgbClr val="F7F5EB"/>
      </a:lt2>
      <a:accent1>
        <a:srgbClr val="FBC639"/>
      </a:accent1>
      <a:accent2>
        <a:srgbClr val="0D5761"/>
      </a:accent2>
      <a:accent3>
        <a:srgbClr val="8CB5AB"/>
      </a:accent3>
      <a:accent4>
        <a:srgbClr val="68829E"/>
      </a:accent4>
      <a:accent5>
        <a:srgbClr val="6FB5BF"/>
      </a:accent5>
      <a:accent6>
        <a:srgbClr val="626D71"/>
      </a:accent6>
      <a:hlink>
        <a:srgbClr val="68829E"/>
      </a:hlink>
      <a:folHlink>
        <a:srgbClr val="C490A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622655b-14fe-4cb6-93da-c6eed50b0348">
      <Terms xmlns="http://schemas.microsoft.com/office/infopath/2007/PartnerControls"/>
    </lcf76f155ced4ddcb4097134ff3c332f>
    <TaxCatchAll xmlns="2fbf62f6-fefa-4210-8bd4-f56643374b64" xsi:nil="true"/>
    <SharedWithUsers xmlns="2fbf62f6-fefa-4210-8bd4-f56643374b64">
      <UserInfo>
        <DisplayName>Matt Schultz</DisplayName>
        <AccountId>498</AccountId>
        <AccountType/>
      </UserInfo>
      <UserInfo>
        <DisplayName>Darryl Colman</DisplayName>
        <AccountId>499</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72A1F733BA88D4E81F83E7173149DB0" ma:contentTypeVersion="20" ma:contentTypeDescription="Create a new document." ma:contentTypeScope="" ma:versionID="e5556283ea7df6f3b1f841ca50f0828c">
  <xsd:schema xmlns:xsd="http://www.w3.org/2001/XMLSchema" xmlns:xs="http://www.w3.org/2001/XMLSchema" xmlns:p="http://schemas.microsoft.com/office/2006/metadata/properties" xmlns:ns2="1622655b-14fe-4cb6-93da-c6eed50b0348" xmlns:ns3="2fbf62f6-fefa-4210-8bd4-f56643374b64" targetNamespace="http://schemas.microsoft.com/office/2006/metadata/properties" ma:root="true" ma:fieldsID="7f280747265eab607ee44295c1c552f6" ns2:_="" ns3:_="">
    <xsd:import namespace="1622655b-14fe-4cb6-93da-c6eed50b0348"/>
    <xsd:import namespace="2fbf62f6-fefa-4210-8bd4-f56643374b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22655b-14fe-4cb6-93da-c6eed50b0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1e96cc0-46bd-46ca-9217-af340b20b2c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bf62f6-fefa-4210-8bd4-f56643374b6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fc26d60-ba12-43ec-8296-ae3eb7af83d6}" ma:internalName="TaxCatchAll" ma:showField="CatchAllData" ma:web="2fbf62f6-fefa-4210-8bd4-f56643374b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F34061-E5FF-4DF5-8918-5DF3995886DC}">
  <ds:schemaRefs>
    <ds:schemaRef ds:uri="http://schemas.microsoft.com/office/2006/metadata/properties"/>
    <ds:schemaRef ds:uri="http://schemas.microsoft.com/office/infopath/2007/PartnerControls"/>
    <ds:schemaRef ds:uri="1622655b-14fe-4cb6-93da-c6eed50b0348"/>
    <ds:schemaRef ds:uri="2fbf62f6-fefa-4210-8bd4-f56643374b64"/>
  </ds:schemaRefs>
</ds:datastoreItem>
</file>

<file path=customXml/itemProps2.xml><?xml version="1.0" encoding="utf-8"?>
<ds:datastoreItem xmlns:ds="http://schemas.openxmlformats.org/officeDocument/2006/customXml" ds:itemID="{CE3EAB31-3627-441C-974B-B82603C393AF}">
  <ds:schemaRefs>
    <ds:schemaRef ds:uri="http://schemas.openxmlformats.org/officeDocument/2006/bibliography"/>
  </ds:schemaRefs>
</ds:datastoreItem>
</file>

<file path=customXml/itemProps3.xml><?xml version="1.0" encoding="utf-8"?>
<ds:datastoreItem xmlns:ds="http://schemas.openxmlformats.org/officeDocument/2006/customXml" ds:itemID="{25BE223B-A987-487F-8B5D-0509AA4D490D}">
  <ds:schemaRefs>
    <ds:schemaRef ds:uri="http://schemas.microsoft.com/sharepoint/v3/contenttype/forms"/>
  </ds:schemaRefs>
</ds:datastoreItem>
</file>

<file path=customXml/itemProps4.xml><?xml version="1.0" encoding="utf-8"?>
<ds:datastoreItem xmlns:ds="http://schemas.openxmlformats.org/officeDocument/2006/customXml" ds:itemID="{6D8C4B3B-B582-4ACE-BBA8-3F571B18D4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22655b-14fe-4cb6-93da-c6eed50b0348"/>
    <ds:schemaRef ds:uri="2fbf62f6-fefa-4210-8bd4-f56643374b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Handout-Template</Template>
  <TotalTime>59</TotalTime>
  <Pages>5</Pages>
  <Words>1222</Words>
  <Characters>6970</Characters>
  <Application>Microsoft Office Word</Application>
  <DocSecurity>0</DocSecurity>
  <Lines>58</Lines>
  <Paragraphs>16</Paragraphs>
  <ScaleCrop>false</ScaleCrop>
  <Company/>
  <LinksUpToDate>false</LinksUpToDate>
  <CharactersWithSpaces>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 2023 Dispute Resolution Updates</dc:title>
  <dc:subject>Special Education Monthly Update</dc:subject>
  <dc:creator>OSPI, Special Education</dc:creator>
  <cp:keywords/>
  <dc:description/>
  <cp:lastModifiedBy>Alyssa Fairbanks</cp:lastModifiedBy>
  <cp:revision>75</cp:revision>
  <cp:lastPrinted>2020-08-20T18:12:00Z</cp:lastPrinted>
  <dcterms:created xsi:type="dcterms:W3CDTF">2023-04-13T15:38:00Z</dcterms:created>
  <dcterms:modified xsi:type="dcterms:W3CDTF">2024-05-06T19:28:00Z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0x010100672A1F733BA88D4E81F83E7173149DB0</vt:lpwstr>
  </property>
  <property fmtid="{D5CDD505-2E9C-101B-9397-08002B2CF9AE}" pid="3" name="MediaServiceImageTags">
    <vt:lpwstr/>
  </property>
  <property fmtid="{D5CDD505-2E9C-101B-9397-08002B2CF9AE}" pid="4" name="GrammarlyDocumentId">
    <vt:lpwstr>dcfeb5472fe1d34a2a442b0182109828bfe2896eb2b94d0c4befa2608b18cf93</vt:lpwstr>
  </property>
</Properties>
</file>