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C70E" w14:textId="77777777" w:rsidR="00572573" w:rsidRDefault="009E3FEF">
      <w:pPr>
        <w:pStyle w:val="BodyText"/>
        <w:ind w:left="5473"/>
        <w:rPr>
          <w:rFonts w:ascii="Times New Roman"/>
          <w:sz w:val="20"/>
        </w:rPr>
      </w:pPr>
      <w:r>
        <w:rPr>
          <w:rFonts w:ascii="Times New Roman"/>
          <w:noProof/>
          <w:sz w:val="20"/>
        </w:rPr>
        <w:drawing>
          <wp:inline distT="0" distB="0" distL="0" distR="0" wp14:anchorId="15AF4016" wp14:editId="7F3A4FF3">
            <wp:extent cx="458349" cy="444246"/>
            <wp:effectExtent l="0" t="0" r="0" b="0"/>
            <wp:docPr id="1" name="image1.jpeg"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58349" cy="444246"/>
                    </a:xfrm>
                    <a:prstGeom prst="rect">
                      <a:avLst/>
                    </a:prstGeom>
                  </pic:spPr>
                </pic:pic>
              </a:graphicData>
            </a:graphic>
          </wp:inline>
        </w:drawing>
      </w:r>
    </w:p>
    <w:p w14:paraId="6EC63934" w14:textId="77777777" w:rsidR="00572573" w:rsidRDefault="00572573">
      <w:pPr>
        <w:pStyle w:val="BodyText"/>
        <w:spacing w:before="6"/>
        <w:rPr>
          <w:rFonts w:ascii="Times New Roman"/>
          <w:sz w:val="16"/>
        </w:rPr>
      </w:pPr>
    </w:p>
    <w:p w14:paraId="458D66EB" w14:textId="77777777" w:rsidR="00572573" w:rsidRDefault="009E3FEF">
      <w:pPr>
        <w:tabs>
          <w:tab w:val="left" w:pos="960"/>
          <w:tab w:val="left" w:pos="5259"/>
        </w:tabs>
        <w:spacing w:before="42"/>
        <w:ind w:left="400"/>
        <w:jc w:val="center"/>
        <w:rPr>
          <w:rFonts w:ascii="Calibri"/>
          <w:b/>
          <w:sz w:val="30"/>
        </w:rPr>
      </w:pPr>
      <w:r>
        <w:rPr>
          <w:rFonts w:ascii="Calibri"/>
          <w:b/>
          <w:color w:val="FFFFFF"/>
          <w:sz w:val="30"/>
          <w:shd w:val="clear" w:color="auto" w:fill="404040"/>
        </w:rPr>
        <w:t xml:space="preserve"> </w:t>
      </w:r>
      <w:r>
        <w:rPr>
          <w:rFonts w:ascii="Calibri"/>
          <w:b/>
          <w:color w:val="FFFFFF"/>
          <w:sz w:val="30"/>
          <w:shd w:val="clear" w:color="auto" w:fill="404040"/>
        </w:rPr>
        <w:tab/>
        <w:t>HCS MANAGEMENT</w:t>
      </w:r>
      <w:r>
        <w:rPr>
          <w:rFonts w:ascii="Calibri"/>
          <w:b/>
          <w:color w:val="FFFFFF"/>
          <w:spacing w:val="-9"/>
          <w:sz w:val="30"/>
          <w:shd w:val="clear" w:color="auto" w:fill="404040"/>
        </w:rPr>
        <w:t xml:space="preserve"> </w:t>
      </w:r>
      <w:r>
        <w:rPr>
          <w:rFonts w:ascii="Calibri"/>
          <w:b/>
          <w:color w:val="FFFFFF"/>
          <w:sz w:val="30"/>
          <w:shd w:val="clear" w:color="auto" w:fill="404040"/>
        </w:rPr>
        <w:t>BULLETIN</w:t>
      </w:r>
      <w:r>
        <w:rPr>
          <w:rFonts w:ascii="Calibri"/>
          <w:b/>
          <w:color w:val="FFFFFF"/>
          <w:sz w:val="30"/>
          <w:shd w:val="clear" w:color="auto" w:fill="404040"/>
        </w:rPr>
        <w:tab/>
      </w:r>
    </w:p>
    <w:p w14:paraId="5CB215EB" w14:textId="77777777" w:rsidR="00572573" w:rsidRDefault="00572573">
      <w:pPr>
        <w:pStyle w:val="BodyText"/>
        <w:rPr>
          <w:rFonts w:ascii="Calibri"/>
          <w:b/>
          <w:sz w:val="20"/>
        </w:rPr>
      </w:pPr>
    </w:p>
    <w:p w14:paraId="36FFBC54" w14:textId="77777777" w:rsidR="00572573" w:rsidRDefault="00572573">
      <w:pPr>
        <w:pStyle w:val="BodyText"/>
        <w:spacing w:before="2"/>
        <w:rPr>
          <w:rFonts w:ascii="Calibri"/>
          <w:b/>
          <w:sz w:val="21"/>
        </w:rPr>
      </w:pPr>
    </w:p>
    <w:p w14:paraId="0BE8A1D5" w14:textId="77777777" w:rsidR="00572573" w:rsidRDefault="009E3FEF">
      <w:pPr>
        <w:pStyle w:val="Heading1"/>
        <w:spacing w:line="237" w:lineRule="auto"/>
        <w:ind w:left="2863" w:right="2418" w:firstLine="1512"/>
      </w:pPr>
      <w:bookmarkStart w:id="0" w:name="STATE_OF_WASHINGTON"/>
      <w:bookmarkEnd w:id="0"/>
      <w:r>
        <w:rPr>
          <w:color w:val="339933"/>
        </w:rPr>
        <w:t>STATE OF WASHINGTON</w:t>
      </w:r>
      <w:bookmarkStart w:id="1" w:name="DEPARTMENT_OF_SOCIAL_AND_HEALTH_SERVICES"/>
      <w:bookmarkStart w:id="2" w:name="Aging_and_Long-Term_Support_Administrati"/>
      <w:bookmarkEnd w:id="1"/>
      <w:bookmarkEnd w:id="2"/>
      <w:r>
        <w:rPr>
          <w:color w:val="339933"/>
        </w:rPr>
        <w:t xml:space="preserve"> DEPARTMENT OF SOCIAL AND HEALTH SERVICES</w:t>
      </w:r>
    </w:p>
    <w:p w14:paraId="76952E82" w14:textId="77777777" w:rsidR="00572573" w:rsidRDefault="009E3FEF">
      <w:pPr>
        <w:spacing w:before="6" w:line="237" w:lineRule="auto"/>
        <w:ind w:left="3213" w:right="2902"/>
        <w:jc w:val="center"/>
        <w:rPr>
          <w:b/>
          <w:sz w:val="24"/>
        </w:rPr>
      </w:pPr>
      <w:bookmarkStart w:id="3" w:name="Home_and_Community_Services_Division"/>
      <w:bookmarkEnd w:id="3"/>
      <w:r>
        <w:rPr>
          <w:b/>
          <w:color w:val="339933"/>
          <w:sz w:val="24"/>
        </w:rPr>
        <w:t>Aging and Long-Term Support Administration Home and Community Services Division</w:t>
      </w:r>
    </w:p>
    <w:p w14:paraId="54263207" w14:textId="77777777" w:rsidR="00572573" w:rsidRDefault="009E3FEF">
      <w:pPr>
        <w:spacing w:before="4"/>
        <w:ind w:left="308"/>
        <w:jc w:val="center"/>
        <w:rPr>
          <w:rFonts w:ascii="Calibri"/>
          <w:sz w:val="20"/>
        </w:rPr>
      </w:pPr>
      <w:r>
        <w:rPr>
          <w:rFonts w:ascii="Calibri"/>
          <w:color w:val="008000"/>
          <w:sz w:val="20"/>
        </w:rPr>
        <w:t>PO Box 45600, Olympia, WA 98504-5600</w:t>
      </w:r>
    </w:p>
    <w:p w14:paraId="585A19AC" w14:textId="77777777" w:rsidR="00572573" w:rsidRDefault="00572573">
      <w:pPr>
        <w:pStyle w:val="BodyText"/>
        <w:rPr>
          <w:rFonts w:ascii="Calibri"/>
          <w:sz w:val="20"/>
        </w:rPr>
      </w:pPr>
    </w:p>
    <w:p w14:paraId="1397C13D" w14:textId="77777777" w:rsidR="00572573" w:rsidRDefault="00572573">
      <w:pPr>
        <w:pStyle w:val="BodyText"/>
        <w:spacing w:before="4"/>
        <w:rPr>
          <w:rFonts w:ascii="Calibri"/>
          <w:sz w:val="17"/>
        </w:rPr>
      </w:pPr>
    </w:p>
    <w:p w14:paraId="3FDD0E43" w14:textId="23B9AFF6" w:rsidR="00572573" w:rsidRDefault="009E3FEF">
      <w:pPr>
        <w:pStyle w:val="Heading1"/>
        <w:spacing w:line="242" w:lineRule="auto"/>
        <w:ind w:left="4125" w:right="3815"/>
        <w:jc w:val="center"/>
      </w:pPr>
      <w:r>
        <w:rPr>
          <w:noProof/>
        </w:rPr>
        <w:drawing>
          <wp:anchor distT="0" distB="0" distL="0" distR="0" simplePos="0" relativeHeight="251461632" behindDoc="1" locked="0" layoutInCell="1" allowOverlap="1" wp14:anchorId="7B1A13D0" wp14:editId="3276FA31">
            <wp:simplePos x="0" y="0"/>
            <wp:positionH relativeFrom="page">
              <wp:posOffset>5272023</wp:posOffset>
            </wp:positionH>
            <wp:positionV relativeFrom="paragraph">
              <wp:posOffset>1414193</wp:posOffset>
            </wp:positionV>
            <wp:extent cx="924789" cy="5429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24789" cy="542925"/>
                    </a:xfrm>
                    <a:prstGeom prst="rect">
                      <a:avLst/>
                    </a:prstGeom>
                  </pic:spPr>
                </pic:pic>
              </a:graphicData>
            </a:graphic>
          </wp:anchor>
        </w:drawing>
      </w:r>
      <w:r>
        <w:t>H22-012 – Policy &amp; Procedure March 1, 2022</w:t>
      </w:r>
    </w:p>
    <w:p w14:paraId="1E78F6A9" w14:textId="77777777" w:rsidR="00572573" w:rsidRDefault="00572573">
      <w:pPr>
        <w:pStyle w:val="BodyText"/>
        <w:rPr>
          <w:b/>
          <w:sz w:val="20"/>
        </w:rPr>
      </w:pPr>
    </w:p>
    <w:p w14:paraId="219B6E77" w14:textId="77777777" w:rsidR="00572573" w:rsidRDefault="00572573">
      <w:pPr>
        <w:pStyle w:val="BodyText"/>
        <w:spacing w:after="1"/>
        <w:rPr>
          <w:b/>
          <w:sz w:val="23"/>
        </w:rPr>
      </w:pPr>
    </w:p>
    <w:tbl>
      <w:tblPr>
        <w:tblW w:w="0" w:type="auto"/>
        <w:tblInd w:w="213" w:type="dxa"/>
        <w:tblLayout w:type="fixed"/>
        <w:tblCellMar>
          <w:left w:w="0" w:type="dxa"/>
          <w:right w:w="0" w:type="dxa"/>
        </w:tblCellMar>
        <w:tblLook w:val="01E0" w:firstRow="1" w:lastRow="1" w:firstColumn="1" w:lastColumn="1" w:noHBand="0" w:noVBand="0"/>
      </w:tblPr>
      <w:tblGrid>
        <w:gridCol w:w="2289"/>
        <w:gridCol w:w="8756"/>
      </w:tblGrid>
      <w:tr w:rsidR="00572573" w14:paraId="599310FD" w14:textId="77777777">
        <w:trPr>
          <w:trHeight w:val="1133"/>
        </w:trPr>
        <w:tc>
          <w:tcPr>
            <w:tcW w:w="2289" w:type="dxa"/>
          </w:tcPr>
          <w:p w14:paraId="62E98021" w14:textId="77777777" w:rsidR="00572573" w:rsidRDefault="009E3FEF">
            <w:pPr>
              <w:pStyle w:val="TableParagraph"/>
              <w:spacing w:line="270" w:lineRule="exact"/>
              <w:ind w:left="200"/>
              <w:rPr>
                <w:b/>
                <w:sz w:val="24"/>
              </w:rPr>
            </w:pPr>
            <w:r>
              <w:rPr>
                <w:b/>
                <w:sz w:val="24"/>
              </w:rPr>
              <w:t>TO:</w:t>
            </w:r>
          </w:p>
        </w:tc>
        <w:tc>
          <w:tcPr>
            <w:tcW w:w="8756" w:type="dxa"/>
          </w:tcPr>
          <w:p w14:paraId="32E554F8" w14:textId="77777777" w:rsidR="00572573" w:rsidRDefault="009E3FEF">
            <w:pPr>
              <w:pStyle w:val="TableParagraph"/>
              <w:spacing w:line="237" w:lineRule="auto"/>
              <w:ind w:left="253" w:right="1489"/>
            </w:pPr>
            <w:r>
              <w:t>Home and Community Services (HCS) Division Regional Administrators Area Agency on Aging (AAA) Directors</w:t>
            </w:r>
          </w:p>
          <w:p w14:paraId="22F985E9" w14:textId="77777777" w:rsidR="00572573" w:rsidRDefault="009E3FEF">
            <w:pPr>
              <w:pStyle w:val="TableParagraph"/>
              <w:ind w:left="253" w:right="1379"/>
            </w:pPr>
            <w:r>
              <w:t>Residential Care Services (RCS) Division Regional Administrators Developmental Disabilities Administration (DDA) Regional Administrators</w:t>
            </w:r>
          </w:p>
        </w:tc>
      </w:tr>
      <w:tr w:rsidR="00572573" w14:paraId="6EDE22A9" w14:textId="77777777">
        <w:trPr>
          <w:trHeight w:val="1352"/>
        </w:trPr>
        <w:tc>
          <w:tcPr>
            <w:tcW w:w="2289" w:type="dxa"/>
          </w:tcPr>
          <w:p w14:paraId="79FF8F7A" w14:textId="77777777" w:rsidR="00572573" w:rsidRDefault="009E3FEF">
            <w:pPr>
              <w:pStyle w:val="TableParagraph"/>
              <w:spacing w:before="146"/>
              <w:ind w:left="200"/>
              <w:rPr>
                <w:b/>
                <w:sz w:val="24"/>
              </w:rPr>
            </w:pPr>
            <w:r>
              <w:rPr>
                <w:b/>
                <w:sz w:val="24"/>
              </w:rPr>
              <w:t>FROM:</w:t>
            </w:r>
          </w:p>
        </w:tc>
        <w:tc>
          <w:tcPr>
            <w:tcW w:w="8756" w:type="dxa"/>
          </w:tcPr>
          <w:p w14:paraId="5C3025CB" w14:textId="77777777" w:rsidR="00572573" w:rsidRDefault="009E3FEF">
            <w:pPr>
              <w:pStyle w:val="TableParagraph"/>
              <w:spacing w:before="122"/>
              <w:ind w:left="253" w:right="2443"/>
            </w:pPr>
            <w:r>
              <w:t xml:space="preserve">Bea Rector, Director, Home and Community Services Division Mike </w:t>
            </w:r>
            <w:proofErr w:type="spellStart"/>
            <w:r>
              <w:t>Anbesse</w:t>
            </w:r>
            <w:proofErr w:type="spellEnd"/>
            <w:r>
              <w:t>, Director, Residential Care Services</w:t>
            </w:r>
          </w:p>
          <w:p w14:paraId="3E26BAEE" w14:textId="77777777" w:rsidR="00572573" w:rsidRDefault="009E3FEF">
            <w:pPr>
              <w:pStyle w:val="TableParagraph"/>
              <w:spacing w:before="5" w:line="237" w:lineRule="auto"/>
              <w:ind w:left="253" w:right="987"/>
            </w:pPr>
            <w:r>
              <w:t>Beth Krehbiel, Director, Division of Field Services, Developmental Disabilities Administration</w:t>
            </w:r>
          </w:p>
        </w:tc>
      </w:tr>
      <w:tr w:rsidR="00572573" w14:paraId="1F99646F" w14:textId="77777777">
        <w:trPr>
          <w:trHeight w:val="608"/>
        </w:trPr>
        <w:tc>
          <w:tcPr>
            <w:tcW w:w="2289" w:type="dxa"/>
          </w:tcPr>
          <w:p w14:paraId="5AE4A44E" w14:textId="77777777" w:rsidR="00572573" w:rsidRDefault="009E3FEF">
            <w:pPr>
              <w:pStyle w:val="TableParagraph"/>
              <w:spacing w:before="210"/>
              <w:ind w:left="200"/>
              <w:rPr>
                <w:b/>
                <w:sz w:val="24"/>
              </w:rPr>
            </w:pPr>
            <w:r>
              <w:rPr>
                <w:b/>
                <w:sz w:val="24"/>
              </w:rPr>
              <w:t>SUBJECT:</w:t>
            </w:r>
          </w:p>
        </w:tc>
        <w:tc>
          <w:tcPr>
            <w:tcW w:w="8756" w:type="dxa"/>
          </w:tcPr>
          <w:p w14:paraId="1080285E" w14:textId="77777777" w:rsidR="00572573" w:rsidRDefault="009E3FEF">
            <w:pPr>
              <w:pStyle w:val="TableParagraph"/>
              <w:spacing w:before="210"/>
              <w:ind w:left="253"/>
              <w:rPr>
                <w:b/>
                <w:sz w:val="24"/>
              </w:rPr>
            </w:pPr>
            <w:r>
              <w:rPr>
                <w:b/>
                <w:sz w:val="24"/>
              </w:rPr>
              <w:t>Resuming Fingerprinting for Providers</w:t>
            </w:r>
          </w:p>
        </w:tc>
      </w:tr>
      <w:tr w:rsidR="00572573" w14:paraId="6F39EE08" w14:textId="77777777">
        <w:trPr>
          <w:trHeight w:val="3321"/>
        </w:trPr>
        <w:tc>
          <w:tcPr>
            <w:tcW w:w="2289" w:type="dxa"/>
          </w:tcPr>
          <w:p w14:paraId="5AAEB856" w14:textId="77777777" w:rsidR="00572573" w:rsidRDefault="009E3FEF">
            <w:pPr>
              <w:pStyle w:val="TableParagraph"/>
              <w:spacing w:before="115"/>
              <w:ind w:left="200"/>
              <w:rPr>
                <w:b/>
                <w:sz w:val="24"/>
              </w:rPr>
            </w:pPr>
            <w:r>
              <w:rPr>
                <w:b/>
                <w:sz w:val="24"/>
              </w:rPr>
              <w:t>PURPOSE:</w:t>
            </w:r>
          </w:p>
        </w:tc>
        <w:tc>
          <w:tcPr>
            <w:tcW w:w="8756" w:type="dxa"/>
          </w:tcPr>
          <w:p w14:paraId="7BE2960D" w14:textId="77777777" w:rsidR="00572573" w:rsidRDefault="009E3FEF">
            <w:pPr>
              <w:pStyle w:val="TableParagraph"/>
              <w:spacing w:before="115"/>
              <w:ind w:left="253" w:right="730"/>
            </w:pPr>
            <w:r>
              <w:t>To inform HCS, AAA, and DDA staff of Emergency WAC 388-06-0550, effective May 1, 2022, requiring providers to complete fingerprinting.</w:t>
            </w:r>
          </w:p>
          <w:p w14:paraId="3EA3769F" w14:textId="77777777" w:rsidR="00572573" w:rsidRDefault="00572573">
            <w:pPr>
              <w:pStyle w:val="TableParagraph"/>
              <w:spacing w:before="11"/>
              <w:rPr>
                <w:b/>
                <w:sz w:val="21"/>
              </w:rPr>
            </w:pPr>
          </w:p>
          <w:p w14:paraId="200A7C05" w14:textId="77777777" w:rsidR="00572573" w:rsidRDefault="009E3FEF">
            <w:pPr>
              <w:pStyle w:val="TableParagraph"/>
              <w:ind w:left="253"/>
            </w:pPr>
            <w:r>
              <w:t>This WAC will impact:</w:t>
            </w:r>
          </w:p>
          <w:p w14:paraId="4D447F84" w14:textId="77777777" w:rsidR="00572573" w:rsidRDefault="009E3FEF">
            <w:pPr>
              <w:pStyle w:val="TableParagraph"/>
              <w:numPr>
                <w:ilvl w:val="0"/>
                <w:numId w:val="1"/>
              </w:numPr>
              <w:tabs>
                <w:tab w:val="left" w:pos="973"/>
                <w:tab w:val="left" w:pos="974"/>
              </w:tabs>
              <w:spacing w:before="5" w:line="235" w:lineRule="auto"/>
              <w:ind w:right="784"/>
            </w:pPr>
            <w:r>
              <w:t>Current providers who require fingerprinting and began working anytime between November 1, 2019, through April 30, 2022;</w:t>
            </w:r>
            <w:r>
              <w:rPr>
                <w:spacing w:val="-10"/>
              </w:rPr>
              <w:t xml:space="preserve"> </w:t>
            </w:r>
            <w:r>
              <w:t>and</w:t>
            </w:r>
          </w:p>
          <w:p w14:paraId="57DCD187" w14:textId="77777777" w:rsidR="00572573" w:rsidRDefault="009E3FEF">
            <w:pPr>
              <w:pStyle w:val="TableParagraph"/>
              <w:numPr>
                <w:ilvl w:val="0"/>
                <w:numId w:val="1"/>
              </w:numPr>
              <w:tabs>
                <w:tab w:val="left" w:pos="973"/>
                <w:tab w:val="left" w:pos="974"/>
              </w:tabs>
              <w:spacing w:before="2"/>
              <w:ind w:right="197" w:hanging="360"/>
            </w:pPr>
            <w:r>
              <w:t>New providers who require fingerprinting and begin working on or after May 1, 2022.</w:t>
            </w:r>
          </w:p>
          <w:p w14:paraId="4D5F1B6F" w14:textId="77777777" w:rsidR="00572573" w:rsidRDefault="00572573">
            <w:pPr>
              <w:pStyle w:val="TableParagraph"/>
              <w:spacing w:before="9"/>
              <w:rPr>
                <w:b/>
                <w:sz w:val="21"/>
              </w:rPr>
            </w:pPr>
          </w:p>
          <w:p w14:paraId="54AC40AC" w14:textId="77777777" w:rsidR="00572573" w:rsidRDefault="009E3FEF">
            <w:pPr>
              <w:pStyle w:val="TableParagraph"/>
              <w:spacing w:before="1"/>
              <w:ind w:left="253" w:right="925" w:hanging="1"/>
            </w:pPr>
            <w:r>
              <w:t>WACs 388-06-0030 through 388-06-0530 have also been amended to update provisional hire requirements and ensure they are consistent with current requirements and language in WAC chapter 388-113.</w:t>
            </w:r>
          </w:p>
        </w:tc>
      </w:tr>
      <w:tr w:rsidR="00572573" w14:paraId="405293FC" w14:textId="77777777">
        <w:trPr>
          <w:trHeight w:val="2662"/>
        </w:trPr>
        <w:tc>
          <w:tcPr>
            <w:tcW w:w="2289" w:type="dxa"/>
          </w:tcPr>
          <w:p w14:paraId="1C6DAA29" w14:textId="77777777" w:rsidR="00572573" w:rsidRDefault="009E3FEF">
            <w:pPr>
              <w:pStyle w:val="TableParagraph"/>
              <w:spacing w:before="134"/>
              <w:ind w:left="200"/>
              <w:rPr>
                <w:b/>
                <w:sz w:val="24"/>
              </w:rPr>
            </w:pPr>
            <w:r>
              <w:rPr>
                <w:b/>
                <w:sz w:val="24"/>
              </w:rPr>
              <w:t>BACKGROUND:</w:t>
            </w:r>
          </w:p>
        </w:tc>
        <w:tc>
          <w:tcPr>
            <w:tcW w:w="8756" w:type="dxa"/>
          </w:tcPr>
          <w:p w14:paraId="3625A71C" w14:textId="77777777" w:rsidR="00572573" w:rsidRDefault="009E3FEF">
            <w:pPr>
              <w:pStyle w:val="TableParagraph"/>
              <w:spacing w:before="134"/>
              <w:ind w:left="253" w:right="387"/>
            </w:pPr>
            <w:r>
              <w:t>Due to the public health emergency, Governor Inslee issued a proclamation temporarily waiving fingerprint checks for providers. In addition, during the height of the pandemic, some fingerprinting locations were closed or had reduced hours.</w:t>
            </w:r>
          </w:p>
          <w:p w14:paraId="5D88AA32" w14:textId="77777777" w:rsidR="00572573" w:rsidRDefault="00572573">
            <w:pPr>
              <w:pStyle w:val="TableParagraph"/>
              <w:spacing w:before="1"/>
              <w:rPr>
                <w:b/>
              </w:rPr>
            </w:pPr>
          </w:p>
          <w:p w14:paraId="5EF635E0" w14:textId="77777777" w:rsidR="00572573" w:rsidRDefault="009E3FEF">
            <w:pPr>
              <w:pStyle w:val="TableParagraph"/>
              <w:ind w:left="253" w:right="436"/>
            </w:pPr>
            <w:r>
              <w:t>While the proclamation is still in effect, most fingerprinting sites are open and can safely meet the needs of providers. Even though sites have been open for some time, fingerprint utilization has been low (typically around 55% of appointment slots are being filled) and the backlog of providers who will eventually need to complete</w:t>
            </w:r>
          </w:p>
          <w:p w14:paraId="267DB9EE" w14:textId="77777777" w:rsidR="00572573" w:rsidRDefault="009E3FEF">
            <w:pPr>
              <w:pStyle w:val="TableParagraph"/>
              <w:spacing w:before="7" w:line="250" w:lineRule="exact"/>
              <w:ind w:left="253" w:right="717"/>
            </w:pPr>
            <w:r>
              <w:t>fingerprinting is growing. The statewide number is around 36,000, based on raw data from the background check system.</w:t>
            </w:r>
          </w:p>
        </w:tc>
      </w:tr>
    </w:tbl>
    <w:p w14:paraId="3B04110D" w14:textId="77777777" w:rsidR="00572573" w:rsidRDefault="00572573">
      <w:pPr>
        <w:pStyle w:val="BodyText"/>
        <w:rPr>
          <w:b/>
          <w:sz w:val="20"/>
        </w:rPr>
      </w:pPr>
    </w:p>
    <w:p w14:paraId="260EE5C8" w14:textId="77777777" w:rsidR="00572573" w:rsidRDefault="009E3FEF">
      <w:pPr>
        <w:pStyle w:val="BodyText"/>
        <w:spacing w:before="3"/>
        <w:rPr>
          <w:b/>
          <w:sz w:val="24"/>
        </w:rPr>
      </w:pPr>
      <w:r>
        <w:rPr>
          <w:noProof/>
        </w:rPr>
        <w:drawing>
          <wp:anchor distT="0" distB="0" distL="0" distR="0" simplePos="0" relativeHeight="251658240" behindDoc="0" locked="0" layoutInCell="1" allowOverlap="1" wp14:anchorId="1968E55F" wp14:editId="6834307F">
            <wp:simplePos x="0" y="0"/>
            <wp:positionH relativeFrom="page">
              <wp:posOffset>6503670</wp:posOffset>
            </wp:positionH>
            <wp:positionV relativeFrom="paragraph">
              <wp:posOffset>202180</wp:posOffset>
            </wp:positionV>
            <wp:extent cx="715572" cy="39128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715572" cy="391287"/>
                    </a:xfrm>
                    <a:prstGeom prst="rect">
                      <a:avLst/>
                    </a:prstGeom>
                  </pic:spPr>
                </pic:pic>
              </a:graphicData>
            </a:graphic>
          </wp:anchor>
        </w:drawing>
      </w:r>
    </w:p>
    <w:p w14:paraId="2491FD21" w14:textId="77777777" w:rsidR="00572573" w:rsidRDefault="00572573">
      <w:pPr>
        <w:rPr>
          <w:sz w:val="24"/>
        </w:rPr>
        <w:sectPr w:rsidR="00572573">
          <w:type w:val="continuous"/>
          <w:pgSz w:w="12240" w:h="15840"/>
          <w:pgMar w:top="520" w:right="460" w:bottom="280" w:left="420" w:header="720" w:footer="72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329"/>
        <w:gridCol w:w="8738"/>
      </w:tblGrid>
      <w:tr w:rsidR="00572573" w14:paraId="134A3D5D" w14:textId="77777777">
        <w:trPr>
          <w:trHeight w:val="3814"/>
        </w:trPr>
        <w:tc>
          <w:tcPr>
            <w:tcW w:w="2329" w:type="dxa"/>
          </w:tcPr>
          <w:p w14:paraId="0FA89BCE" w14:textId="77777777" w:rsidR="00572573" w:rsidRDefault="00572573">
            <w:pPr>
              <w:pStyle w:val="TableParagraph"/>
              <w:rPr>
                <w:rFonts w:ascii="Times New Roman"/>
              </w:rPr>
            </w:pPr>
          </w:p>
        </w:tc>
        <w:tc>
          <w:tcPr>
            <w:tcW w:w="8738" w:type="dxa"/>
          </w:tcPr>
          <w:p w14:paraId="526DE5E2" w14:textId="77777777" w:rsidR="00572573" w:rsidRDefault="009E3FEF">
            <w:pPr>
              <w:pStyle w:val="TableParagraph"/>
              <w:ind w:left="319" w:right="231"/>
            </w:pPr>
            <w:r>
              <w:t>Providers have several valid reasons for not completing fingerprint checks- inability to take time away from clients or work, health/safety concerns, misinformation about whether fingerprinting sites are open, low urgency, etc. but the numbers are continuing to grow making steps toward resolution necessary before the end of the proclamation.</w:t>
            </w:r>
          </w:p>
          <w:p w14:paraId="5D18E3D8" w14:textId="77777777" w:rsidR="00572573" w:rsidRDefault="00572573">
            <w:pPr>
              <w:pStyle w:val="TableParagraph"/>
              <w:spacing w:before="3"/>
              <w:rPr>
                <w:b/>
                <w:sz w:val="21"/>
              </w:rPr>
            </w:pPr>
          </w:p>
          <w:p w14:paraId="1EE9C005" w14:textId="77777777" w:rsidR="00572573" w:rsidRDefault="009E3FEF">
            <w:pPr>
              <w:pStyle w:val="TableParagraph"/>
              <w:spacing w:before="1"/>
              <w:ind w:left="319" w:right="303"/>
            </w:pPr>
            <w:r>
              <w:t>Putting an emergency WAC into place prior to the end of the proclamation prevents future capacity issues by decreasing the backlog. It gets fingerprinting “back to normal”, and reinstates a requirement designed to protect the health and safety of residents and clients. Sites are open, have capacity, and have safety measures in place.</w:t>
            </w:r>
          </w:p>
          <w:p w14:paraId="08783E89" w14:textId="77777777" w:rsidR="00572573" w:rsidRDefault="00572573">
            <w:pPr>
              <w:pStyle w:val="TableParagraph"/>
              <w:spacing w:before="10"/>
              <w:rPr>
                <w:b/>
                <w:sz w:val="21"/>
              </w:rPr>
            </w:pPr>
          </w:p>
          <w:p w14:paraId="0803C286" w14:textId="77777777" w:rsidR="00572573" w:rsidRDefault="009E3FEF">
            <w:pPr>
              <w:pStyle w:val="TableParagraph"/>
              <w:ind w:left="319" w:right="890"/>
            </w:pPr>
            <w:r>
              <w:t>Steps will be in place to monitor the completion of fingerprinting to ensure the requirement does not negatively impact the workforce or client services.</w:t>
            </w:r>
          </w:p>
        </w:tc>
      </w:tr>
      <w:tr w:rsidR="00572573" w14:paraId="55CE2500" w14:textId="77777777">
        <w:trPr>
          <w:trHeight w:val="3816"/>
        </w:trPr>
        <w:tc>
          <w:tcPr>
            <w:tcW w:w="2329" w:type="dxa"/>
          </w:tcPr>
          <w:p w14:paraId="2220D27B" w14:textId="77777777" w:rsidR="00572573" w:rsidRDefault="00572573">
            <w:pPr>
              <w:pStyle w:val="TableParagraph"/>
              <w:spacing w:before="9"/>
              <w:rPr>
                <w:b/>
                <w:sz w:val="23"/>
              </w:rPr>
            </w:pPr>
          </w:p>
          <w:p w14:paraId="60378D47" w14:textId="77777777" w:rsidR="00572573" w:rsidRDefault="009E3FEF">
            <w:pPr>
              <w:pStyle w:val="TableParagraph"/>
              <w:ind w:left="305" w:right="317"/>
              <w:jc w:val="both"/>
              <w:rPr>
                <w:b/>
                <w:sz w:val="24"/>
              </w:rPr>
            </w:pPr>
            <w:r>
              <w:rPr>
                <w:b/>
                <w:sz w:val="24"/>
              </w:rPr>
              <w:t>WHAT’S NEW, CHANGED, OR CLARIFIED:</w:t>
            </w:r>
          </w:p>
        </w:tc>
        <w:tc>
          <w:tcPr>
            <w:tcW w:w="8738" w:type="dxa"/>
          </w:tcPr>
          <w:p w14:paraId="4E33B967" w14:textId="77777777" w:rsidR="00572573" w:rsidRDefault="00572573">
            <w:pPr>
              <w:pStyle w:val="TableParagraph"/>
              <w:spacing w:before="9"/>
              <w:rPr>
                <w:b/>
                <w:sz w:val="23"/>
              </w:rPr>
            </w:pPr>
          </w:p>
          <w:p w14:paraId="315C91BD" w14:textId="77777777" w:rsidR="00572573" w:rsidRDefault="009E3FEF">
            <w:pPr>
              <w:pStyle w:val="TableParagraph"/>
              <w:spacing w:line="251" w:lineRule="exact"/>
              <w:ind w:left="319"/>
              <w:rPr>
                <w:b/>
              </w:rPr>
            </w:pPr>
            <w:r>
              <w:rPr>
                <w:b/>
              </w:rPr>
              <w:t>Emergency WAC Effective May 1, 2022:</w:t>
            </w:r>
          </w:p>
          <w:p w14:paraId="474FDA06" w14:textId="77777777" w:rsidR="00572573" w:rsidRDefault="009E3FEF">
            <w:pPr>
              <w:pStyle w:val="TableParagraph"/>
              <w:ind w:left="318" w:right="198"/>
            </w:pPr>
            <w:r>
              <w:t>Providers requiring fingerprinting who began working between November 1, 2019, and April 30, 2022, have 120-days to obtain non-disqualifying fingerprint results from the Background Check Central Unit (BCCU). This means that providers must have non-disqualifying results dated no later than August 28, 2022.</w:t>
            </w:r>
          </w:p>
          <w:p w14:paraId="5D6BF444" w14:textId="77777777" w:rsidR="00572573" w:rsidRDefault="00572573">
            <w:pPr>
              <w:pStyle w:val="TableParagraph"/>
              <w:spacing w:before="2"/>
              <w:rPr>
                <w:b/>
              </w:rPr>
            </w:pPr>
          </w:p>
          <w:p w14:paraId="1186B79D" w14:textId="77777777" w:rsidR="00572573" w:rsidRDefault="009E3FEF">
            <w:pPr>
              <w:pStyle w:val="TableParagraph"/>
              <w:spacing w:line="237" w:lineRule="auto"/>
              <w:ind w:left="319" w:right="402" w:hanging="1"/>
            </w:pPr>
            <w:r>
              <w:t>Providers requiring fingerprinting hired on or after May 1, 2022, will have 120-days from the date they begin providing care to get their fingerprint results from BCCU.</w:t>
            </w:r>
          </w:p>
          <w:p w14:paraId="783EAC84" w14:textId="77777777" w:rsidR="00572573" w:rsidRDefault="00572573">
            <w:pPr>
              <w:pStyle w:val="TableParagraph"/>
              <w:spacing w:before="4"/>
              <w:rPr>
                <w:b/>
              </w:rPr>
            </w:pPr>
          </w:p>
          <w:p w14:paraId="176D43C9" w14:textId="77777777" w:rsidR="00572573" w:rsidRDefault="009E3FEF">
            <w:pPr>
              <w:pStyle w:val="TableParagraph"/>
              <w:spacing w:before="1" w:line="237" w:lineRule="auto"/>
              <w:ind w:left="319" w:right="231"/>
            </w:pPr>
            <w:r>
              <w:t>New providers must make a fingerprint appointment before providing care, per current WAC 388-113-0109 and emergency WAC 388-06-0525. This requirement has been in place in WAC chapter 388-113</w:t>
            </w:r>
            <w:hyperlink w:anchor="_bookmark0" w:history="1">
              <w:r>
                <w:rPr>
                  <w:position w:val="8"/>
                  <w:sz w:val="14"/>
                </w:rPr>
                <w:t>1</w:t>
              </w:r>
            </w:hyperlink>
            <w:r>
              <w:rPr>
                <w:position w:val="8"/>
                <w:sz w:val="14"/>
              </w:rPr>
              <w:t xml:space="preserve"> </w:t>
            </w:r>
            <w:r>
              <w:t>but not previously enforced because of the proclamation suspending fingerprint checks.</w:t>
            </w:r>
          </w:p>
        </w:tc>
      </w:tr>
      <w:tr w:rsidR="00572573" w14:paraId="148AEBDE" w14:textId="77777777">
        <w:trPr>
          <w:trHeight w:val="5682"/>
        </w:trPr>
        <w:tc>
          <w:tcPr>
            <w:tcW w:w="2329" w:type="dxa"/>
          </w:tcPr>
          <w:p w14:paraId="606E4691" w14:textId="77777777" w:rsidR="00572573" w:rsidRDefault="00572573">
            <w:pPr>
              <w:pStyle w:val="TableParagraph"/>
              <w:spacing w:before="8"/>
              <w:rPr>
                <w:b/>
                <w:sz w:val="21"/>
              </w:rPr>
            </w:pPr>
          </w:p>
          <w:p w14:paraId="01961327" w14:textId="77777777" w:rsidR="00572573" w:rsidRDefault="009E3FEF">
            <w:pPr>
              <w:pStyle w:val="TableParagraph"/>
              <w:ind w:left="305"/>
              <w:rPr>
                <w:b/>
                <w:sz w:val="24"/>
              </w:rPr>
            </w:pPr>
            <w:r>
              <w:rPr>
                <w:b/>
                <w:sz w:val="24"/>
              </w:rPr>
              <w:t>ACTION:</w:t>
            </w:r>
          </w:p>
        </w:tc>
        <w:tc>
          <w:tcPr>
            <w:tcW w:w="8738" w:type="dxa"/>
          </w:tcPr>
          <w:p w14:paraId="756976E9" w14:textId="77777777" w:rsidR="00572573" w:rsidRDefault="00572573">
            <w:pPr>
              <w:pStyle w:val="TableParagraph"/>
              <w:spacing w:before="7"/>
              <w:rPr>
                <w:b/>
                <w:sz w:val="21"/>
              </w:rPr>
            </w:pPr>
          </w:p>
          <w:p w14:paraId="6A03CE3E" w14:textId="77777777" w:rsidR="00572573" w:rsidRDefault="009E3FEF">
            <w:pPr>
              <w:pStyle w:val="TableParagraph"/>
              <w:spacing w:before="1"/>
              <w:ind w:left="319"/>
              <w:rPr>
                <w:b/>
              </w:rPr>
            </w:pPr>
            <w:r>
              <w:rPr>
                <w:b/>
              </w:rPr>
              <w:t>Effective May 1, 2022</w:t>
            </w:r>
          </w:p>
          <w:p w14:paraId="2F0C00CF" w14:textId="77777777" w:rsidR="00572573" w:rsidRDefault="00572573">
            <w:pPr>
              <w:pStyle w:val="TableParagraph"/>
              <w:spacing w:before="2"/>
              <w:rPr>
                <w:b/>
              </w:rPr>
            </w:pPr>
          </w:p>
          <w:p w14:paraId="7A87C855" w14:textId="77777777" w:rsidR="00572573" w:rsidRDefault="009E3FEF">
            <w:pPr>
              <w:pStyle w:val="TableParagraph"/>
              <w:spacing w:line="251" w:lineRule="exact"/>
              <w:ind w:left="319"/>
              <w:rPr>
                <w:b/>
              </w:rPr>
            </w:pPr>
            <w:r>
              <w:rPr>
                <w:b/>
              </w:rPr>
              <w:t>Contracted providers requiring fingerprints:</w:t>
            </w:r>
          </w:p>
          <w:p w14:paraId="461D5B7E" w14:textId="77777777" w:rsidR="00572573" w:rsidRDefault="009E3FEF">
            <w:pPr>
              <w:pStyle w:val="TableParagraph"/>
              <w:spacing w:line="251" w:lineRule="exact"/>
              <w:ind w:left="319"/>
              <w:rPr>
                <w:b/>
              </w:rPr>
            </w:pPr>
            <w:r>
              <w:rPr>
                <w:b/>
              </w:rPr>
              <w:t>Backlog</w:t>
            </w:r>
          </w:p>
          <w:p w14:paraId="6F4BB8ED" w14:textId="77777777" w:rsidR="00572573" w:rsidRDefault="009E3FEF">
            <w:pPr>
              <w:pStyle w:val="TableParagraph"/>
              <w:spacing w:before="2"/>
              <w:ind w:left="319" w:right="231"/>
              <w:rPr>
                <w:sz w:val="24"/>
              </w:rPr>
            </w:pPr>
            <w:r>
              <w:t>Notify all contracted providers</w:t>
            </w:r>
            <w:hyperlink w:anchor="_bookmark1" w:history="1">
              <w:r>
                <w:rPr>
                  <w:position w:val="8"/>
                  <w:sz w:val="14"/>
                </w:rPr>
                <w:t>2</w:t>
              </w:r>
            </w:hyperlink>
            <w:r>
              <w:rPr>
                <w:position w:val="8"/>
                <w:sz w:val="14"/>
              </w:rPr>
              <w:t xml:space="preserve"> </w:t>
            </w:r>
            <w:r>
              <w:t xml:space="preserve">who </w:t>
            </w:r>
            <w:r>
              <w:rPr>
                <w:sz w:val="24"/>
              </w:rPr>
              <w:t>began working between November 1, 2019, and April 30, 2022, that they have 120-days to obtain non-disqualifying fingerprint results from the Background Check Central Unit (BCCU). This means that providers must have non-disqualifying results dated no later than August 28, 2022. Monitor for compliance with fingerprint completion, per normal procedures.</w:t>
            </w:r>
          </w:p>
          <w:p w14:paraId="4702593A" w14:textId="77777777" w:rsidR="00572573" w:rsidRDefault="00572573">
            <w:pPr>
              <w:pStyle w:val="TableParagraph"/>
              <w:spacing w:before="9"/>
              <w:rPr>
                <w:b/>
                <w:sz w:val="23"/>
              </w:rPr>
            </w:pPr>
          </w:p>
          <w:p w14:paraId="4025ED19" w14:textId="77777777" w:rsidR="00572573" w:rsidRDefault="009E3FEF">
            <w:pPr>
              <w:pStyle w:val="TableParagraph"/>
              <w:ind w:left="319"/>
              <w:rPr>
                <w:b/>
              </w:rPr>
            </w:pPr>
            <w:r>
              <w:rPr>
                <w:b/>
              </w:rPr>
              <w:t>New providers requiring fingerprints:</w:t>
            </w:r>
          </w:p>
          <w:p w14:paraId="0A05A88F" w14:textId="77777777" w:rsidR="00572573" w:rsidRDefault="009E3FEF">
            <w:pPr>
              <w:pStyle w:val="TableParagraph"/>
              <w:spacing w:before="2"/>
              <w:ind w:left="318" w:right="402"/>
            </w:pPr>
            <w:r>
              <w:t>Notify all new providers hired on or after May 1, 2022, that they will have 120-days from the date they begin providing care to get their fingerprint results from BCCU. Monitor for compliance with fingerprint completion, per normal procedures.</w:t>
            </w:r>
          </w:p>
          <w:p w14:paraId="16202C93" w14:textId="77777777" w:rsidR="00572573" w:rsidRDefault="00572573">
            <w:pPr>
              <w:pStyle w:val="TableParagraph"/>
              <w:rPr>
                <w:b/>
              </w:rPr>
            </w:pPr>
          </w:p>
          <w:p w14:paraId="6B5AC6D6" w14:textId="77777777" w:rsidR="00572573" w:rsidRDefault="009E3FEF">
            <w:pPr>
              <w:pStyle w:val="TableParagraph"/>
              <w:ind w:left="319" w:right="254"/>
            </w:pPr>
            <w:r>
              <w:t>Ensure all new providers have a fingerprint appointment scheduled before providing care, per current WAC 388-113-0109 and emergency WAC 388-06-0525. This requirement has been in place in WAC chapter 388-113 but not previously enforced because of the proclamation suspending fingerprint checks.</w:t>
            </w:r>
          </w:p>
        </w:tc>
      </w:tr>
    </w:tbl>
    <w:p w14:paraId="30875B52" w14:textId="4AB7777B" w:rsidR="00572573" w:rsidRDefault="00112BB3">
      <w:pPr>
        <w:pStyle w:val="BodyText"/>
        <w:spacing w:line="20" w:lineRule="exact"/>
        <w:ind w:left="292"/>
        <w:rPr>
          <w:sz w:val="2"/>
        </w:rPr>
      </w:pPr>
      <w:r>
        <w:rPr>
          <w:noProof/>
          <w:sz w:val="2"/>
        </w:rPr>
        <mc:AlternateContent>
          <mc:Choice Requires="wpg">
            <w:drawing>
              <wp:inline distT="0" distB="0" distL="0" distR="0" wp14:anchorId="5BCFDBE2" wp14:editId="2C72C9E1">
                <wp:extent cx="1828800" cy="9525"/>
                <wp:effectExtent l="13970" t="5080" r="508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525"/>
                          <a:chOff x="0" y="0"/>
                          <a:chExt cx="2880" cy="15"/>
                        </a:xfrm>
                      </wpg:grpSpPr>
                      <wps:wsp>
                        <wps:cNvPr id="4" name="Line 3"/>
                        <wps:cNvCnPr>
                          <a:cxnSpLocks noChangeShapeType="1"/>
                        </wps:cNvCnPr>
                        <wps:spPr bwMode="auto">
                          <a:xfrm>
                            <a:off x="0" y="7"/>
                            <a:ext cx="28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39D869" id="Group 2" o:spid="_x0000_s1026" style="width:2in;height:.75pt;mso-position-horizontal-relative:char;mso-position-vertical-relative:line" coordsize="28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">
                <v:line id="Line 3" o:spid="_x0000_s1027" style="position:absolute;visibility:visible;mso-wrap-style:square" from="0,7" to="28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anchorlock/>
              </v:group>
            </w:pict>
          </mc:Fallback>
        </mc:AlternateContent>
      </w:r>
    </w:p>
    <w:p w14:paraId="53C7310E" w14:textId="77777777" w:rsidR="00572573" w:rsidRDefault="009E3FEF">
      <w:pPr>
        <w:spacing w:before="80" w:line="246" w:lineRule="exact"/>
        <w:ind w:left="300"/>
        <w:rPr>
          <w:rFonts w:ascii="Calibri"/>
          <w:sz w:val="20"/>
        </w:rPr>
      </w:pPr>
      <w:bookmarkStart w:id="4" w:name="_bookmark0"/>
      <w:bookmarkEnd w:id="4"/>
      <w:r>
        <w:rPr>
          <w:rFonts w:ascii="Calibri"/>
          <w:position w:val="7"/>
          <w:sz w:val="13"/>
        </w:rPr>
        <w:t xml:space="preserve">1 </w:t>
      </w:r>
      <w:r>
        <w:rPr>
          <w:rFonts w:ascii="Calibri"/>
          <w:sz w:val="20"/>
        </w:rPr>
        <w:t>See MB H21-076, Changes to Washington Administrative Code (WAC) Chapters 388-71 and 388-113.</w:t>
      </w:r>
    </w:p>
    <w:p w14:paraId="1BB1BEE1" w14:textId="77777777" w:rsidR="00572573" w:rsidRDefault="009E3FEF">
      <w:pPr>
        <w:ind w:left="300" w:hanging="1"/>
        <w:rPr>
          <w:rFonts w:ascii="Calibri"/>
          <w:sz w:val="20"/>
        </w:rPr>
      </w:pPr>
      <w:bookmarkStart w:id="5" w:name="_bookmark1"/>
      <w:bookmarkEnd w:id="5"/>
      <w:r>
        <w:rPr>
          <w:rFonts w:ascii="Calibri"/>
          <w:position w:val="7"/>
          <w:sz w:val="13"/>
        </w:rPr>
        <w:t xml:space="preserve">2 </w:t>
      </w:r>
      <w:r>
        <w:rPr>
          <w:rFonts w:ascii="Calibri"/>
          <w:sz w:val="20"/>
        </w:rPr>
        <w:t>All actions related to IPs will be managed by the CDE. If there are unusual circumstances related to the transition of an IP past May 1, 2022, consult with the contacts on this MB.</w:t>
      </w:r>
    </w:p>
    <w:p w14:paraId="0CF47A95" w14:textId="77777777" w:rsidR="00572573" w:rsidRDefault="00572573">
      <w:pPr>
        <w:rPr>
          <w:rFonts w:ascii="Calibri"/>
          <w:sz w:val="20"/>
        </w:rPr>
        <w:sectPr w:rsidR="00572573">
          <w:pgSz w:w="12240" w:h="15840"/>
          <w:pgMar w:top="720" w:right="460" w:bottom="280" w:left="420" w:header="720" w:footer="720" w:gutter="0"/>
          <w:cols w:space="720"/>
        </w:sectPr>
      </w:pPr>
    </w:p>
    <w:p w14:paraId="1A0F6C7D" w14:textId="77777777" w:rsidR="00572573" w:rsidRDefault="009E3FEF">
      <w:pPr>
        <w:spacing w:before="64"/>
        <w:ind w:left="2748"/>
        <w:rPr>
          <w:b/>
        </w:rPr>
      </w:pPr>
      <w:r>
        <w:rPr>
          <w:b/>
        </w:rPr>
        <w:lastRenderedPageBreak/>
        <w:t>Home Care Agencies and Consumer Directed Employer</w:t>
      </w:r>
    </w:p>
    <w:p w14:paraId="5CC1C064" w14:textId="77777777" w:rsidR="00572573" w:rsidRDefault="009E3FEF">
      <w:pPr>
        <w:pStyle w:val="BodyText"/>
        <w:spacing w:before="1"/>
        <w:ind w:left="2748" w:right="507"/>
      </w:pPr>
      <w:r>
        <w:t>Contracts for the Home Care Agencies and the Consumer Directed Employer require that policies written in all Management Bulletins are followed, including the information in this MB and the related Emergency WACs it explains.</w:t>
      </w:r>
    </w:p>
    <w:p w14:paraId="0FFE9306" w14:textId="77777777" w:rsidR="00572573" w:rsidRDefault="00572573">
      <w:pPr>
        <w:pStyle w:val="BodyText"/>
        <w:rPr>
          <w:sz w:val="20"/>
        </w:rPr>
      </w:pPr>
    </w:p>
    <w:p w14:paraId="345B06BA" w14:textId="77777777" w:rsidR="00572573" w:rsidRDefault="00572573">
      <w:pPr>
        <w:pStyle w:val="BodyText"/>
        <w:spacing w:before="3"/>
        <w:rPr>
          <w:sz w:val="16"/>
        </w:rPr>
      </w:pPr>
    </w:p>
    <w:p w14:paraId="231DD43B" w14:textId="77777777" w:rsidR="00572573" w:rsidRDefault="009E3FEF">
      <w:pPr>
        <w:pStyle w:val="Heading1"/>
        <w:spacing w:before="94" w:line="237" w:lineRule="auto"/>
        <w:ind w:right="8121"/>
      </w:pPr>
      <w:r>
        <w:t>RELATED REFERENCES:</w:t>
      </w:r>
    </w:p>
    <w:p w14:paraId="4A6399EC" w14:textId="77777777" w:rsidR="00572573" w:rsidRDefault="00572573">
      <w:pPr>
        <w:pStyle w:val="BodyText"/>
        <w:rPr>
          <w:b/>
          <w:sz w:val="26"/>
        </w:rPr>
      </w:pPr>
    </w:p>
    <w:p w14:paraId="6A14DF4E" w14:textId="77777777" w:rsidR="00572573" w:rsidRDefault="00572573">
      <w:pPr>
        <w:pStyle w:val="BodyText"/>
        <w:rPr>
          <w:b/>
          <w:sz w:val="26"/>
        </w:rPr>
      </w:pPr>
    </w:p>
    <w:p w14:paraId="3DC794BE" w14:textId="77777777" w:rsidR="00572573" w:rsidRDefault="00572573">
      <w:pPr>
        <w:pStyle w:val="BodyText"/>
        <w:spacing w:before="8"/>
        <w:rPr>
          <w:b/>
          <w:sz w:val="29"/>
        </w:rPr>
      </w:pPr>
    </w:p>
    <w:p w14:paraId="2CA21BF6" w14:textId="77777777" w:rsidR="00572573" w:rsidRDefault="009E3FEF">
      <w:pPr>
        <w:tabs>
          <w:tab w:val="left" w:pos="2747"/>
        </w:tabs>
        <w:spacing w:line="275" w:lineRule="exact"/>
        <w:ind w:left="405"/>
        <w:rPr>
          <w:b/>
          <w:sz w:val="24"/>
        </w:rPr>
      </w:pPr>
      <w:r>
        <w:rPr>
          <w:b/>
          <w:sz w:val="24"/>
        </w:rPr>
        <w:t>ATTACHMENT(S):</w:t>
      </w:r>
      <w:r>
        <w:rPr>
          <w:b/>
          <w:sz w:val="24"/>
        </w:rPr>
        <w:tab/>
        <w:t>WAC</w:t>
      </w:r>
      <w:r>
        <w:rPr>
          <w:b/>
          <w:spacing w:val="-2"/>
          <w:sz w:val="24"/>
        </w:rPr>
        <w:t xml:space="preserve"> </w:t>
      </w:r>
      <w:r>
        <w:rPr>
          <w:b/>
          <w:sz w:val="24"/>
        </w:rPr>
        <w:t>388-06-0550</w:t>
      </w:r>
    </w:p>
    <w:p w14:paraId="62176529" w14:textId="77777777" w:rsidR="00572573" w:rsidRDefault="009E3FEF">
      <w:pPr>
        <w:ind w:left="2747" w:right="417"/>
        <w:rPr>
          <w:b/>
          <w:sz w:val="24"/>
        </w:rPr>
      </w:pPr>
      <w:r>
        <w:rPr>
          <w:b/>
          <w:sz w:val="24"/>
        </w:rPr>
        <w:t>How does the state of emergency declared in response to the COVID-19 pandemic affect the provisional period for applicants, long-term care workers, and service providers?</w:t>
      </w:r>
    </w:p>
    <w:p w14:paraId="3690C9F6" w14:textId="77777777" w:rsidR="00572573" w:rsidRDefault="00572573">
      <w:pPr>
        <w:pStyle w:val="BodyText"/>
        <w:spacing w:before="10"/>
        <w:rPr>
          <w:b/>
          <w:sz w:val="23"/>
        </w:rPr>
      </w:pPr>
    </w:p>
    <w:p w14:paraId="6BA0A3B4" w14:textId="77777777" w:rsidR="00572573" w:rsidRDefault="009E3FEF">
      <w:pPr>
        <w:pStyle w:val="Heading2"/>
      </w:pPr>
      <w:r>
        <w:t>Notwithstanding WAC 388-06-0530, applicants, long-term care workers, and service providers who began providing care to vulnerable adults between November 1, 2019, and April 30, 2022, will have until August 28, 2022, to complete the fingerprint background check. Providers who begin providing care on or after May 1, 2022, are subject to the rules set forth in WAC 388- 06-0525 and WAC 388-06-0530.</w:t>
      </w:r>
    </w:p>
    <w:p w14:paraId="0CB51938" w14:textId="77777777" w:rsidR="00572573" w:rsidRDefault="00572573">
      <w:pPr>
        <w:pStyle w:val="BodyText"/>
        <w:spacing w:before="5"/>
        <w:rPr>
          <w:sz w:val="24"/>
        </w:rPr>
      </w:pPr>
    </w:p>
    <w:p w14:paraId="1A953151" w14:textId="3E38E2A1" w:rsidR="00572573" w:rsidRDefault="009E3FEF">
      <w:pPr>
        <w:spacing w:after="21" w:line="237" w:lineRule="auto"/>
        <w:ind w:left="2747" w:right="816"/>
        <w:rPr>
          <w:sz w:val="24"/>
        </w:rPr>
      </w:pPr>
      <w:r>
        <w:rPr>
          <w:sz w:val="24"/>
        </w:rPr>
        <w:t>Attachment: Amendments to all 388-06 WACs to ensure consistency with current WAC chapter 388-113:</w:t>
      </w:r>
    </w:p>
    <w:p w14:paraId="275B19F3" w14:textId="46E41ADD" w:rsidR="009E3FEF" w:rsidRDefault="009E3FEF">
      <w:pPr>
        <w:spacing w:after="21" w:line="237" w:lineRule="auto"/>
        <w:ind w:left="2747" w:right="816"/>
        <w:rPr>
          <w:sz w:val="24"/>
        </w:rPr>
      </w:pPr>
      <w:r>
        <w:object w:dxaOrig="1596" w:dyaOrig="1033" w14:anchorId="6CFF42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51pt" o:ole="">
            <v:imagedata r:id="rId11" o:title=""/>
          </v:shape>
          <o:OLEObject Type="Embed" ProgID="AcroExch.Document.DC" ShapeID="_x0000_i1025" DrawAspect="Icon" ObjectID="_1717480192" r:id="rId12"/>
        </w:object>
      </w:r>
    </w:p>
    <w:p w14:paraId="7513F7DD" w14:textId="77777777" w:rsidR="00572573" w:rsidRDefault="00572573">
      <w:pPr>
        <w:pStyle w:val="BodyText"/>
        <w:spacing w:before="5"/>
        <w:rPr>
          <w:rFonts w:ascii="Segoe UI"/>
          <w:sz w:val="28"/>
        </w:rPr>
      </w:pPr>
    </w:p>
    <w:p w14:paraId="1A18DE49" w14:textId="77777777" w:rsidR="00572573" w:rsidRDefault="009E3FEF">
      <w:pPr>
        <w:tabs>
          <w:tab w:val="left" w:pos="2747"/>
        </w:tabs>
        <w:spacing w:line="264" w:lineRule="exact"/>
        <w:ind w:left="405"/>
      </w:pPr>
      <w:r>
        <w:rPr>
          <w:b/>
          <w:sz w:val="24"/>
        </w:rPr>
        <w:t>CONTACT(S):</w:t>
      </w:r>
      <w:r>
        <w:rPr>
          <w:b/>
          <w:sz w:val="24"/>
        </w:rPr>
        <w:tab/>
      </w:r>
      <w:r>
        <w:rPr>
          <w:position w:val="2"/>
        </w:rPr>
        <w:t>Stacy Graff, Program</w:t>
      </w:r>
      <w:r>
        <w:rPr>
          <w:spacing w:val="-3"/>
          <w:position w:val="2"/>
        </w:rPr>
        <w:t xml:space="preserve"> </w:t>
      </w:r>
      <w:r>
        <w:rPr>
          <w:position w:val="2"/>
        </w:rPr>
        <w:t>Manager</w:t>
      </w:r>
    </w:p>
    <w:p w14:paraId="471459E1" w14:textId="77777777" w:rsidR="00572573" w:rsidRDefault="009E3FEF">
      <w:pPr>
        <w:pStyle w:val="BodyText"/>
        <w:spacing w:line="240" w:lineRule="exact"/>
        <w:ind w:left="2748"/>
      </w:pPr>
      <w:r>
        <w:t>(360) 742-2071</w:t>
      </w:r>
    </w:p>
    <w:p w14:paraId="72C8F1E4" w14:textId="77777777" w:rsidR="00572573" w:rsidRDefault="00556FD7">
      <w:pPr>
        <w:pStyle w:val="BodyText"/>
        <w:spacing w:before="2"/>
        <w:ind w:left="2748"/>
      </w:pPr>
      <w:hyperlink r:id="rId13">
        <w:r w:rsidR="009E3FEF">
          <w:rPr>
            <w:color w:val="0000FF"/>
            <w:u w:val="single" w:color="0000FF"/>
          </w:rPr>
          <w:t>Stacy.Graff@dshs.wa.gov</w:t>
        </w:r>
      </w:hyperlink>
    </w:p>
    <w:p w14:paraId="21F499E9" w14:textId="77777777" w:rsidR="00572573" w:rsidRDefault="00572573">
      <w:pPr>
        <w:pStyle w:val="BodyText"/>
        <w:spacing w:before="8"/>
        <w:rPr>
          <w:sz w:val="13"/>
        </w:rPr>
      </w:pPr>
    </w:p>
    <w:p w14:paraId="3FC150A4" w14:textId="77777777" w:rsidR="00572573" w:rsidRDefault="009E3FEF">
      <w:pPr>
        <w:pStyle w:val="BodyText"/>
        <w:spacing w:before="93"/>
        <w:ind w:left="2748" w:right="5424"/>
      </w:pPr>
      <w:r>
        <w:t>Heather Lum, Program Manager (360) 407-1526</w:t>
      </w:r>
    </w:p>
    <w:p w14:paraId="763F8AFA" w14:textId="77777777" w:rsidR="00572573" w:rsidRDefault="00556FD7">
      <w:pPr>
        <w:pStyle w:val="BodyText"/>
        <w:spacing w:before="3"/>
        <w:ind w:left="2748"/>
      </w:pPr>
      <w:hyperlink r:id="rId14">
        <w:r w:rsidR="009E3FEF">
          <w:rPr>
            <w:color w:val="0000FF"/>
            <w:u w:val="single" w:color="0000FF"/>
          </w:rPr>
          <w:t>Heather.Lum@dshs.wa.gov</w:t>
        </w:r>
      </w:hyperlink>
    </w:p>
    <w:p w14:paraId="7EC38C22" w14:textId="77777777" w:rsidR="00572573" w:rsidRDefault="00572573">
      <w:pPr>
        <w:pStyle w:val="BodyText"/>
        <w:spacing w:before="8"/>
        <w:rPr>
          <w:sz w:val="13"/>
        </w:rPr>
      </w:pPr>
    </w:p>
    <w:p w14:paraId="2EE3E32C" w14:textId="77777777" w:rsidR="00572573" w:rsidRDefault="009E3FEF">
      <w:pPr>
        <w:pStyle w:val="BodyText"/>
        <w:spacing w:before="94"/>
        <w:ind w:left="2748" w:right="5559"/>
      </w:pPr>
      <w:r>
        <w:t>Paula Renz, Program Manager (360) 725-2560</w:t>
      </w:r>
    </w:p>
    <w:p w14:paraId="778EDB55" w14:textId="77777777" w:rsidR="00572573" w:rsidRDefault="00556FD7">
      <w:pPr>
        <w:pStyle w:val="BodyText"/>
        <w:spacing w:before="2"/>
        <w:ind w:left="2748"/>
      </w:pPr>
      <w:hyperlink r:id="rId15">
        <w:r w:rsidR="009E3FEF">
          <w:rPr>
            <w:color w:val="0000FF"/>
            <w:u w:val="single" w:color="0000FF"/>
          </w:rPr>
          <w:t>Paula.renz@dshs.wa.gov</w:t>
        </w:r>
      </w:hyperlink>
    </w:p>
    <w:p w14:paraId="3E814F9A" w14:textId="77777777" w:rsidR="00572573" w:rsidRDefault="00572573">
      <w:pPr>
        <w:pStyle w:val="BodyText"/>
        <w:spacing w:before="9"/>
        <w:rPr>
          <w:sz w:val="15"/>
        </w:rPr>
      </w:pPr>
    </w:p>
    <w:p w14:paraId="01D7AD60" w14:textId="77777777" w:rsidR="00572573" w:rsidRDefault="009E3FEF">
      <w:pPr>
        <w:pStyle w:val="BodyText"/>
        <w:spacing w:before="94"/>
        <w:ind w:left="2748" w:right="3921"/>
      </w:pPr>
      <w:r>
        <w:t xml:space="preserve">Carson Crepeaux, DDA CDE Program Manager </w:t>
      </w:r>
      <w:hyperlink r:id="rId16">
        <w:r>
          <w:rPr>
            <w:color w:val="0000FF"/>
            <w:u w:val="single" w:color="0000FF"/>
          </w:rPr>
          <w:t>Carson.Crepeaux@dshs.wa.gov</w:t>
        </w:r>
      </w:hyperlink>
    </w:p>
    <w:p w14:paraId="4A22FAF7" w14:textId="77777777" w:rsidR="00572573" w:rsidRDefault="009E3FEF">
      <w:pPr>
        <w:pStyle w:val="BodyText"/>
        <w:spacing w:line="251" w:lineRule="exact"/>
        <w:ind w:left="2748"/>
      </w:pPr>
      <w:r>
        <w:t>(360) 725-3714</w:t>
      </w:r>
    </w:p>
    <w:p w14:paraId="3B02AD53" w14:textId="77777777" w:rsidR="00572573" w:rsidRDefault="00572573">
      <w:pPr>
        <w:pStyle w:val="BodyText"/>
        <w:spacing w:before="3"/>
      </w:pPr>
    </w:p>
    <w:p w14:paraId="70C02097" w14:textId="77777777" w:rsidR="00572573" w:rsidRDefault="009E3FEF">
      <w:pPr>
        <w:pStyle w:val="BodyText"/>
        <w:ind w:left="2748" w:right="4520"/>
      </w:pPr>
      <w:r>
        <w:t xml:space="preserve">Vanessa Sherrill, CDE Readiness Analyst </w:t>
      </w:r>
      <w:hyperlink r:id="rId17">
        <w:r>
          <w:rPr>
            <w:color w:val="0000FF"/>
            <w:u w:val="single" w:color="0000FF"/>
          </w:rPr>
          <w:t>Vanessa.Sherrill@dshs.wa.gov</w:t>
        </w:r>
      </w:hyperlink>
      <w:r>
        <w:rPr>
          <w:color w:val="0000FF"/>
        </w:rPr>
        <w:t xml:space="preserve"> </w:t>
      </w:r>
      <w:r>
        <w:t>360.725.3477</w:t>
      </w:r>
    </w:p>
    <w:sectPr w:rsidR="00572573">
      <w:pgSz w:w="12240" w:h="15840"/>
      <w:pgMar w:top="1160" w:right="46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14DCC"/>
    <w:multiLevelType w:val="hybridMultilevel"/>
    <w:tmpl w:val="B8C041F0"/>
    <w:lvl w:ilvl="0" w:tplc="1AA45CB0">
      <w:numFmt w:val="bullet"/>
      <w:lvlText w:val=""/>
      <w:lvlJc w:val="left"/>
      <w:pPr>
        <w:ind w:left="973" w:hanging="361"/>
      </w:pPr>
      <w:rPr>
        <w:rFonts w:ascii="Symbol" w:eastAsia="Symbol" w:hAnsi="Symbol" w:cs="Symbol" w:hint="default"/>
        <w:w w:val="100"/>
        <w:sz w:val="22"/>
        <w:szCs w:val="22"/>
        <w:lang w:val="en-US" w:eastAsia="en-US" w:bidi="en-US"/>
      </w:rPr>
    </w:lvl>
    <w:lvl w:ilvl="1" w:tplc="3C3ACDEA">
      <w:numFmt w:val="bullet"/>
      <w:lvlText w:val="•"/>
      <w:lvlJc w:val="left"/>
      <w:pPr>
        <w:ind w:left="1757" w:hanging="361"/>
      </w:pPr>
      <w:rPr>
        <w:rFonts w:hint="default"/>
        <w:lang w:val="en-US" w:eastAsia="en-US" w:bidi="en-US"/>
      </w:rPr>
    </w:lvl>
    <w:lvl w:ilvl="2" w:tplc="23B2B9A6">
      <w:numFmt w:val="bullet"/>
      <w:lvlText w:val="•"/>
      <w:lvlJc w:val="left"/>
      <w:pPr>
        <w:ind w:left="2535" w:hanging="361"/>
      </w:pPr>
      <w:rPr>
        <w:rFonts w:hint="default"/>
        <w:lang w:val="en-US" w:eastAsia="en-US" w:bidi="en-US"/>
      </w:rPr>
    </w:lvl>
    <w:lvl w:ilvl="3" w:tplc="8F2ACEA0">
      <w:numFmt w:val="bullet"/>
      <w:lvlText w:val="•"/>
      <w:lvlJc w:val="left"/>
      <w:pPr>
        <w:ind w:left="3312" w:hanging="361"/>
      </w:pPr>
      <w:rPr>
        <w:rFonts w:hint="default"/>
        <w:lang w:val="en-US" w:eastAsia="en-US" w:bidi="en-US"/>
      </w:rPr>
    </w:lvl>
    <w:lvl w:ilvl="4" w:tplc="54D87DC8">
      <w:numFmt w:val="bullet"/>
      <w:lvlText w:val="•"/>
      <w:lvlJc w:val="left"/>
      <w:pPr>
        <w:ind w:left="4090" w:hanging="361"/>
      </w:pPr>
      <w:rPr>
        <w:rFonts w:hint="default"/>
        <w:lang w:val="en-US" w:eastAsia="en-US" w:bidi="en-US"/>
      </w:rPr>
    </w:lvl>
    <w:lvl w:ilvl="5" w:tplc="02CA4D54">
      <w:numFmt w:val="bullet"/>
      <w:lvlText w:val="•"/>
      <w:lvlJc w:val="left"/>
      <w:pPr>
        <w:ind w:left="4868" w:hanging="361"/>
      </w:pPr>
      <w:rPr>
        <w:rFonts w:hint="default"/>
        <w:lang w:val="en-US" w:eastAsia="en-US" w:bidi="en-US"/>
      </w:rPr>
    </w:lvl>
    <w:lvl w:ilvl="6" w:tplc="E76A62B8">
      <w:numFmt w:val="bullet"/>
      <w:lvlText w:val="•"/>
      <w:lvlJc w:val="left"/>
      <w:pPr>
        <w:ind w:left="5645" w:hanging="361"/>
      </w:pPr>
      <w:rPr>
        <w:rFonts w:hint="default"/>
        <w:lang w:val="en-US" w:eastAsia="en-US" w:bidi="en-US"/>
      </w:rPr>
    </w:lvl>
    <w:lvl w:ilvl="7" w:tplc="B848540E">
      <w:numFmt w:val="bullet"/>
      <w:lvlText w:val="•"/>
      <w:lvlJc w:val="left"/>
      <w:pPr>
        <w:ind w:left="6423" w:hanging="361"/>
      </w:pPr>
      <w:rPr>
        <w:rFonts w:hint="default"/>
        <w:lang w:val="en-US" w:eastAsia="en-US" w:bidi="en-US"/>
      </w:rPr>
    </w:lvl>
    <w:lvl w:ilvl="8" w:tplc="357891C6">
      <w:numFmt w:val="bullet"/>
      <w:lvlText w:val="•"/>
      <w:lvlJc w:val="left"/>
      <w:pPr>
        <w:ind w:left="7200" w:hanging="361"/>
      </w:pPr>
      <w:rPr>
        <w:rFonts w:hint="default"/>
        <w:lang w:val="en-US" w:eastAsia="en-US" w:bidi="en-US"/>
      </w:rPr>
    </w:lvl>
  </w:abstractNum>
  <w:num w:numId="1" w16cid:durableId="2138714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73"/>
    <w:rsid w:val="00046A02"/>
    <w:rsid w:val="00112BB3"/>
    <w:rsid w:val="00556FD7"/>
    <w:rsid w:val="00572573"/>
    <w:rsid w:val="009E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F030EC"/>
  <w15:docId w15:val="{EF013DCF-932C-4F04-9030-7B0964E6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405"/>
      <w:outlineLvl w:val="0"/>
    </w:pPr>
    <w:rPr>
      <w:b/>
      <w:bCs/>
      <w:sz w:val="24"/>
      <w:szCs w:val="24"/>
    </w:rPr>
  </w:style>
  <w:style w:type="paragraph" w:styleId="Heading2">
    <w:name w:val="heading 2"/>
    <w:basedOn w:val="Normal"/>
    <w:uiPriority w:val="9"/>
    <w:unhideWhenUsed/>
    <w:qFormat/>
    <w:pPr>
      <w:ind w:left="2747" w:right="50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acy.Graff@dshs.w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yperlink" Target="mailto:Vanessa.Sherrill@dshs.wa.gov" TargetMode="External"/><Relationship Id="rId2" Type="http://schemas.openxmlformats.org/officeDocument/2006/relationships/customXml" Target="../customXml/item2.xml"/><Relationship Id="rId16" Type="http://schemas.openxmlformats.org/officeDocument/2006/relationships/hyperlink" Target="mailto:Carson.Crepeaux@dshs.w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5" Type="http://schemas.openxmlformats.org/officeDocument/2006/relationships/hyperlink" Target="mailto:Paula.renz@dshs.wa.gov"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Heather.Lum@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5283BD-CA1B-4AA7-B869-8FE9EBC09857}">
  <ds:schemaRefs>
    <ds:schemaRef ds:uri="http://schemas.microsoft.com/sharepoint/v3/contenttype/forms"/>
  </ds:schemaRefs>
</ds:datastoreItem>
</file>

<file path=customXml/itemProps2.xml><?xml version="1.0" encoding="utf-8"?>
<ds:datastoreItem xmlns:ds="http://schemas.openxmlformats.org/officeDocument/2006/customXml" ds:itemID="{B12ECFDC-885C-46D3-AE21-E26225705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D3838D-4141-4897-8FF1-F84A89D5F5F6}">
  <ds:schemaRefs>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5775</Characters>
  <Application>Microsoft Office Word</Application>
  <DocSecurity>0</DocSecurity>
  <Lines>48</Lines>
  <Paragraphs>13</Paragraphs>
  <ScaleCrop>false</ScaleCrop>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Karlson, Jennifer (DSHS/ALTSA/HCS)</dc:creator>
  <cp:lastModifiedBy>Christensen, Michelle (DSHS/DDA)</cp:lastModifiedBy>
  <cp:revision>2</cp:revision>
  <dcterms:created xsi:type="dcterms:W3CDTF">2022-06-23T16:03:00Z</dcterms:created>
  <dcterms:modified xsi:type="dcterms:W3CDTF">2022-06-23T16:03:00Z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Acrobat PDFMaker 17 for Word</vt:lpwstr>
  </property>
  <property fmtid="{D5CDD505-2E9C-101B-9397-08002B2CF9AE}" pid="4" name="LastSaved">
    <vt:filetime>2022-03-01T00:00:00Z</vt:filetime>
  </property>
</Properties>
</file>