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75" w:rsidRDefault="00AF3B75" w:rsidP="00AF3B75">
      <w:pPr>
        <w:spacing w:after="0" w:line="240" w:lineRule="auto"/>
      </w:pPr>
    </w:p>
    <w:p w:rsidR="00AF3B75" w:rsidRDefault="008450C1" w:rsidP="00AF3B7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09EA547" wp14:editId="2D8EADEC">
            <wp:extent cx="5943600" cy="7099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4E2" w:rsidRDefault="00AF74E2" w:rsidP="00AF74E2">
      <w:pPr>
        <w:spacing w:after="0" w:line="360" w:lineRule="auto"/>
        <w:jc w:val="center"/>
        <w:rPr>
          <w:b/>
          <w:i/>
          <w:sz w:val="28"/>
          <w:szCs w:val="28"/>
        </w:rPr>
      </w:pPr>
    </w:p>
    <w:p w:rsidR="008450C1" w:rsidRPr="00AF74E2" w:rsidRDefault="00AF74E2" w:rsidP="00AF74E2">
      <w:pPr>
        <w:spacing w:after="0" w:line="360" w:lineRule="auto"/>
        <w:jc w:val="center"/>
        <w:rPr>
          <w:b/>
          <w:sz w:val="36"/>
          <w:szCs w:val="36"/>
        </w:rPr>
      </w:pPr>
      <w:r>
        <w:rPr>
          <w:b/>
          <w:i/>
          <w:sz w:val="36"/>
          <w:szCs w:val="36"/>
        </w:rPr>
        <w:t xml:space="preserve">Free </w:t>
      </w:r>
      <w:r w:rsidRPr="00AF74E2">
        <w:rPr>
          <w:b/>
          <w:i/>
          <w:sz w:val="36"/>
          <w:szCs w:val="36"/>
        </w:rPr>
        <w:t>Webinar</w:t>
      </w:r>
    </w:p>
    <w:p w:rsidR="00AF3B75" w:rsidRPr="00AF74E2" w:rsidRDefault="00A74AE3" w:rsidP="00AF74E2">
      <w:pPr>
        <w:spacing w:after="0" w:line="240" w:lineRule="auto"/>
        <w:jc w:val="center"/>
        <w:rPr>
          <w:b/>
          <w:i/>
          <w:sz w:val="30"/>
          <w:szCs w:val="30"/>
        </w:rPr>
      </w:pPr>
      <w:r w:rsidRPr="00AF74E2">
        <w:rPr>
          <w:b/>
          <w:i/>
          <w:sz w:val="30"/>
          <w:szCs w:val="30"/>
        </w:rPr>
        <w:t>Preserving Public Confidence in the U.S. Banking System</w:t>
      </w:r>
      <w:r w:rsidR="00763FA5" w:rsidRPr="00AF74E2">
        <w:rPr>
          <w:b/>
          <w:i/>
          <w:sz w:val="30"/>
          <w:szCs w:val="30"/>
        </w:rPr>
        <w:t xml:space="preserve"> in the COVID-19 Era</w:t>
      </w:r>
      <w:r w:rsidRPr="00AF74E2">
        <w:rPr>
          <w:b/>
          <w:i/>
          <w:sz w:val="30"/>
          <w:szCs w:val="30"/>
        </w:rPr>
        <w:t>; a</w:t>
      </w:r>
      <w:r w:rsidR="00700C67" w:rsidRPr="00AF74E2">
        <w:rPr>
          <w:b/>
          <w:i/>
          <w:sz w:val="30"/>
          <w:szCs w:val="30"/>
        </w:rPr>
        <w:t xml:space="preserve"> </w:t>
      </w:r>
      <w:r w:rsidR="00AF3B75" w:rsidRPr="00AF74E2">
        <w:rPr>
          <w:b/>
          <w:i/>
          <w:sz w:val="30"/>
          <w:szCs w:val="30"/>
        </w:rPr>
        <w:t>F</w:t>
      </w:r>
      <w:r w:rsidRPr="00AF74E2">
        <w:rPr>
          <w:b/>
          <w:i/>
          <w:sz w:val="30"/>
          <w:szCs w:val="30"/>
        </w:rPr>
        <w:t xml:space="preserve">ederal </w:t>
      </w:r>
      <w:r w:rsidR="00AF3B75" w:rsidRPr="00AF74E2">
        <w:rPr>
          <w:b/>
          <w:i/>
          <w:sz w:val="30"/>
          <w:szCs w:val="30"/>
        </w:rPr>
        <w:t>D</w:t>
      </w:r>
      <w:r w:rsidRPr="00AF74E2">
        <w:rPr>
          <w:b/>
          <w:i/>
          <w:sz w:val="30"/>
          <w:szCs w:val="30"/>
        </w:rPr>
        <w:t xml:space="preserve">eposit Insurance </w:t>
      </w:r>
      <w:r w:rsidR="00AF3B75" w:rsidRPr="00AF74E2">
        <w:rPr>
          <w:b/>
          <w:i/>
          <w:sz w:val="30"/>
          <w:szCs w:val="30"/>
        </w:rPr>
        <w:t>C</w:t>
      </w:r>
      <w:r w:rsidRPr="00AF74E2">
        <w:rPr>
          <w:b/>
          <w:i/>
          <w:sz w:val="30"/>
          <w:szCs w:val="30"/>
        </w:rPr>
        <w:t>orporation</w:t>
      </w:r>
      <w:r w:rsidR="00AF3B75" w:rsidRPr="00AF74E2">
        <w:rPr>
          <w:b/>
          <w:i/>
          <w:sz w:val="30"/>
          <w:szCs w:val="30"/>
        </w:rPr>
        <w:t xml:space="preserve"> Financial Capability </w:t>
      </w:r>
      <w:r w:rsidR="00763FA5" w:rsidRPr="00AF74E2">
        <w:rPr>
          <w:b/>
          <w:i/>
          <w:sz w:val="30"/>
          <w:szCs w:val="30"/>
        </w:rPr>
        <w:t>Event</w:t>
      </w:r>
    </w:p>
    <w:p w:rsidR="00A74AE3" w:rsidRDefault="00A74AE3" w:rsidP="00AF3B75">
      <w:pPr>
        <w:spacing w:after="0" w:line="240" w:lineRule="auto"/>
        <w:rPr>
          <w:sz w:val="24"/>
          <w:szCs w:val="24"/>
        </w:rPr>
      </w:pPr>
    </w:p>
    <w:p w:rsidR="00763FA5" w:rsidRDefault="00E0096C" w:rsidP="00AF3B7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When:   </w:t>
      </w:r>
      <w:r w:rsidR="00763FA5" w:rsidRPr="00372B92">
        <w:rPr>
          <w:b/>
          <w:sz w:val="24"/>
          <w:szCs w:val="24"/>
        </w:rPr>
        <w:t>Thursday, April 30, 2020</w:t>
      </w:r>
      <w:r w:rsidR="00AF74E2">
        <w:rPr>
          <w:b/>
          <w:sz w:val="24"/>
          <w:szCs w:val="24"/>
        </w:rPr>
        <w:t xml:space="preserve">, </w:t>
      </w:r>
      <w:r w:rsidR="00763FA5" w:rsidRPr="00372B92">
        <w:rPr>
          <w:b/>
          <w:sz w:val="24"/>
          <w:szCs w:val="24"/>
        </w:rPr>
        <w:t>10:00 – 11:30 AM</w:t>
      </w:r>
    </w:p>
    <w:p w:rsidR="00AF74E2" w:rsidRDefault="00AF74E2" w:rsidP="00AF3B75">
      <w:pPr>
        <w:spacing w:after="0" w:line="240" w:lineRule="auto"/>
        <w:rPr>
          <w:b/>
          <w:sz w:val="24"/>
          <w:szCs w:val="24"/>
        </w:rPr>
      </w:pPr>
    </w:p>
    <w:p w:rsidR="000B272A" w:rsidRDefault="00AF74E2" w:rsidP="00E0096C">
      <w:pPr>
        <w:spacing w:after="0" w:line="276" w:lineRule="auto"/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Who should attend</w:t>
      </w:r>
      <w:r w:rsidR="00E0096C">
        <w:rPr>
          <w:b/>
          <w:sz w:val="24"/>
          <w:szCs w:val="24"/>
        </w:rPr>
        <w:t xml:space="preserve">:   </w:t>
      </w:r>
    </w:p>
    <w:p w:rsidR="000B272A" w:rsidRDefault="00AF74E2" w:rsidP="000B272A">
      <w:pPr>
        <w:pStyle w:val="ListParagraph"/>
        <w:numPr>
          <w:ilvl w:val="0"/>
          <w:numId w:val="2"/>
        </w:numPr>
        <w:spacing w:after="0" w:line="276" w:lineRule="auto"/>
        <w:ind w:left="360" w:firstLine="0"/>
        <w:rPr>
          <w:sz w:val="24"/>
          <w:szCs w:val="24"/>
        </w:rPr>
      </w:pPr>
      <w:r w:rsidRPr="000B272A">
        <w:rPr>
          <w:sz w:val="24"/>
          <w:szCs w:val="24"/>
        </w:rPr>
        <w:t>Community Organizations</w:t>
      </w:r>
    </w:p>
    <w:p w:rsidR="000B272A" w:rsidRDefault="000B272A" w:rsidP="000B272A">
      <w:pPr>
        <w:pStyle w:val="ListParagraph"/>
        <w:numPr>
          <w:ilvl w:val="0"/>
          <w:numId w:val="2"/>
        </w:numPr>
        <w:spacing w:after="0" w:line="276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Financial Institutions</w:t>
      </w:r>
      <w:r w:rsidR="001861CA">
        <w:rPr>
          <w:sz w:val="24"/>
          <w:szCs w:val="24"/>
        </w:rPr>
        <w:t xml:space="preserve">, especially </w:t>
      </w:r>
      <w:r>
        <w:t>Community Reinvestment and Development Officers</w:t>
      </w:r>
    </w:p>
    <w:p w:rsidR="000B272A" w:rsidRDefault="00AF74E2" w:rsidP="000B272A">
      <w:pPr>
        <w:pStyle w:val="ListParagraph"/>
        <w:numPr>
          <w:ilvl w:val="0"/>
          <w:numId w:val="2"/>
        </w:numPr>
        <w:spacing w:after="0" w:line="276" w:lineRule="auto"/>
        <w:ind w:left="360" w:firstLine="0"/>
        <w:rPr>
          <w:sz w:val="24"/>
          <w:szCs w:val="24"/>
        </w:rPr>
      </w:pPr>
      <w:r w:rsidRPr="000B272A">
        <w:rPr>
          <w:sz w:val="24"/>
          <w:szCs w:val="24"/>
        </w:rPr>
        <w:t>Public Sector Agencies</w:t>
      </w:r>
    </w:p>
    <w:p w:rsidR="000B272A" w:rsidRDefault="000B272A" w:rsidP="000B272A">
      <w:pPr>
        <w:pStyle w:val="ListParagraph"/>
        <w:numPr>
          <w:ilvl w:val="0"/>
          <w:numId w:val="2"/>
        </w:numPr>
        <w:spacing w:after="0" w:line="276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Academi</w:t>
      </w:r>
      <w:r w:rsidR="00B26B5F">
        <w:rPr>
          <w:sz w:val="24"/>
          <w:szCs w:val="24"/>
        </w:rPr>
        <w:t>a</w:t>
      </w:r>
    </w:p>
    <w:p w:rsidR="00AF74E2" w:rsidRPr="001861CA" w:rsidRDefault="001861CA" w:rsidP="001861C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 Intermediaries</w:t>
      </w:r>
    </w:p>
    <w:p w:rsidR="006F1720" w:rsidRPr="00A74AE3" w:rsidRDefault="006F1720" w:rsidP="00AF3B75">
      <w:pPr>
        <w:spacing w:after="0" w:line="240" w:lineRule="auto"/>
        <w:rPr>
          <w:sz w:val="24"/>
          <w:szCs w:val="24"/>
        </w:rPr>
      </w:pPr>
    </w:p>
    <w:p w:rsidR="00AF3B75" w:rsidRDefault="0030774B" w:rsidP="00067A64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3810</wp:posOffset>
                </wp:positionV>
                <wp:extent cx="327660" cy="182880"/>
                <wp:effectExtent l="0" t="0" r="0" b="762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828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B6C62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92.1pt;margin-top:.3pt;width:25.8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" adj="15572" fillcolor="red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22860</wp:posOffset>
            </wp:positionH>
            <wp:positionV relativeFrom="paragraph">
              <wp:posOffset>76200</wp:posOffset>
            </wp:positionV>
            <wp:extent cx="1415415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222" y="21109"/>
                <wp:lineTo x="2122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720">
        <w:rPr>
          <w:sz w:val="24"/>
          <w:szCs w:val="24"/>
        </w:rPr>
        <w:t>This</w:t>
      </w:r>
      <w:r>
        <w:rPr>
          <w:sz w:val="24"/>
          <w:szCs w:val="24"/>
        </w:rPr>
        <w:t xml:space="preserve"> is the</w:t>
      </w:r>
      <w:r w:rsidR="006F1720">
        <w:rPr>
          <w:sz w:val="24"/>
          <w:szCs w:val="24"/>
        </w:rPr>
        <w:t xml:space="preserve"> FDIC’s core </w:t>
      </w:r>
      <w:r w:rsidR="002F4C17">
        <w:rPr>
          <w:sz w:val="24"/>
          <w:szCs w:val="24"/>
        </w:rPr>
        <w:t>c</w:t>
      </w:r>
      <w:r w:rsidR="006F1720">
        <w:rPr>
          <w:sz w:val="24"/>
          <w:szCs w:val="24"/>
        </w:rPr>
        <w:t xml:space="preserve">ommitment to </w:t>
      </w:r>
      <w:r w:rsidR="002F4C17">
        <w:rPr>
          <w:sz w:val="24"/>
          <w:szCs w:val="24"/>
        </w:rPr>
        <w:t>the p</w:t>
      </w:r>
      <w:r w:rsidR="008211AE">
        <w:rPr>
          <w:sz w:val="24"/>
          <w:szCs w:val="24"/>
        </w:rPr>
        <w:t>ublic</w:t>
      </w:r>
      <w:r w:rsidR="006F1720">
        <w:rPr>
          <w:sz w:val="24"/>
          <w:szCs w:val="24"/>
        </w:rPr>
        <w:t xml:space="preserve">. The pathway to individual and family financial capability runs through mutually beneficial relationships with mainstream banking institutions, aided by </w:t>
      </w:r>
      <w:r w:rsidR="006F1720" w:rsidRPr="006F1720">
        <w:rPr>
          <w:sz w:val="24"/>
          <w:szCs w:val="24"/>
        </w:rPr>
        <w:t>FDIC</w:t>
      </w:r>
      <w:r w:rsidR="006F1720">
        <w:rPr>
          <w:sz w:val="24"/>
          <w:szCs w:val="24"/>
        </w:rPr>
        <w:t xml:space="preserve">’s efforts </w:t>
      </w:r>
      <w:r w:rsidR="006F1720" w:rsidRPr="006F1720">
        <w:rPr>
          <w:sz w:val="24"/>
          <w:szCs w:val="24"/>
        </w:rPr>
        <w:t>to educate and protect consumers, revitalize communities, and promote compliance with</w:t>
      </w:r>
      <w:r w:rsidR="006F1720">
        <w:rPr>
          <w:sz w:val="24"/>
          <w:szCs w:val="24"/>
        </w:rPr>
        <w:t xml:space="preserve"> laws and regulations</w:t>
      </w:r>
      <w:r w:rsidR="006F1720" w:rsidRPr="006F1720">
        <w:rPr>
          <w:sz w:val="24"/>
          <w:szCs w:val="24"/>
        </w:rPr>
        <w:t>.</w:t>
      </w:r>
      <w:r w:rsidR="008450C1">
        <w:rPr>
          <w:sz w:val="24"/>
          <w:szCs w:val="24"/>
        </w:rPr>
        <w:t xml:space="preserve"> All of this is especially important as our nation</w:t>
      </w:r>
      <w:r w:rsidR="005775BE">
        <w:rPr>
          <w:sz w:val="24"/>
          <w:szCs w:val="24"/>
        </w:rPr>
        <w:t xml:space="preserve"> responds to COVID-19’s</w:t>
      </w:r>
      <w:r w:rsidR="008450C1">
        <w:rPr>
          <w:sz w:val="24"/>
          <w:szCs w:val="24"/>
        </w:rPr>
        <w:t xml:space="preserve"> impacts</w:t>
      </w:r>
      <w:r w:rsidR="005775BE">
        <w:rPr>
          <w:sz w:val="24"/>
          <w:szCs w:val="24"/>
        </w:rPr>
        <w:t>.</w:t>
      </w:r>
      <w:r w:rsidR="008450C1">
        <w:rPr>
          <w:sz w:val="24"/>
          <w:szCs w:val="24"/>
        </w:rPr>
        <w:t xml:space="preserve"> </w:t>
      </w:r>
    </w:p>
    <w:p w:rsidR="006F1720" w:rsidRDefault="006F1720" w:rsidP="00AF3B75">
      <w:pPr>
        <w:spacing w:after="0" w:line="240" w:lineRule="auto"/>
        <w:rPr>
          <w:sz w:val="24"/>
          <w:szCs w:val="24"/>
        </w:rPr>
      </w:pPr>
    </w:p>
    <w:p w:rsidR="006F1720" w:rsidRDefault="005775BE" w:rsidP="00AF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8211AE">
        <w:rPr>
          <w:sz w:val="24"/>
          <w:szCs w:val="24"/>
        </w:rPr>
        <w:t xml:space="preserve">taff from FDIC’s Divisions of </w:t>
      </w:r>
      <w:r w:rsidR="008211AE" w:rsidRPr="008211AE">
        <w:rPr>
          <w:i/>
          <w:sz w:val="24"/>
          <w:szCs w:val="24"/>
        </w:rPr>
        <w:t>Depositor and Consumer Protection</w:t>
      </w:r>
      <w:r w:rsidR="008211AE">
        <w:rPr>
          <w:sz w:val="24"/>
          <w:szCs w:val="24"/>
        </w:rPr>
        <w:t xml:space="preserve"> and </w:t>
      </w:r>
      <w:r w:rsidR="008211AE" w:rsidRPr="008211AE">
        <w:rPr>
          <w:i/>
          <w:sz w:val="24"/>
          <w:szCs w:val="24"/>
        </w:rPr>
        <w:t>Risk Management Supervision</w:t>
      </w:r>
      <w:r>
        <w:rPr>
          <w:sz w:val="24"/>
          <w:szCs w:val="24"/>
        </w:rPr>
        <w:t xml:space="preserve"> will</w:t>
      </w:r>
      <w:r w:rsidR="008211AE">
        <w:rPr>
          <w:sz w:val="24"/>
          <w:szCs w:val="24"/>
        </w:rPr>
        <w:t xml:space="preserve"> share </w:t>
      </w:r>
      <w:r w:rsidR="008211AE" w:rsidRPr="005775BE">
        <w:rPr>
          <w:b/>
          <w:sz w:val="24"/>
          <w:szCs w:val="24"/>
        </w:rPr>
        <w:t>Information</w:t>
      </w:r>
      <w:r w:rsidR="008211AE">
        <w:rPr>
          <w:sz w:val="24"/>
          <w:szCs w:val="24"/>
        </w:rPr>
        <w:t xml:space="preserve"> and </w:t>
      </w:r>
      <w:r w:rsidR="008211AE" w:rsidRPr="005775BE">
        <w:rPr>
          <w:b/>
          <w:sz w:val="24"/>
          <w:szCs w:val="24"/>
        </w:rPr>
        <w:t>Resources</w:t>
      </w:r>
      <w:r w:rsidR="008211AE">
        <w:rPr>
          <w:sz w:val="24"/>
          <w:szCs w:val="24"/>
        </w:rPr>
        <w:t xml:space="preserve"> about key ways th</w:t>
      </w:r>
      <w:r w:rsidR="002F4C17">
        <w:rPr>
          <w:sz w:val="24"/>
          <w:szCs w:val="24"/>
        </w:rPr>
        <w:t>ey support the c</w:t>
      </w:r>
      <w:r w:rsidR="008211AE">
        <w:rPr>
          <w:sz w:val="24"/>
          <w:szCs w:val="24"/>
        </w:rPr>
        <w:t>ommitment.</w:t>
      </w:r>
      <w:r w:rsidR="00E25977">
        <w:rPr>
          <w:sz w:val="24"/>
          <w:szCs w:val="24"/>
        </w:rPr>
        <w:t xml:space="preserve"> Over the course of 90 minutes, the </w:t>
      </w:r>
      <w:r w:rsidR="002F4C17">
        <w:rPr>
          <w:sz w:val="24"/>
          <w:szCs w:val="24"/>
        </w:rPr>
        <w:t>w</w:t>
      </w:r>
      <w:r w:rsidR="00E25977">
        <w:rPr>
          <w:sz w:val="24"/>
          <w:szCs w:val="24"/>
        </w:rPr>
        <w:t>ebinar will cover</w:t>
      </w:r>
      <w:r w:rsidR="00505AA2">
        <w:rPr>
          <w:sz w:val="24"/>
          <w:szCs w:val="24"/>
        </w:rPr>
        <w:t xml:space="preserve"> </w:t>
      </w:r>
      <w:r w:rsidR="008450C1">
        <w:rPr>
          <w:sz w:val="24"/>
          <w:szCs w:val="24"/>
        </w:rPr>
        <w:t>several key FDIC roles</w:t>
      </w:r>
      <w:r w:rsidR="00E25977">
        <w:rPr>
          <w:sz w:val="24"/>
          <w:szCs w:val="24"/>
        </w:rPr>
        <w:t>:</w:t>
      </w:r>
    </w:p>
    <w:p w:rsidR="00E25977" w:rsidRDefault="00E25977" w:rsidP="00AF3B75">
      <w:pPr>
        <w:spacing w:after="0" w:line="240" w:lineRule="auto"/>
        <w:rPr>
          <w:sz w:val="24"/>
          <w:szCs w:val="24"/>
        </w:rPr>
      </w:pPr>
    </w:p>
    <w:p w:rsidR="00E25977" w:rsidRPr="00E25977" w:rsidRDefault="00E25977" w:rsidP="00067A64">
      <w:pPr>
        <w:pStyle w:val="ListParagraph"/>
        <w:numPr>
          <w:ilvl w:val="0"/>
          <w:numId w:val="2"/>
        </w:numPr>
        <w:spacing w:after="0" w:line="276" w:lineRule="auto"/>
        <w:ind w:left="360" w:firstLine="0"/>
        <w:rPr>
          <w:sz w:val="24"/>
          <w:szCs w:val="24"/>
        </w:rPr>
      </w:pPr>
      <w:r w:rsidRPr="00067A64">
        <w:rPr>
          <w:sz w:val="24"/>
          <w:szCs w:val="24"/>
        </w:rPr>
        <w:t>Deposit Insurance</w:t>
      </w:r>
    </w:p>
    <w:p w:rsidR="00E25977" w:rsidRPr="00E25977" w:rsidRDefault="002F4C17" w:rsidP="00067A64">
      <w:pPr>
        <w:pStyle w:val="ListParagraph"/>
        <w:numPr>
          <w:ilvl w:val="0"/>
          <w:numId w:val="2"/>
        </w:numPr>
        <w:spacing w:after="0" w:line="276" w:lineRule="auto"/>
        <w:ind w:left="360" w:firstLine="0"/>
        <w:rPr>
          <w:sz w:val="24"/>
          <w:szCs w:val="24"/>
        </w:rPr>
      </w:pPr>
      <w:r w:rsidRPr="00067A64">
        <w:rPr>
          <w:sz w:val="24"/>
          <w:szCs w:val="24"/>
        </w:rPr>
        <w:t xml:space="preserve">Financial Institution Supervision </w:t>
      </w:r>
    </w:p>
    <w:p w:rsidR="00E25977" w:rsidRPr="00505AA2" w:rsidRDefault="00505AA2" w:rsidP="00067A64">
      <w:pPr>
        <w:pStyle w:val="ListParagraph"/>
        <w:numPr>
          <w:ilvl w:val="0"/>
          <w:numId w:val="2"/>
        </w:numPr>
        <w:spacing w:after="0" w:line="276" w:lineRule="auto"/>
        <w:ind w:left="360" w:firstLine="0"/>
        <w:rPr>
          <w:sz w:val="24"/>
          <w:szCs w:val="24"/>
        </w:rPr>
      </w:pPr>
      <w:r w:rsidRPr="00067A64">
        <w:rPr>
          <w:sz w:val="24"/>
          <w:szCs w:val="24"/>
        </w:rPr>
        <w:t>Consumer Response Center</w:t>
      </w:r>
      <w:bookmarkStart w:id="0" w:name="_GoBack"/>
      <w:bookmarkEnd w:id="0"/>
    </w:p>
    <w:p w:rsidR="00505AA2" w:rsidRPr="005D7007" w:rsidRDefault="00505AA2" w:rsidP="00067A64">
      <w:pPr>
        <w:pStyle w:val="ListParagraph"/>
        <w:numPr>
          <w:ilvl w:val="0"/>
          <w:numId w:val="2"/>
        </w:numPr>
        <w:spacing w:after="0" w:line="276" w:lineRule="auto"/>
        <w:ind w:left="360" w:firstLine="0"/>
        <w:rPr>
          <w:sz w:val="24"/>
          <w:szCs w:val="24"/>
        </w:rPr>
      </w:pPr>
      <w:r w:rsidRPr="00067A64">
        <w:rPr>
          <w:sz w:val="24"/>
          <w:szCs w:val="24"/>
        </w:rPr>
        <w:t>Community Affairs</w:t>
      </w:r>
    </w:p>
    <w:p w:rsidR="005D7007" w:rsidRPr="00372B92" w:rsidRDefault="005D7007" w:rsidP="00067A64">
      <w:pPr>
        <w:pStyle w:val="ListParagraph"/>
        <w:numPr>
          <w:ilvl w:val="0"/>
          <w:numId w:val="2"/>
        </w:numPr>
        <w:spacing w:after="0" w:line="276" w:lineRule="auto"/>
        <w:ind w:left="360" w:firstLine="0"/>
        <w:rPr>
          <w:sz w:val="24"/>
          <w:szCs w:val="24"/>
        </w:rPr>
      </w:pPr>
      <w:r w:rsidRPr="00067A64">
        <w:rPr>
          <w:sz w:val="24"/>
          <w:szCs w:val="24"/>
        </w:rPr>
        <w:t>and other public-facing resources such as the FDIC Consumer News</w:t>
      </w:r>
    </w:p>
    <w:p w:rsidR="005D7007" w:rsidRPr="00505AA2" w:rsidRDefault="005D7007" w:rsidP="00067A64">
      <w:pPr>
        <w:pStyle w:val="ListParagraph"/>
        <w:tabs>
          <w:tab w:val="left" w:pos="1080"/>
        </w:tabs>
        <w:spacing w:after="0" w:line="240" w:lineRule="auto"/>
        <w:ind w:left="990"/>
        <w:rPr>
          <w:sz w:val="24"/>
          <w:szCs w:val="24"/>
        </w:rPr>
      </w:pPr>
    </w:p>
    <w:p w:rsidR="00E25977" w:rsidRDefault="00557FB8" w:rsidP="0099786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There is</w:t>
      </w:r>
      <w:r w:rsidR="002F4C17">
        <w:rPr>
          <w:sz w:val="24"/>
          <w:szCs w:val="24"/>
        </w:rPr>
        <w:t xml:space="preserve"> no cost to </w:t>
      </w:r>
      <w:r w:rsidR="003E0BF9">
        <w:rPr>
          <w:sz w:val="24"/>
          <w:szCs w:val="24"/>
        </w:rPr>
        <w:t>join</w:t>
      </w:r>
      <w:r w:rsidR="002F4C17">
        <w:rPr>
          <w:sz w:val="24"/>
          <w:szCs w:val="24"/>
        </w:rPr>
        <w:t xml:space="preserve"> the w</w:t>
      </w:r>
      <w:r>
        <w:rPr>
          <w:sz w:val="24"/>
          <w:szCs w:val="24"/>
        </w:rPr>
        <w:t>ebinar, but advance registration is required.</w:t>
      </w:r>
      <w:r w:rsidR="00997866">
        <w:rPr>
          <w:sz w:val="24"/>
          <w:szCs w:val="24"/>
        </w:rPr>
        <w:t xml:space="preserve"> </w:t>
      </w:r>
    </w:p>
    <w:p w:rsidR="00557FB8" w:rsidRDefault="001D62A4" w:rsidP="00AF3B75">
      <w:pPr>
        <w:spacing w:after="0" w:line="240" w:lineRule="auto"/>
        <w:rPr>
          <w:sz w:val="24"/>
          <w:szCs w:val="24"/>
        </w:rPr>
      </w:pPr>
      <w:hyperlink r:id="rId10" w:history="1">
        <w:r w:rsidR="00372B92" w:rsidRPr="00372B92">
          <w:rPr>
            <w:rStyle w:val="Hyperlink"/>
            <w:b/>
            <w:color w:val="0070C0"/>
            <w:sz w:val="24"/>
            <w:szCs w:val="24"/>
          </w:rPr>
          <w:t>REGISTER HERE</w:t>
        </w:r>
      </w:hyperlink>
      <w:r w:rsidR="00557FB8">
        <w:rPr>
          <w:sz w:val="24"/>
          <w:szCs w:val="24"/>
        </w:rPr>
        <w:t xml:space="preserve"> </w:t>
      </w:r>
      <w:r w:rsidR="006871F1" w:rsidRPr="006871F1">
        <w:rPr>
          <w:b/>
          <w:sz w:val="24"/>
          <w:szCs w:val="24"/>
        </w:rPr>
        <w:t>no later than</w:t>
      </w:r>
      <w:r w:rsidR="006871F1">
        <w:rPr>
          <w:sz w:val="24"/>
          <w:szCs w:val="24"/>
        </w:rPr>
        <w:t xml:space="preserve"> 12:00 Noon on Wednesday </w:t>
      </w:r>
      <w:r w:rsidR="006871F1" w:rsidRPr="006871F1">
        <w:rPr>
          <w:color w:val="FF0000"/>
          <w:sz w:val="24"/>
          <w:szCs w:val="24"/>
        </w:rPr>
        <w:t xml:space="preserve">April </w:t>
      </w:r>
      <w:r w:rsidR="006871F1">
        <w:rPr>
          <w:color w:val="FF0000"/>
          <w:sz w:val="24"/>
          <w:szCs w:val="24"/>
        </w:rPr>
        <w:t>29.</w:t>
      </w:r>
    </w:p>
    <w:p w:rsidR="00557FB8" w:rsidRDefault="00557FB8" w:rsidP="00AF3B75">
      <w:pPr>
        <w:spacing w:after="0" w:line="240" w:lineRule="auto"/>
        <w:rPr>
          <w:sz w:val="24"/>
          <w:szCs w:val="24"/>
        </w:rPr>
      </w:pPr>
    </w:p>
    <w:p w:rsidR="00557FB8" w:rsidRDefault="00557FB8" w:rsidP="00AF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Thanks for your attention. </w:t>
      </w:r>
      <w:r w:rsidR="002F4C17">
        <w:rPr>
          <w:sz w:val="24"/>
          <w:szCs w:val="24"/>
        </w:rPr>
        <w:t xml:space="preserve">We </w:t>
      </w:r>
      <w:r>
        <w:rPr>
          <w:sz w:val="24"/>
          <w:szCs w:val="24"/>
        </w:rPr>
        <w:t>look f</w:t>
      </w:r>
      <w:r w:rsidR="006871F1">
        <w:rPr>
          <w:sz w:val="24"/>
          <w:szCs w:val="24"/>
        </w:rPr>
        <w:t>orward to your participation!</w:t>
      </w:r>
    </w:p>
    <w:p w:rsidR="00372B92" w:rsidRDefault="00372B92" w:rsidP="00AF3B75">
      <w:pPr>
        <w:spacing w:after="0" w:line="240" w:lineRule="auto"/>
        <w:rPr>
          <w:sz w:val="24"/>
          <w:szCs w:val="24"/>
        </w:rPr>
      </w:pPr>
    </w:p>
    <w:p w:rsidR="00557FB8" w:rsidRDefault="002F4C17" w:rsidP="00AF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more i</w:t>
      </w:r>
      <w:r w:rsidR="008450C1">
        <w:rPr>
          <w:sz w:val="24"/>
          <w:szCs w:val="24"/>
        </w:rPr>
        <w:t>nformation, please contact</w:t>
      </w:r>
      <w:r>
        <w:rPr>
          <w:sz w:val="24"/>
          <w:szCs w:val="24"/>
        </w:rPr>
        <w:t xml:space="preserve"> one of our Community Affairs Specialists</w:t>
      </w:r>
      <w:r w:rsidR="008450C1">
        <w:rPr>
          <w:sz w:val="24"/>
          <w:szCs w:val="24"/>
        </w:rPr>
        <w:t>:</w:t>
      </w:r>
    </w:p>
    <w:p w:rsidR="008450C1" w:rsidRPr="00997866" w:rsidRDefault="008450C1" w:rsidP="00AF3B75">
      <w:pPr>
        <w:spacing w:after="0" w:line="240" w:lineRule="auto"/>
        <w:rPr>
          <w:sz w:val="16"/>
          <w:szCs w:val="16"/>
        </w:rPr>
      </w:pPr>
    </w:p>
    <w:p w:rsidR="002F4C17" w:rsidRDefault="002F4C17" w:rsidP="00AF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Darnell Sutton – </w:t>
      </w:r>
      <w:hyperlink r:id="rId11" w:history="1">
        <w:r w:rsidRPr="000F3A73">
          <w:rPr>
            <w:rStyle w:val="Hyperlink"/>
            <w:sz w:val="24"/>
            <w:szCs w:val="24"/>
          </w:rPr>
          <w:t>DSutton@FDIC.gov</w:t>
        </w:r>
      </w:hyperlink>
    </w:p>
    <w:p w:rsidR="002F4C17" w:rsidRDefault="002F4C17" w:rsidP="00AF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Paul Horwitz – </w:t>
      </w:r>
      <w:hyperlink r:id="rId12" w:history="1">
        <w:r w:rsidRPr="000F3A73">
          <w:rPr>
            <w:rStyle w:val="Hyperlink"/>
            <w:sz w:val="24"/>
            <w:szCs w:val="24"/>
          </w:rPr>
          <w:t>PHorwitz@FDIC.gov</w:t>
        </w:r>
      </w:hyperlink>
    </w:p>
    <w:p w:rsidR="002F4C17" w:rsidRDefault="002F4C17" w:rsidP="00AF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Robert Francis – </w:t>
      </w:r>
      <w:hyperlink r:id="rId13" w:history="1">
        <w:r w:rsidRPr="000F3A73">
          <w:rPr>
            <w:rStyle w:val="Hyperlink"/>
            <w:sz w:val="24"/>
            <w:szCs w:val="24"/>
          </w:rPr>
          <w:t>RoFrancis@FDIC.gov</w:t>
        </w:r>
      </w:hyperlink>
    </w:p>
    <w:p w:rsidR="008450C1" w:rsidRDefault="008450C1" w:rsidP="00AF3B75">
      <w:pPr>
        <w:spacing w:after="0" w:line="240" w:lineRule="auto"/>
        <w:rPr>
          <w:sz w:val="24"/>
          <w:szCs w:val="24"/>
        </w:rPr>
      </w:pPr>
    </w:p>
    <w:sectPr w:rsidR="008450C1" w:rsidSect="00997866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AD" w:rsidRDefault="00FC58AD" w:rsidP="00FC58AD">
      <w:pPr>
        <w:spacing w:after="0" w:line="240" w:lineRule="auto"/>
      </w:pPr>
      <w:r>
        <w:separator/>
      </w:r>
    </w:p>
  </w:endnote>
  <w:endnote w:type="continuationSeparator" w:id="0">
    <w:p w:rsidR="00FC58AD" w:rsidRDefault="00FC58AD" w:rsidP="00FC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AD" w:rsidRDefault="00FC58AD" w:rsidP="00FC58AD">
      <w:pPr>
        <w:spacing w:after="0" w:line="240" w:lineRule="auto"/>
      </w:pPr>
      <w:r>
        <w:separator/>
      </w:r>
    </w:p>
  </w:footnote>
  <w:footnote w:type="continuationSeparator" w:id="0">
    <w:p w:rsidR="00FC58AD" w:rsidRDefault="00FC58AD" w:rsidP="00FC5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70BF3"/>
    <w:multiLevelType w:val="hybridMultilevel"/>
    <w:tmpl w:val="1D38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D7A69"/>
    <w:multiLevelType w:val="hybridMultilevel"/>
    <w:tmpl w:val="A2B2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AD"/>
    <w:rsid w:val="00067A64"/>
    <w:rsid w:val="000830E0"/>
    <w:rsid w:val="000B272A"/>
    <w:rsid w:val="00102912"/>
    <w:rsid w:val="001861CA"/>
    <w:rsid w:val="001D62A4"/>
    <w:rsid w:val="002F4C17"/>
    <w:rsid w:val="0030774B"/>
    <w:rsid w:val="00372B92"/>
    <w:rsid w:val="003E0BF9"/>
    <w:rsid w:val="00505AA2"/>
    <w:rsid w:val="00557FB8"/>
    <w:rsid w:val="005775BE"/>
    <w:rsid w:val="005D7007"/>
    <w:rsid w:val="00670493"/>
    <w:rsid w:val="006871F1"/>
    <w:rsid w:val="006A2EB1"/>
    <w:rsid w:val="006F1720"/>
    <w:rsid w:val="00700C67"/>
    <w:rsid w:val="00763FA5"/>
    <w:rsid w:val="008211AE"/>
    <w:rsid w:val="008450C1"/>
    <w:rsid w:val="008A264F"/>
    <w:rsid w:val="00997866"/>
    <w:rsid w:val="00A620C5"/>
    <w:rsid w:val="00A74AE3"/>
    <w:rsid w:val="00A94C31"/>
    <w:rsid w:val="00AF3B75"/>
    <w:rsid w:val="00AF74E2"/>
    <w:rsid w:val="00B26B5F"/>
    <w:rsid w:val="00C769A0"/>
    <w:rsid w:val="00DC2F62"/>
    <w:rsid w:val="00E0096C"/>
    <w:rsid w:val="00E25977"/>
    <w:rsid w:val="00E40A23"/>
    <w:rsid w:val="00E802D3"/>
    <w:rsid w:val="00FC58AD"/>
    <w:rsid w:val="00F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31EF480-3A6F-46C4-A9B0-6FB245FF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4A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59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2B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Francis@FDI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orwitz@FDI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Sutton@FDIC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vent.me/kM5eo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1167-2C46-48D2-8EC5-5C82C331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Horwitz, Paul L.</dc:creator>
  <cp:keywords/>
  <dc:description/>
  <cp:lastModifiedBy>Horwitz, Paul L.</cp:lastModifiedBy>
  <cp:revision>2</cp:revision>
  <dcterms:created xsi:type="dcterms:W3CDTF">2020-04-16T16:16:00Z</dcterms:created>
  <dcterms:modified xsi:type="dcterms:W3CDTF">2020-04-16T16:16:00Z</dcterms:modified>
</cp:coreProperties>
</file>