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309E" w14:textId="77777777" w:rsidR="00DC4E52" w:rsidRPr="00BF1690" w:rsidRDefault="00DC4E52" w:rsidP="00DC4E52">
      <w:pPr>
        <w:pStyle w:val="ListParagraph"/>
        <w:numPr>
          <w:ilvl w:val="0"/>
          <w:numId w:val="3"/>
        </w:numPr>
        <w:spacing w:after="160"/>
      </w:pPr>
      <w:bookmarkStart w:id="0" w:name="_GoBack"/>
      <w:bookmarkEnd w:id="0"/>
      <w:r w:rsidRPr="004669B6">
        <w:t xml:space="preserve">Effective with respect to goods entered for consumption, or withdrawn from warehouse for consumption, on or after 12:01 a.m. eastern daylight time on </w:t>
      </w:r>
      <w:r w:rsidRPr="00BF1690">
        <w:t xml:space="preserve">September </w:t>
      </w:r>
      <w:r w:rsidR="005B488C">
        <w:t>1,</w:t>
      </w:r>
      <w:r w:rsidRPr="00BF1690">
        <w:t xml:space="preserve"> 201</w:t>
      </w:r>
      <w:r w:rsidR="005B488C">
        <w:t>9</w:t>
      </w:r>
      <w:r w:rsidRPr="00BF1690">
        <w:t>, subchapter III of chapter 99 of the Harmonized Tariff Schedule of the United States (HTSUS) is modified:</w:t>
      </w:r>
    </w:p>
    <w:p w14:paraId="3C54DCDD" w14:textId="77777777" w:rsidR="00DC4E52" w:rsidRPr="00C4318D" w:rsidRDefault="00DC4E52" w:rsidP="00DC4E52">
      <w:pPr>
        <w:numPr>
          <w:ilvl w:val="0"/>
          <w:numId w:val="2"/>
        </w:numPr>
        <w:spacing w:after="160"/>
      </w:pPr>
      <w:r w:rsidRPr="00BF1690">
        <w:t xml:space="preserve">by inserting the </w:t>
      </w:r>
      <w:r>
        <w:t xml:space="preserve">following new </w:t>
      </w:r>
      <w:r w:rsidRPr="00C4318D">
        <w:t xml:space="preserve">heading </w:t>
      </w:r>
      <w:r>
        <w:t>9903.88.</w:t>
      </w:r>
      <w:r w:rsidR="00BB6C0C">
        <w:t>42</w:t>
      </w:r>
      <w:r w:rsidRPr="00C4318D">
        <w:t xml:space="preserve"> in numerical sequence, with the material in the new heading inserted in the columns of the HTSUS labeled “Heading/Subheading”, “Article Description”, and “Rates of Duty 1-General”, respectively:</w:t>
      </w:r>
    </w:p>
    <w:p w14:paraId="1EA9DE5B" w14:textId="77777777" w:rsidR="00DC4E52" w:rsidRPr="00C4318D" w:rsidRDefault="00DC4E52" w:rsidP="00DC4E52">
      <w:pPr>
        <w:ind w:left="720"/>
      </w:pPr>
    </w:p>
    <w:tbl>
      <w:tblPr>
        <w:tblStyle w:val="TableGrid"/>
        <w:tblW w:w="9576" w:type="dxa"/>
        <w:tblLayout w:type="fixed"/>
        <w:tblLook w:val="04A0" w:firstRow="1" w:lastRow="0" w:firstColumn="1" w:lastColumn="0" w:noHBand="0" w:noVBand="1"/>
      </w:tblPr>
      <w:tblGrid>
        <w:gridCol w:w="1638"/>
        <w:gridCol w:w="4444"/>
        <w:gridCol w:w="1383"/>
        <w:gridCol w:w="923"/>
        <w:gridCol w:w="1188"/>
      </w:tblGrid>
      <w:tr w:rsidR="00DC4E52" w:rsidRPr="00C4318D" w14:paraId="6B2C66B4" w14:textId="77777777" w:rsidTr="000B2A4E">
        <w:tc>
          <w:tcPr>
            <w:tcW w:w="1638" w:type="dxa"/>
            <w:vMerge w:val="restart"/>
            <w:vAlign w:val="center"/>
          </w:tcPr>
          <w:p w14:paraId="75C41B41"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Heading/</w:t>
            </w:r>
          </w:p>
          <w:p w14:paraId="7F56706A" w14:textId="77777777" w:rsidR="00DC4E52" w:rsidRPr="00C4318D" w:rsidRDefault="00DC4E52" w:rsidP="000B2A4E">
            <w:pPr>
              <w:pStyle w:val="NoSpacing"/>
              <w:jc w:val="center"/>
              <w:rPr>
                <w:b/>
              </w:rPr>
            </w:pPr>
            <w:r w:rsidRPr="00C4318D">
              <w:rPr>
                <w:rFonts w:asciiTheme="minorHAnsi" w:hAnsiTheme="minorHAnsi" w:cstheme="minorHAnsi"/>
                <w:b/>
                <w:sz w:val="22"/>
                <w:szCs w:val="22"/>
              </w:rPr>
              <w:t>Subheading</w:t>
            </w:r>
          </w:p>
        </w:tc>
        <w:tc>
          <w:tcPr>
            <w:tcW w:w="4444" w:type="dxa"/>
            <w:vMerge w:val="restart"/>
            <w:vAlign w:val="center"/>
          </w:tcPr>
          <w:p w14:paraId="3223909D"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Article Description</w:t>
            </w:r>
          </w:p>
        </w:tc>
        <w:tc>
          <w:tcPr>
            <w:tcW w:w="3494" w:type="dxa"/>
            <w:gridSpan w:val="3"/>
          </w:tcPr>
          <w:p w14:paraId="196FA57D"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Rates of Duty</w:t>
            </w:r>
          </w:p>
        </w:tc>
      </w:tr>
      <w:tr w:rsidR="00DC4E52" w:rsidRPr="00C4318D" w14:paraId="3ACB86EC" w14:textId="77777777" w:rsidTr="000B2A4E">
        <w:tc>
          <w:tcPr>
            <w:tcW w:w="1638" w:type="dxa"/>
            <w:vMerge/>
          </w:tcPr>
          <w:p w14:paraId="216CED5F" w14:textId="77777777" w:rsidR="00DC4E52" w:rsidRPr="00C4318D" w:rsidRDefault="00DC4E52" w:rsidP="000B2A4E">
            <w:pPr>
              <w:pStyle w:val="NoSpacing"/>
              <w:rPr>
                <w:b/>
              </w:rPr>
            </w:pPr>
          </w:p>
        </w:tc>
        <w:tc>
          <w:tcPr>
            <w:tcW w:w="4444" w:type="dxa"/>
            <w:vMerge/>
          </w:tcPr>
          <w:p w14:paraId="6ADB113A" w14:textId="77777777" w:rsidR="00DC4E52" w:rsidRPr="00C4318D" w:rsidRDefault="00DC4E52" w:rsidP="000B2A4E">
            <w:pPr>
              <w:pStyle w:val="NoSpacing"/>
              <w:rPr>
                <w:rFonts w:asciiTheme="minorHAnsi" w:hAnsiTheme="minorHAnsi" w:cstheme="minorHAnsi"/>
                <w:b/>
                <w:sz w:val="22"/>
                <w:szCs w:val="22"/>
              </w:rPr>
            </w:pPr>
          </w:p>
        </w:tc>
        <w:tc>
          <w:tcPr>
            <w:tcW w:w="2306" w:type="dxa"/>
            <w:gridSpan w:val="2"/>
          </w:tcPr>
          <w:p w14:paraId="7130D55A"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1</w:t>
            </w:r>
          </w:p>
        </w:tc>
        <w:tc>
          <w:tcPr>
            <w:tcW w:w="1188" w:type="dxa"/>
            <w:vMerge w:val="restart"/>
          </w:tcPr>
          <w:p w14:paraId="7975E47D"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2</w:t>
            </w:r>
          </w:p>
        </w:tc>
      </w:tr>
      <w:tr w:rsidR="00DC4E52" w:rsidRPr="00C4318D" w14:paraId="09F3CF92" w14:textId="77777777" w:rsidTr="000B2A4E">
        <w:tc>
          <w:tcPr>
            <w:tcW w:w="1638" w:type="dxa"/>
            <w:vMerge/>
          </w:tcPr>
          <w:p w14:paraId="2D03DAC9" w14:textId="77777777" w:rsidR="00DC4E52" w:rsidRPr="00C4318D" w:rsidRDefault="00DC4E52" w:rsidP="000B2A4E">
            <w:pPr>
              <w:pStyle w:val="NoSpacing"/>
              <w:rPr>
                <w:b/>
              </w:rPr>
            </w:pPr>
          </w:p>
        </w:tc>
        <w:tc>
          <w:tcPr>
            <w:tcW w:w="4444" w:type="dxa"/>
            <w:vMerge/>
          </w:tcPr>
          <w:p w14:paraId="07ED1CB3" w14:textId="77777777" w:rsidR="00DC4E52" w:rsidRPr="00C4318D" w:rsidRDefault="00DC4E52" w:rsidP="000B2A4E">
            <w:pPr>
              <w:pStyle w:val="NoSpacing"/>
              <w:rPr>
                <w:rFonts w:asciiTheme="minorHAnsi" w:hAnsiTheme="minorHAnsi" w:cstheme="minorHAnsi"/>
                <w:b/>
                <w:sz w:val="22"/>
                <w:szCs w:val="22"/>
              </w:rPr>
            </w:pPr>
          </w:p>
        </w:tc>
        <w:tc>
          <w:tcPr>
            <w:tcW w:w="1383" w:type="dxa"/>
          </w:tcPr>
          <w:p w14:paraId="2E72C40A"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General</w:t>
            </w:r>
          </w:p>
        </w:tc>
        <w:tc>
          <w:tcPr>
            <w:tcW w:w="923" w:type="dxa"/>
          </w:tcPr>
          <w:p w14:paraId="03D77247" w14:textId="77777777" w:rsidR="00DC4E52" w:rsidRPr="00C4318D" w:rsidRDefault="00DC4E52" w:rsidP="000B2A4E">
            <w:pPr>
              <w:pStyle w:val="NoSpacing"/>
              <w:jc w:val="center"/>
              <w:rPr>
                <w:rFonts w:asciiTheme="minorHAnsi" w:hAnsiTheme="minorHAnsi" w:cstheme="minorHAnsi"/>
                <w:b/>
                <w:sz w:val="22"/>
                <w:szCs w:val="22"/>
              </w:rPr>
            </w:pPr>
            <w:r w:rsidRPr="00C4318D">
              <w:rPr>
                <w:rFonts w:asciiTheme="minorHAnsi" w:hAnsiTheme="minorHAnsi" w:cstheme="minorHAnsi"/>
                <w:b/>
                <w:sz w:val="22"/>
                <w:szCs w:val="22"/>
              </w:rPr>
              <w:t>Special</w:t>
            </w:r>
          </w:p>
        </w:tc>
        <w:tc>
          <w:tcPr>
            <w:tcW w:w="1188" w:type="dxa"/>
            <w:vMerge/>
          </w:tcPr>
          <w:p w14:paraId="7B47BB92" w14:textId="77777777" w:rsidR="00DC4E52" w:rsidRPr="00C4318D" w:rsidRDefault="00DC4E52" w:rsidP="000B2A4E">
            <w:pPr>
              <w:pStyle w:val="NoSpacing"/>
              <w:jc w:val="center"/>
              <w:rPr>
                <w:rFonts w:asciiTheme="minorHAnsi" w:hAnsiTheme="minorHAnsi" w:cstheme="minorHAnsi"/>
                <w:sz w:val="22"/>
                <w:szCs w:val="22"/>
              </w:rPr>
            </w:pPr>
          </w:p>
        </w:tc>
      </w:tr>
      <w:tr w:rsidR="00DC4E52" w:rsidRPr="00CC76B1" w14:paraId="0786420D" w14:textId="77777777" w:rsidTr="000B2A4E">
        <w:tc>
          <w:tcPr>
            <w:tcW w:w="1638" w:type="dxa"/>
          </w:tcPr>
          <w:p w14:paraId="696ECD82" w14:textId="77777777" w:rsidR="00DC4E52" w:rsidRPr="00C4318D" w:rsidRDefault="00DC4E52" w:rsidP="000B2A4E">
            <w:pPr>
              <w:pStyle w:val="NoSpacing"/>
            </w:pPr>
            <w:r w:rsidRPr="00C4318D">
              <w:t>“</w:t>
            </w:r>
            <w:r>
              <w:rPr>
                <w:rFonts w:asciiTheme="minorHAnsi" w:hAnsiTheme="minorHAnsi" w:cstheme="minorHAnsi"/>
                <w:sz w:val="22"/>
                <w:szCs w:val="22"/>
              </w:rPr>
              <w:t>9903.88.</w:t>
            </w:r>
            <w:r w:rsidR="00BB6C0C">
              <w:rPr>
                <w:rFonts w:asciiTheme="minorHAnsi" w:hAnsiTheme="minorHAnsi" w:cstheme="minorHAnsi"/>
                <w:sz w:val="22"/>
                <w:szCs w:val="22"/>
              </w:rPr>
              <w:t>42</w:t>
            </w:r>
          </w:p>
        </w:tc>
        <w:tc>
          <w:tcPr>
            <w:tcW w:w="4444" w:type="dxa"/>
          </w:tcPr>
          <w:p w14:paraId="5ACEDA47" w14:textId="77777777" w:rsidR="00DC4E52" w:rsidRPr="00C4318D" w:rsidRDefault="00DC4E52" w:rsidP="000B2A4E">
            <w:pPr>
              <w:pStyle w:val="NoSpacing"/>
              <w:rPr>
                <w:rFonts w:asciiTheme="minorHAnsi" w:hAnsiTheme="minorHAnsi" w:cstheme="minorHAnsi"/>
                <w:sz w:val="22"/>
                <w:szCs w:val="22"/>
              </w:rPr>
            </w:pPr>
            <w:r w:rsidRPr="00C4318D">
              <w:rPr>
                <w:rFonts w:asciiTheme="minorHAnsi" w:hAnsiTheme="minorHAnsi" w:cstheme="minorHAnsi"/>
                <w:sz w:val="22"/>
                <w:szCs w:val="22"/>
              </w:rPr>
              <w:t>Articles the product of China, as provided for in U.S. note 20</w:t>
            </w:r>
            <w:r>
              <w:rPr>
                <w:rFonts w:asciiTheme="minorHAnsi" w:hAnsiTheme="minorHAnsi" w:cstheme="minorHAnsi"/>
                <w:sz w:val="22"/>
                <w:szCs w:val="22"/>
              </w:rPr>
              <w:t>(</w:t>
            </w:r>
            <w:r w:rsidR="00BB6C0C">
              <w:rPr>
                <w:rFonts w:asciiTheme="minorHAnsi" w:hAnsiTheme="minorHAnsi" w:cstheme="minorHAnsi"/>
                <w:sz w:val="22"/>
                <w:szCs w:val="22"/>
              </w:rPr>
              <w:t>uu</w:t>
            </w:r>
            <w:r>
              <w:rPr>
                <w:rFonts w:asciiTheme="minorHAnsi" w:hAnsiTheme="minorHAnsi" w:cstheme="minorHAnsi"/>
                <w:sz w:val="22"/>
                <w:szCs w:val="22"/>
              </w:rPr>
              <w:t>)</w:t>
            </w:r>
            <w:r w:rsidRPr="00C4318D">
              <w:rPr>
                <w:rFonts w:asciiTheme="minorHAnsi" w:hAnsiTheme="minorHAnsi" w:cstheme="minorHAnsi"/>
                <w:sz w:val="22"/>
                <w:szCs w:val="22"/>
              </w:rPr>
              <w:t xml:space="preserve"> to this subchapter, each covered by an exclusion granted by the U.S. Trade Representative . . . . . . . . . . . . . . . . . . . . . </w:t>
            </w:r>
          </w:p>
        </w:tc>
        <w:tc>
          <w:tcPr>
            <w:tcW w:w="1383" w:type="dxa"/>
          </w:tcPr>
          <w:p w14:paraId="4C98BEC4" w14:textId="77777777" w:rsidR="00DC4E52" w:rsidRPr="00C4318D" w:rsidRDefault="00DC4E52" w:rsidP="000B2A4E">
            <w:pPr>
              <w:pStyle w:val="NoSpacing"/>
              <w:jc w:val="center"/>
              <w:rPr>
                <w:rFonts w:asciiTheme="minorHAnsi" w:hAnsiTheme="minorHAnsi" w:cstheme="minorHAnsi"/>
                <w:sz w:val="22"/>
                <w:szCs w:val="22"/>
              </w:rPr>
            </w:pPr>
          </w:p>
          <w:p w14:paraId="1ADB5167" w14:textId="77777777" w:rsidR="00DC4E52" w:rsidRPr="00C4318D" w:rsidRDefault="00DC4E52" w:rsidP="000B2A4E">
            <w:pPr>
              <w:pStyle w:val="NoSpacing"/>
              <w:jc w:val="center"/>
              <w:rPr>
                <w:rFonts w:asciiTheme="minorHAnsi" w:hAnsiTheme="minorHAnsi" w:cstheme="minorHAnsi"/>
                <w:sz w:val="22"/>
                <w:szCs w:val="22"/>
              </w:rPr>
            </w:pPr>
          </w:p>
          <w:p w14:paraId="6ACE9AFB" w14:textId="77777777" w:rsidR="00DC4E52" w:rsidRPr="00C4318D" w:rsidRDefault="00DC4E52" w:rsidP="000B2A4E">
            <w:pPr>
              <w:pStyle w:val="NoSpacing"/>
              <w:rPr>
                <w:rFonts w:asciiTheme="minorHAnsi" w:hAnsiTheme="minorHAnsi" w:cstheme="minorHAnsi"/>
                <w:sz w:val="22"/>
                <w:szCs w:val="22"/>
              </w:rPr>
            </w:pPr>
          </w:p>
          <w:p w14:paraId="131C82BA" w14:textId="77777777" w:rsidR="00DC4E52" w:rsidRPr="008A2611" w:rsidRDefault="00DC4E52" w:rsidP="000B2A4E">
            <w:pPr>
              <w:pStyle w:val="NoSpacing"/>
              <w:rPr>
                <w:rFonts w:asciiTheme="minorHAnsi" w:hAnsiTheme="minorHAnsi" w:cstheme="minorHAnsi"/>
                <w:sz w:val="22"/>
                <w:szCs w:val="22"/>
              </w:rPr>
            </w:pPr>
            <w:r w:rsidRPr="00C4318D">
              <w:rPr>
                <w:rFonts w:asciiTheme="minorHAnsi" w:hAnsiTheme="minorHAnsi" w:cstheme="minorHAnsi"/>
                <w:sz w:val="22"/>
                <w:szCs w:val="22"/>
              </w:rPr>
              <w:t>The duty provided in the applicable subheading”</w:t>
            </w:r>
          </w:p>
        </w:tc>
        <w:tc>
          <w:tcPr>
            <w:tcW w:w="923" w:type="dxa"/>
          </w:tcPr>
          <w:p w14:paraId="47CFD0A4" w14:textId="77777777" w:rsidR="00DC4E52" w:rsidRPr="008A2611" w:rsidRDefault="00DC4E52" w:rsidP="000B2A4E">
            <w:pPr>
              <w:pStyle w:val="NoSpacing"/>
              <w:jc w:val="center"/>
              <w:rPr>
                <w:rFonts w:asciiTheme="minorHAnsi" w:hAnsiTheme="minorHAnsi" w:cstheme="minorHAnsi"/>
                <w:sz w:val="22"/>
                <w:szCs w:val="22"/>
              </w:rPr>
            </w:pPr>
          </w:p>
        </w:tc>
        <w:tc>
          <w:tcPr>
            <w:tcW w:w="1188" w:type="dxa"/>
          </w:tcPr>
          <w:p w14:paraId="0A8410D4" w14:textId="77777777" w:rsidR="00DC4E52" w:rsidRPr="008A2611" w:rsidRDefault="00DC4E52" w:rsidP="000B2A4E">
            <w:pPr>
              <w:pStyle w:val="NoSpacing"/>
              <w:jc w:val="center"/>
              <w:rPr>
                <w:rFonts w:asciiTheme="minorHAnsi" w:hAnsiTheme="minorHAnsi" w:cstheme="minorHAnsi"/>
                <w:sz w:val="22"/>
                <w:szCs w:val="22"/>
              </w:rPr>
            </w:pPr>
          </w:p>
        </w:tc>
      </w:tr>
    </w:tbl>
    <w:p w14:paraId="44A0A691" w14:textId="77777777" w:rsidR="00DC4E52" w:rsidRPr="003536E7" w:rsidRDefault="00DC4E52" w:rsidP="00DC4E52"/>
    <w:p w14:paraId="6222EB34" w14:textId="77777777" w:rsidR="00DC4E52" w:rsidRPr="00822028" w:rsidRDefault="00DC4E52" w:rsidP="00DC4E52">
      <w:pPr>
        <w:numPr>
          <w:ilvl w:val="0"/>
          <w:numId w:val="2"/>
        </w:numPr>
        <w:spacing w:after="160"/>
      </w:pPr>
      <w:r w:rsidRPr="00822028">
        <w:t>by inserting the following new U.S. note 20</w:t>
      </w:r>
      <w:r>
        <w:t>(</w:t>
      </w:r>
      <w:r w:rsidR="004B5CDB">
        <w:t>uu</w:t>
      </w:r>
      <w:r>
        <w:t>)</w:t>
      </w:r>
      <w:r w:rsidRPr="00822028">
        <w:t xml:space="preserve"> to subchapter III of chapter 99 in numerical sequence:</w:t>
      </w:r>
    </w:p>
    <w:p w14:paraId="70A6249F" w14:textId="77777777" w:rsidR="00DC4E52" w:rsidRDefault="00DC4E52" w:rsidP="00DC4E52">
      <w:pPr>
        <w:ind w:left="360"/>
      </w:pPr>
      <w:r w:rsidRPr="00822028">
        <w:t>“</w:t>
      </w:r>
      <w:r>
        <w:t>(</w:t>
      </w:r>
      <w:r w:rsidR="00BB6C0C">
        <w:t>uu</w:t>
      </w:r>
      <w:r>
        <w:t>)</w:t>
      </w:r>
      <w:r w:rsidRPr="00822028">
        <w:t xml:space="preserve"> The U.S. Trade Representative determined to establish a process by which particular products classified in heading 9903.88.</w:t>
      </w:r>
      <w:r w:rsidR="00967312">
        <w:t>15</w:t>
      </w:r>
      <w:r w:rsidRPr="00822028">
        <w:t xml:space="preserve"> and provided for in U.S. notes 20(</w:t>
      </w:r>
      <w:r w:rsidR="00967312">
        <w:t>r</w:t>
      </w:r>
      <w:r w:rsidRPr="00822028">
        <w:t>) and (</w:t>
      </w:r>
      <w:r w:rsidR="00967312">
        <w:t>s)</w:t>
      </w:r>
      <w:r w:rsidRPr="00822028">
        <w:t xml:space="preserve"> to this subchapter could be excluded from the additional duties imposed by heading 9903.88.</w:t>
      </w:r>
      <w:r w:rsidR="00967312">
        <w:t>15</w:t>
      </w:r>
      <w:r w:rsidR="00A3396E">
        <w:t xml:space="preserve">.   </w:t>
      </w:r>
      <w:r w:rsidRPr="00822028">
        <w:t>See 8</w:t>
      </w:r>
      <w:r w:rsidR="00967312">
        <w:t>4</w:t>
      </w:r>
      <w:r w:rsidRPr="00822028">
        <w:t xml:space="preserve"> Fed. Reg. 4</w:t>
      </w:r>
      <w:r w:rsidR="00967312">
        <w:t>3304</w:t>
      </w:r>
      <w:r w:rsidRPr="00822028">
        <w:t xml:space="preserve"> (</w:t>
      </w:r>
      <w:r w:rsidR="00967312">
        <w:t>August 20, 2019</w:t>
      </w:r>
      <w:r w:rsidRPr="00822028">
        <w:t>)</w:t>
      </w:r>
      <w:r w:rsidR="00967312">
        <w:t>, 84 F</w:t>
      </w:r>
      <w:r w:rsidR="009C09D6">
        <w:t xml:space="preserve">ed. </w:t>
      </w:r>
      <w:r w:rsidR="00967312">
        <w:t>R</w:t>
      </w:r>
      <w:r w:rsidR="009C09D6">
        <w:t>eg.</w:t>
      </w:r>
      <w:r w:rsidR="00967312">
        <w:t xml:space="preserve"> 45821 (August 30, 2019), 84 Fed. Reg. 57144 (October 24, 2019)</w:t>
      </w:r>
      <w:r w:rsidRPr="00822028">
        <w:t xml:space="preserve"> and 8</w:t>
      </w:r>
      <w:r w:rsidR="00967312">
        <w:t>5</w:t>
      </w:r>
      <w:r w:rsidRPr="00822028">
        <w:t xml:space="preserve"> Fed. Reg. </w:t>
      </w:r>
      <w:r w:rsidR="00967312">
        <w:t>3741</w:t>
      </w:r>
      <w:r w:rsidRPr="00822028">
        <w:t xml:space="preserve"> (</w:t>
      </w:r>
      <w:r w:rsidR="00967312" w:rsidRPr="00822028">
        <w:t>J</w:t>
      </w:r>
      <w:r w:rsidR="00967312">
        <w:t>anuary 22, 2020</w:t>
      </w:r>
      <w:r w:rsidRPr="00822028">
        <w:t>). Pursuant to the product exclusion process, the U.S. Trade Representative has determined that the additional duties provided for in heading 9903.88.</w:t>
      </w:r>
      <w:r w:rsidR="009C09D6">
        <w:t>15</w:t>
      </w:r>
      <w:r w:rsidRPr="00822028">
        <w:t xml:space="preserve"> shall not apply to the following particular products, which are provided for in the </w:t>
      </w:r>
      <w:r w:rsidR="00A3396E">
        <w:t xml:space="preserve">following </w:t>
      </w:r>
      <w:r w:rsidRPr="00822028">
        <w:t>enumerated statistical reporting numbers:</w:t>
      </w:r>
    </w:p>
    <w:p w14:paraId="30D7D5D5" w14:textId="77777777" w:rsidR="00DC4E52" w:rsidRPr="00507EA4" w:rsidRDefault="00DC4E52" w:rsidP="00DC4E52">
      <w:pPr>
        <w:ind w:left="360"/>
      </w:pPr>
    </w:p>
    <w:p w14:paraId="63331FC6" w14:textId="77777777" w:rsidR="006E2407" w:rsidRPr="006E2407" w:rsidRDefault="006E2407" w:rsidP="00202646">
      <w:pPr>
        <w:pStyle w:val="ListParagraph"/>
        <w:numPr>
          <w:ilvl w:val="0"/>
          <w:numId w:val="7"/>
        </w:numPr>
        <w:spacing w:line="252" w:lineRule="auto"/>
        <w:ind w:hanging="720"/>
        <w:rPr>
          <w:color w:val="000000"/>
        </w:rPr>
      </w:pPr>
      <w:r w:rsidRPr="006E2407">
        <w:rPr>
          <w:color w:val="000000"/>
        </w:rPr>
        <w:t>Bowls of molded plastics, with clips for retaining guide wires during surgical procedures (described in statistical reporting number 3926.90.9990)</w:t>
      </w:r>
    </w:p>
    <w:p w14:paraId="3B56CF23" w14:textId="77777777" w:rsidR="006E2407" w:rsidRPr="006E2407" w:rsidRDefault="006E2407" w:rsidP="00202646">
      <w:pPr>
        <w:pStyle w:val="ListParagraph"/>
        <w:numPr>
          <w:ilvl w:val="0"/>
          <w:numId w:val="7"/>
        </w:numPr>
        <w:spacing w:line="252" w:lineRule="auto"/>
        <w:ind w:hanging="720"/>
        <w:rPr>
          <w:color w:val="000000"/>
        </w:rPr>
      </w:pPr>
      <w:r w:rsidRPr="006E2407">
        <w:rPr>
          <w:color w:val="000000"/>
        </w:rPr>
        <w:t>Disposable graduated medicine dispensing cups of plastics (described in statistical reporting number 3926.90.9990)</w:t>
      </w:r>
    </w:p>
    <w:p w14:paraId="1A6EB0B0" w14:textId="1EFCB904" w:rsidR="006E2407" w:rsidRPr="006E2407" w:rsidRDefault="006E2407" w:rsidP="00202646">
      <w:pPr>
        <w:pStyle w:val="ListParagraph"/>
        <w:numPr>
          <w:ilvl w:val="0"/>
          <w:numId w:val="7"/>
        </w:numPr>
        <w:spacing w:line="252" w:lineRule="auto"/>
        <w:ind w:hanging="720"/>
        <w:rPr>
          <w:color w:val="000000"/>
        </w:rPr>
      </w:pPr>
      <w:r w:rsidRPr="006E2407">
        <w:rPr>
          <w:color w:val="000000"/>
        </w:rPr>
        <w:t>Pads of foam plastics, with hook and loop fastener straps, integrated arm protectors, and accessory headrest, body strap</w:t>
      </w:r>
      <w:r w:rsidR="00A547A7">
        <w:rPr>
          <w:color w:val="000000"/>
        </w:rPr>
        <w:t>s</w:t>
      </w:r>
      <w:r w:rsidRPr="006E2407">
        <w:rPr>
          <w:color w:val="000000"/>
        </w:rPr>
        <w:t>, lift sheet</w:t>
      </w:r>
      <w:r w:rsidR="00A547A7">
        <w:rPr>
          <w:color w:val="000000"/>
        </w:rPr>
        <w:t>s</w:t>
      </w:r>
      <w:r w:rsidRPr="006E2407">
        <w:rPr>
          <w:color w:val="000000"/>
        </w:rPr>
        <w:t>, hand grip</w:t>
      </w:r>
      <w:r w:rsidR="00A547A7">
        <w:rPr>
          <w:color w:val="000000"/>
        </w:rPr>
        <w:t>s</w:t>
      </w:r>
      <w:r w:rsidRPr="006E2407">
        <w:rPr>
          <w:color w:val="000000"/>
        </w:rPr>
        <w:t xml:space="preserve"> and face mask</w:t>
      </w:r>
      <w:r w:rsidR="00A547A7">
        <w:rPr>
          <w:color w:val="000000"/>
        </w:rPr>
        <w:t>s</w:t>
      </w:r>
      <w:r w:rsidRPr="006E2407">
        <w:rPr>
          <w:color w:val="000000"/>
        </w:rPr>
        <w:t>, of a kind used for positioning patient</w:t>
      </w:r>
      <w:r w:rsidR="00A547A7">
        <w:rPr>
          <w:color w:val="000000"/>
        </w:rPr>
        <w:t>s</w:t>
      </w:r>
      <w:r w:rsidRPr="006E2407">
        <w:rPr>
          <w:color w:val="000000"/>
        </w:rPr>
        <w:t xml:space="preserve"> during </w:t>
      </w:r>
      <w:r w:rsidR="00A547A7">
        <w:rPr>
          <w:color w:val="000000"/>
        </w:rPr>
        <w:t>medical</w:t>
      </w:r>
      <w:r w:rsidRPr="006E2407">
        <w:rPr>
          <w:color w:val="000000"/>
        </w:rPr>
        <w:t xml:space="preserve"> procedures (described in statistical reporting number 3926.90.9990)</w:t>
      </w:r>
    </w:p>
    <w:p w14:paraId="375A8D23" w14:textId="77777777" w:rsidR="006E2407" w:rsidRPr="006E2407" w:rsidRDefault="006E2407" w:rsidP="00202646">
      <w:pPr>
        <w:pStyle w:val="ListParagraph"/>
        <w:numPr>
          <w:ilvl w:val="0"/>
          <w:numId w:val="7"/>
        </w:numPr>
        <w:spacing w:line="252" w:lineRule="auto"/>
        <w:ind w:hanging="720"/>
        <w:rPr>
          <w:color w:val="000000"/>
        </w:rPr>
      </w:pPr>
      <w:r w:rsidRPr="006E2407">
        <w:rPr>
          <w:color w:val="000000"/>
        </w:rPr>
        <w:lastRenderedPageBreak/>
        <w:t>Single-use sterile drapes and covers of plastics, of a kind used to protect the sterile field in surgical operating rooms (described in statistical reporting number 3926.90.9990)</w:t>
      </w:r>
    </w:p>
    <w:p w14:paraId="27E53947" w14:textId="77777777" w:rsidR="006E2407" w:rsidRPr="006E2407" w:rsidRDefault="006E2407" w:rsidP="00202646">
      <w:pPr>
        <w:pStyle w:val="ListParagraph"/>
        <w:numPr>
          <w:ilvl w:val="0"/>
          <w:numId w:val="7"/>
        </w:numPr>
        <w:spacing w:line="252" w:lineRule="auto"/>
        <w:ind w:hanging="720"/>
        <w:rPr>
          <w:color w:val="000000"/>
        </w:rPr>
      </w:pPr>
      <w:r w:rsidRPr="006E2407">
        <w:rPr>
          <w:color w:val="000000"/>
        </w:rPr>
        <w:t>Sterile decanters of polystyrene plastics, each of a kind used to transfer aseptic fluids or medication to and from sterile bags, vials or glass containers (described in statistical reporting number 3926.90.9990)</w:t>
      </w:r>
    </w:p>
    <w:p w14:paraId="03EB66CC" w14:textId="77777777" w:rsidR="00BB6C0C" w:rsidRPr="00BB6C0C" w:rsidRDefault="00BB6C0C" w:rsidP="004B5CDB">
      <w:pPr>
        <w:pStyle w:val="ListParagraph"/>
        <w:numPr>
          <w:ilvl w:val="0"/>
          <w:numId w:val="7"/>
        </w:numPr>
        <w:spacing w:line="252" w:lineRule="auto"/>
        <w:ind w:hanging="720"/>
        <w:rPr>
          <w:color w:val="000000"/>
        </w:rPr>
      </w:pPr>
      <w:r w:rsidRPr="00BB6C0C">
        <w:rPr>
          <w:color w:val="000000"/>
        </w:rPr>
        <w:t>Cold packs consisting of a single-use, instant, endothermic chemical reaction cold pack combined with a textile exterior lining (described in statistical reporting number 6307.90.9889)</w:t>
      </w:r>
    </w:p>
    <w:p w14:paraId="5B8B7212" w14:textId="77777777" w:rsidR="00BB6C0C" w:rsidRPr="00BB6C0C" w:rsidRDefault="00BB6C0C" w:rsidP="004B5CDB">
      <w:pPr>
        <w:pStyle w:val="ListParagraph"/>
        <w:numPr>
          <w:ilvl w:val="0"/>
          <w:numId w:val="7"/>
        </w:numPr>
        <w:spacing w:line="252" w:lineRule="auto"/>
        <w:ind w:hanging="720"/>
        <w:rPr>
          <w:color w:val="000000"/>
        </w:rPr>
      </w:pPr>
      <w:r w:rsidRPr="00BB6C0C">
        <w:rPr>
          <w:color w:val="000000"/>
        </w:rPr>
        <w:t xml:space="preserve">Disposable shoe and boot covers of </w:t>
      </w:r>
      <w:r w:rsidR="006E2407">
        <w:rPr>
          <w:color w:val="000000"/>
        </w:rPr>
        <w:t>man-made fiber fabrics</w:t>
      </w:r>
      <w:r w:rsidR="006E2407" w:rsidRPr="00BB6C0C">
        <w:rPr>
          <w:color w:val="000000"/>
        </w:rPr>
        <w:t xml:space="preserve"> </w:t>
      </w:r>
      <w:r w:rsidRPr="00BB6C0C">
        <w:rPr>
          <w:color w:val="000000"/>
        </w:rPr>
        <w:t>(described in statistical reporting number 6307.90.9889)</w:t>
      </w:r>
    </w:p>
    <w:p w14:paraId="0FA40FDB" w14:textId="13C6D5FC" w:rsidR="00BB6C0C" w:rsidRPr="00BB6C0C" w:rsidRDefault="00BB6C0C" w:rsidP="004B5CDB">
      <w:pPr>
        <w:pStyle w:val="ListParagraph"/>
        <w:numPr>
          <w:ilvl w:val="0"/>
          <w:numId w:val="7"/>
        </w:numPr>
        <w:spacing w:line="252" w:lineRule="auto"/>
        <w:ind w:hanging="720"/>
        <w:rPr>
          <w:color w:val="000000"/>
        </w:rPr>
      </w:pPr>
      <w:r w:rsidRPr="00BB6C0C">
        <w:rPr>
          <w:color w:val="000000"/>
        </w:rPr>
        <w:t xml:space="preserve">Eye compresses, each consisting of a fabric cover filled with silica or gel beads, with or without a </w:t>
      </w:r>
      <w:r w:rsidR="00A80B4F">
        <w:rPr>
          <w:color w:val="000000"/>
        </w:rPr>
        <w:t>hook-and-loop fastener</w:t>
      </w:r>
      <w:r w:rsidR="00A80B4F" w:rsidRPr="00BB6C0C">
        <w:rPr>
          <w:color w:val="000000"/>
        </w:rPr>
        <w:t xml:space="preserve"> </w:t>
      </w:r>
      <w:r w:rsidRPr="00BB6C0C">
        <w:rPr>
          <w:color w:val="000000"/>
        </w:rPr>
        <w:t>strap (described in statistical reporting number 6307.90.9889)</w:t>
      </w:r>
    </w:p>
    <w:p w14:paraId="24010CF1" w14:textId="77777777" w:rsidR="00BB6C0C" w:rsidRPr="00BB6C0C" w:rsidRDefault="00BB6C0C" w:rsidP="004B5CDB">
      <w:pPr>
        <w:pStyle w:val="ListParagraph"/>
        <w:numPr>
          <w:ilvl w:val="0"/>
          <w:numId w:val="7"/>
        </w:numPr>
        <w:spacing w:line="252" w:lineRule="auto"/>
        <w:ind w:hanging="720"/>
        <w:rPr>
          <w:color w:val="000000"/>
        </w:rPr>
      </w:pPr>
      <w:r w:rsidRPr="00BB6C0C">
        <w:rPr>
          <w:color w:val="000000"/>
        </w:rPr>
        <w:t>Face masks, single-use</w:t>
      </w:r>
      <w:r w:rsidR="006E2407">
        <w:rPr>
          <w:color w:val="000000"/>
        </w:rPr>
        <w:t>, of textile fabrics</w:t>
      </w:r>
      <w:r w:rsidRPr="00BB6C0C">
        <w:rPr>
          <w:color w:val="000000"/>
        </w:rPr>
        <w:t xml:space="preserve"> (described in statistical reporting number 6307.90.9889)</w:t>
      </w:r>
    </w:p>
    <w:p w14:paraId="575A3EDC" w14:textId="6EC5B6FA" w:rsidR="00BB6C0C" w:rsidRPr="00BB6C0C" w:rsidRDefault="00BB6C0C" w:rsidP="004B5CDB">
      <w:pPr>
        <w:pStyle w:val="ListParagraph"/>
        <w:numPr>
          <w:ilvl w:val="0"/>
          <w:numId w:val="7"/>
        </w:numPr>
        <w:spacing w:line="252" w:lineRule="auto"/>
        <w:ind w:hanging="720"/>
        <w:rPr>
          <w:color w:val="000000"/>
        </w:rPr>
      </w:pPr>
      <w:r w:rsidRPr="00BB6C0C">
        <w:rPr>
          <w:color w:val="000000"/>
        </w:rPr>
        <w:t>Gel pads</w:t>
      </w:r>
      <w:r w:rsidR="00A80B4F">
        <w:rPr>
          <w:color w:val="000000"/>
        </w:rPr>
        <w:t xml:space="preserve"> of textile materials, each</w:t>
      </w:r>
      <w:r w:rsidRPr="00BB6C0C">
        <w:rPr>
          <w:color w:val="000000"/>
        </w:rPr>
        <w:t xml:space="preserve"> with removable fabric sleeves, </w:t>
      </w:r>
      <w:r w:rsidR="00A80B4F">
        <w:rPr>
          <w:color w:val="000000"/>
        </w:rPr>
        <w:t xml:space="preserve">in the </w:t>
      </w:r>
      <w:r w:rsidRPr="00BB6C0C">
        <w:rPr>
          <w:color w:val="000000"/>
        </w:rPr>
        <w:t>shape</w:t>
      </w:r>
      <w:r w:rsidR="00A80B4F">
        <w:rPr>
          <w:color w:val="000000"/>
        </w:rPr>
        <w:t xml:space="preserve"> of</w:t>
      </w:r>
      <w:r w:rsidRPr="00BB6C0C">
        <w:rPr>
          <w:color w:val="000000"/>
        </w:rPr>
        <w:t xml:space="preserve"> hearts, circles or quadrants (described in statistical reporting number 6307.90.9889)</w:t>
      </w:r>
    </w:p>
    <w:p w14:paraId="3C2A5870" w14:textId="0C60708F" w:rsidR="00BB6C0C" w:rsidRPr="00BB6C0C" w:rsidRDefault="00BB6C0C" w:rsidP="004B5CDB">
      <w:pPr>
        <w:pStyle w:val="ListParagraph"/>
        <w:numPr>
          <w:ilvl w:val="0"/>
          <w:numId w:val="7"/>
        </w:numPr>
        <w:spacing w:line="252" w:lineRule="auto"/>
        <w:ind w:hanging="720"/>
        <w:rPr>
          <w:color w:val="000000"/>
        </w:rPr>
      </w:pPr>
      <w:r w:rsidRPr="00BB6C0C">
        <w:rPr>
          <w:color w:val="000000"/>
        </w:rPr>
        <w:t xml:space="preserve">Hot packs </w:t>
      </w:r>
      <w:r w:rsidR="00A547A7">
        <w:rPr>
          <w:color w:val="000000"/>
        </w:rPr>
        <w:t>of textile material</w:t>
      </w:r>
      <w:r w:rsidR="006E2407">
        <w:rPr>
          <w:color w:val="000000"/>
        </w:rPr>
        <w:t>,</w:t>
      </w:r>
      <w:r w:rsidRPr="00BB6C0C">
        <w:rPr>
          <w:color w:val="000000"/>
        </w:rPr>
        <w:t xml:space="preserve"> single-use (exothermic chemical reaction) (described in statistical reporting number 6307.90.9889)</w:t>
      </w:r>
    </w:p>
    <w:p w14:paraId="2EF91C3C" w14:textId="32098763" w:rsidR="00BB6C0C" w:rsidRPr="00BB6C0C" w:rsidRDefault="00BB6C0C" w:rsidP="004B5CDB">
      <w:pPr>
        <w:pStyle w:val="ListParagraph"/>
        <w:numPr>
          <w:ilvl w:val="0"/>
          <w:numId w:val="7"/>
        </w:numPr>
        <w:spacing w:line="252" w:lineRule="auto"/>
        <w:ind w:hanging="720"/>
        <w:rPr>
          <w:color w:val="000000"/>
        </w:rPr>
      </w:pPr>
      <w:r w:rsidRPr="00BB6C0C">
        <w:rPr>
          <w:color w:val="000000"/>
        </w:rPr>
        <w:t xml:space="preserve">Laparotomy </w:t>
      </w:r>
      <w:r w:rsidR="00A80B4F">
        <w:rPr>
          <w:color w:val="000000"/>
        </w:rPr>
        <w:t>s</w:t>
      </w:r>
      <w:r w:rsidRPr="00BB6C0C">
        <w:rPr>
          <w:color w:val="000000"/>
        </w:rPr>
        <w:t>ponges of cotton (described in statistical reporting number 6307.90.9889)</w:t>
      </w:r>
    </w:p>
    <w:p w14:paraId="25BCFC4B" w14:textId="19CD945B" w:rsidR="00BB6C0C" w:rsidRPr="00BB6C0C" w:rsidRDefault="006E2407" w:rsidP="00202646">
      <w:pPr>
        <w:pStyle w:val="ListParagraph"/>
        <w:numPr>
          <w:ilvl w:val="0"/>
          <w:numId w:val="7"/>
        </w:numPr>
        <w:spacing w:line="252" w:lineRule="auto"/>
        <w:ind w:hanging="720"/>
        <w:rPr>
          <w:color w:val="000000"/>
        </w:rPr>
      </w:pPr>
      <w:r w:rsidRPr="006E2407">
        <w:rPr>
          <w:color w:val="000000"/>
        </w:rPr>
        <w:t>Patient restraint or safety straps of textile</w:t>
      </w:r>
      <w:r w:rsidR="00A80B4F">
        <w:rPr>
          <w:color w:val="000000"/>
        </w:rPr>
        <w:t xml:space="preserve"> material</w:t>
      </w:r>
      <w:r w:rsidRPr="006E2407">
        <w:rPr>
          <w:color w:val="000000"/>
        </w:rPr>
        <w:t>s, with hook</w:t>
      </w:r>
      <w:r w:rsidR="00A80B4F">
        <w:rPr>
          <w:color w:val="000000"/>
        </w:rPr>
        <w:t>-</w:t>
      </w:r>
      <w:r w:rsidRPr="006E2407">
        <w:rPr>
          <w:color w:val="000000"/>
        </w:rPr>
        <w:t>and</w:t>
      </w:r>
      <w:r w:rsidR="00A80B4F">
        <w:rPr>
          <w:color w:val="000000"/>
        </w:rPr>
        <w:t>-</w:t>
      </w:r>
      <w:r w:rsidRPr="006E2407">
        <w:rPr>
          <w:color w:val="000000"/>
        </w:rPr>
        <w:t>loop or ladder lock fasteners</w:t>
      </w:r>
      <w:r>
        <w:rPr>
          <w:color w:val="000000"/>
        </w:rPr>
        <w:t xml:space="preserve"> </w:t>
      </w:r>
      <w:r w:rsidR="00BB6C0C" w:rsidRPr="00BB6C0C">
        <w:rPr>
          <w:color w:val="000000"/>
        </w:rPr>
        <w:t>(described in statistical reporting number 6307.90.9889)</w:t>
      </w:r>
    </w:p>
    <w:p w14:paraId="1DD7F1EA" w14:textId="30084818" w:rsidR="006E2407" w:rsidRDefault="006E2407" w:rsidP="00A258E0">
      <w:pPr>
        <w:pStyle w:val="ListParagraph"/>
        <w:numPr>
          <w:ilvl w:val="0"/>
          <w:numId w:val="7"/>
        </w:numPr>
        <w:spacing w:line="252" w:lineRule="auto"/>
        <w:ind w:hanging="720"/>
        <w:rPr>
          <w:color w:val="000000"/>
        </w:rPr>
      </w:pPr>
      <w:r w:rsidRPr="006E2407">
        <w:rPr>
          <w:color w:val="000000"/>
        </w:rPr>
        <w:t>Single-use blood pressure cuff sleeves</w:t>
      </w:r>
      <w:r w:rsidR="00A80B4F">
        <w:rPr>
          <w:color w:val="000000"/>
        </w:rPr>
        <w:t xml:space="preserve"> of textile materials</w:t>
      </w:r>
      <w:r w:rsidRPr="006E2407">
        <w:rPr>
          <w:color w:val="000000"/>
        </w:rPr>
        <w:t xml:space="preserve"> (described in statistical reporting number 6307.90.9889)</w:t>
      </w:r>
    </w:p>
    <w:p w14:paraId="0068699D" w14:textId="1F252BE0" w:rsidR="00BB6C0C" w:rsidRPr="006E2407" w:rsidRDefault="00BB6C0C" w:rsidP="00A258E0">
      <w:pPr>
        <w:pStyle w:val="ListParagraph"/>
        <w:numPr>
          <w:ilvl w:val="0"/>
          <w:numId w:val="7"/>
        </w:numPr>
        <w:spacing w:line="252" w:lineRule="auto"/>
        <w:ind w:hanging="720"/>
        <w:rPr>
          <w:color w:val="000000"/>
        </w:rPr>
      </w:pPr>
      <w:r w:rsidRPr="006E2407">
        <w:rPr>
          <w:color w:val="000000"/>
        </w:rPr>
        <w:t xml:space="preserve">Single-use medical masks </w:t>
      </w:r>
      <w:r w:rsidR="00A80B4F">
        <w:rPr>
          <w:color w:val="000000"/>
        </w:rPr>
        <w:t xml:space="preserve">of textile material </w:t>
      </w:r>
      <w:r w:rsidRPr="006E2407">
        <w:rPr>
          <w:color w:val="000000"/>
        </w:rPr>
        <w:t>(described in statistical reporting number 6307.90.9889)</w:t>
      </w:r>
    </w:p>
    <w:p w14:paraId="40A86A13" w14:textId="77777777" w:rsidR="00BB6C0C" w:rsidRPr="00BB6C0C" w:rsidRDefault="00BB6C0C" w:rsidP="004B5CDB">
      <w:pPr>
        <w:pStyle w:val="ListParagraph"/>
        <w:numPr>
          <w:ilvl w:val="0"/>
          <w:numId w:val="7"/>
        </w:numPr>
        <w:spacing w:line="252" w:lineRule="auto"/>
        <w:ind w:hanging="720"/>
        <w:rPr>
          <w:color w:val="000000"/>
        </w:rPr>
      </w:pPr>
      <w:r w:rsidRPr="00BB6C0C">
        <w:rPr>
          <w:color w:val="000000"/>
        </w:rPr>
        <w:t>Single-use stethoscope covers (described in statistical reporting number 6307.90.9889)</w:t>
      </w:r>
    </w:p>
    <w:p w14:paraId="17FA4408" w14:textId="77777777" w:rsidR="006E2407" w:rsidRDefault="006E2407" w:rsidP="00A425DC">
      <w:pPr>
        <w:pStyle w:val="ListParagraph"/>
        <w:numPr>
          <w:ilvl w:val="0"/>
          <w:numId w:val="7"/>
        </w:numPr>
        <w:spacing w:line="252" w:lineRule="auto"/>
        <w:ind w:hanging="720"/>
        <w:rPr>
          <w:color w:val="000000"/>
        </w:rPr>
      </w:pPr>
      <w:r w:rsidRPr="006E2407">
        <w:rPr>
          <w:color w:val="000000"/>
        </w:rPr>
        <w:t>Woven gauze sponges of cotton in square or rectangular sizes (described in statistical reporting number 6307.90.9889)</w:t>
      </w:r>
    </w:p>
    <w:p w14:paraId="7710A2B2" w14:textId="77777777" w:rsidR="00BB6C0C" w:rsidRPr="006E2407" w:rsidRDefault="00BB6C0C" w:rsidP="00A425DC">
      <w:pPr>
        <w:pStyle w:val="ListParagraph"/>
        <w:numPr>
          <w:ilvl w:val="0"/>
          <w:numId w:val="7"/>
        </w:numPr>
        <w:spacing w:line="252" w:lineRule="auto"/>
        <w:ind w:hanging="720"/>
        <w:rPr>
          <w:color w:val="000000"/>
        </w:rPr>
      </w:pPr>
      <w:r w:rsidRPr="006E2407">
        <w:rPr>
          <w:color w:val="000000"/>
        </w:rPr>
        <w:t>Electromechanical shoe cover dispenser, of steel (described in statistical reporting number 8479.89.6500)</w:t>
      </w:r>
    </w:p>
    <w:p w14:paraId="7D7E07C1" w14:textId="7A586A05" w:rsidR="00BB6C0C" w:rsidRPr="00BB6C0C" w:rsidRDefault="00C5789A" w:rsidP="004B5CDB">
      <w:pPr>
        <w:pStyle w:val="ListParagraph"/>
        <w:numPr>
          <w:ilvl w:val="0"/>
          <w:numId w:val="7"/>
        </w:numPr>
        <w:spacing w:line="252" w:lineRule="auto"/>
        <w:ind w:hanging="720"/>
        <w:rPr>
          <w:color w:val="000000"/>
        </w:rPr>
      </w:pPr>
      <w:r>
        <w:rPr>
          <w:color w:val="000000"/>
        </w:rPr>
        <w:t>Protective articles</w:t>
      </w:r>
      <w:r w:rsidR="00BB6C0C" w:rsidRPr="00BB6C0C">
        <w:rPr>
          <w:color w:val="000000"/>
        </w:rPr>
        <w:t xml:space="preserve"> (described in statistical reporting number 9004.90.0000)</w:t>
      </w:r>
      <w:r w:rsidR="00153AC6">
        <w:rPr>
          <w:color w:val="000000"/>
        </w:rPr>
        <w:t>”</w:t>
      </w:r>
    </w:p>
    <w:p w14:paraId="7E43928D" w14:textId="77777777" w:rsidR="000678AF" w:rsidRDefault="000678AF" w:rsidP="004B5CDB">
      <w:pPr>
        <w:rPr>
          <w:b/>
        </w:rPr>
      </w:pPr>
    </w:p>
    <w:p w14:paraId="015A2C8E" w14:textId="77777777" w:rsidR="004B5CDB" w:rsidRDefault="004B5CDB" w:rsidP="004B5CDB">
      <w:pPr>
        <w:pStyle w:val="ListParagraph"/>
        <w:numPr>
          <w:ilvl w:val="0"/>
          <w:numId w:val="2"/>
        </w:numPr>
      </w:pPr>
      <w:proofErr w:type="gramStart"/>
      <w:r>
        <w:t>by</w:t>
      </w:r>
      <w:proofErr w:type="gramEnd"/>
      <w:r>
        <w:t xml:space="preserve"> amending the last sentence of the first paragraph of U.S. note 20(r) to insert “, except as provided in heading 9903.88.42 and U.S. note 20(uu) to subchapter III of chapter 99” after “heading 9903.88.15”.</w:t>
      </w:r>
    </w:p>
    <w:p w14:paraId="7B6BE47A" w14:textId="77777777" w:rsidR="004B5CDB" w:rsidRDefault="004B5CDB" w:rsidP="004B5CDB">
      <w:pPr>
        <w:pStyle w:val="ListParagraph"/>
        <w:numPr>
          <w:ilvl w:val="0"/>
          <w:numId w:val="2"/>
        </w:numPr>
      </w:pPr>
      <w:r>
        <w:t>by amending the article description of heading 9903.88.15 by deleting the word “Articles” and inserting “Except as provided in heading 9903.88.42, articles” in lieu thereof.</w:t>
      </w:r>
    </w:p>
    <w:p w14:paraId="7529128E" w14:textId="77777777" w:rsidR="004B5CDB" w:rsidRDefault="004B5CDB" w:rsidP="004B5CDB">
      <w:pPr>
        <w:rPr>
          <w:b/>
        </w:rPr>
      </w:pPr>
    </w:p>
    <w:sectPr w:rsidR="004B5CDB">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CB3BC" w16cid:durableId="22133535"/>
  <w16cid:commentId w16cid:paraId="3F1EB854" w16cid:durableId="22133567"/>
  <w16cid:commentId w16cid:paraId="6D079E53" w16cid:durableId="22133536"/>
  <w16cid:commentId w16cid:paraId="5A6D54DC" w16cid:durableId="221335E1"/>
  <w16cid:commentId w16cid:paraId="425E4867" w16cid:durableId="22133650"/>
  <w16cid:commentId w16cid:paraId="15788405" w16cid:durableId="221336D4"/>
  <w16cid:commentId w16cid:paraId="2741407A" w16cid:durableId="22133537"/>
  <w16cid:commentId w16cid:paraId="364A8397" w16cid:durableId="22133538"/>
  <w16cid:commentId w16cid:paraId="69ECFEF6" w16cid:durableId="22133539"/>
  <w16cid:commentId w16cid:paraId="30CA39E7" w16cid:durableId="2213372E"/>
  <w16cid:commentId w16cid:paraId="5FF6AFB7" w16cid:durableId="2213353A"/>
  <w16cid:commentId w16cid:paraId="72A40F27" w16cid:durableId="2213353B"/>
  <w16cid:commentId w16cid:paraId="70F04B94" w16cid:durableId="2213353C"/>
  <w16cid:commentId w16cid:paraId="6332C78E" w16cid:durableId="2213353D"/>
  <w16cid:commentId w16cid:paraId="39813AB5" w16cid:durableId="221338BC"/>
  <w16cid:commentId w16cid:paraId="4F76A648" w16cid:durableId="2213353E"/>
  <w16cid:commentId w16cid:paraId="067CE16C" w16cid:durableId="2213353F"/>
  <w16cid:commentId w16cid:paraId="1D69ACC8" w16cid:durableId="22133540"/>
  <w16cid:commentId w16cid:paraId="13BDABEA" w16cid:durableId="22133941"/>
  <w16cid:commentId w16cid:paraId="133DF3BD" w16cid:durableId="22133541"/>
  <w16cid:commentId w16cid:paraId="5598B5E0" w16cid:durableId="221339B7"/>
  <w16cid:commentId w16cid:paraId="301BAC72" w16cid:durableId="22133991"/>
  <w16cid:commentId w16cid:paraId="23EC301E" w16cid:durableId="22133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59C1" w14:textId="77777777" w:rsidR="00656F09" w:rsidRDefault="00656F09" w:rsidP="00656F09">
      <w:pPr>
        <w:spacing w:line="240" w:lineRule="auto"/>
      </w:pPr>
      <w:r>
        <w:separator/>
      </w:r>
    </w:p>
  </w:endnote>
  <w:endnote w:type="continuationSeparator" w:id="0">
    <w:p w14:paraId="4DC7F68D" w14:textId="77777777" w:rsidR="00656F09" w:rsidRDefault="00656F09" w:rsidP="00656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07C4" w14:textId="77777777" w:rsidR="00656F09" w:rsidRDefault="00656F09" w:rsidP="00656F09">
      <w:pPr>
        <w:spacing w:line="240" w:lineRule="auto"/>
      </w:pPr>
      <w:r>
        <w:separator/>
      </w:r>
    </w:p>
  </w:footnote>
  <w:footnote w:type="continuationSeparator" w:id="0">
    <w:p w14:paraId="613FD53C" w14:textId="77777777" w:rsidR="00656F09" w:rsidRDefault="00656F09" w:rsidP="00656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9B91" w14:textId="7A22CD27" w:rsidR="00656F09" w:rsidRPr="00656F09" w:rsidRDefault="00656F09" w:rsidP="00656F09">
    <w:pPr>
      <w:pStyle w:val="Header"/>
    </w:pPr>
    <w:r w:rsidRPr="00656F09">
      <w:t>GUIDANCE:  Sect</w:t>
    </w:r>
    <w:r>
      <w:t>ion 301 Tranche 4A - $300B Second</w:t>
    </w:r>
    <w:r w:rsidRPr="00656F09">
      <w:t xml:space="preserve"> Round of Product Exclusions from China </w:t>
    </w:r>
    <w:r>
      <w:rPr>
        <w:b/>
      </w:rPr>
      <w:t>9903.88.42</w:t>
    </w:r>
    <w:r w:rsidRPr="00656F09">
      <w:rPr>
        <w:b/>
      </w:rPr>
      <w:t xml:space="preserve"> - ANNEX</w:t>
    </w:r>
  </w:p>
  <w:p w14:paraId="27D6782B" w14:textId="502D3D3F" w:rsidR="00656F09" w:rsidRDefault="00656F09">
    <w:pPr>
      <w:pStyle w:val="Header"/>
    </w:pPr>
  </w:p>
  <w:p w14:paraId="67936B1B" w14:textId="77777777" w:rsidR="00656F09" w:rsidRDefault="0065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2B3"/>
    <w:multiLevelType w:val="hybridMultilevel"/>
    <w:tmpl w:val="7A48AA7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487544"/>
    <w:multiLevelType w:val="hybridMultilevel"/>
    <w:tmpl w:val="55E8F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00D27"/>
    <w:multiLevelType w:val="hybridMultilevel"/>
    <w:tmpl w:val="9740EDE2"/>
    <w:lvl w:ilvl="0" w:tplc="080C3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51149"/>
    <w:multiLevelType w:val="hybridMultilevel"/>
    <w:tmpl w:val="55E8F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5E8C"/>
    <w:multiLevelType w:val="hybridMultilevel"/>
    <w:tmpl w:val="B68CAE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0261C"/>
    <w:multiLevelType w:val="hybridMultilevel"/>
    <w:tmpl w:val="97F2C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846"/>
    <w:multiLevelType w:val="hybridMultilevel"/>
    <w:tmpl w:val="F5D6C668"/>
    <w:lvl w:ilvl="0" w:tplc="86CA9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F1"/>
    <w:rsid w:val="00000FC5"/>
    <w:rsid w:val="00011768"/>
    <w:rsid w:val="00023339"/>
    <w:rsid w:val="0004311E"/>
    <w:rsid w:val="00044C64"/>
    <w:rsid w:val="00064571"/>
    <w:rsid w:val="000678AF"/>
    <w:rsid w:val="000B7ED9"/>
    <w:rsid w:val="000C7C36"/>
    <w:rsid w:val="000D533A"/>
    <w:rsid w:val="00125C13"/>
    <w:rsid w:val="001328BA"/>
    <w:rsid w:val="00142EB5"/>
    <w:rsid w:val="00153AC6"/>
    <w:rsid w:val="00190C74"/>
    <w:rsid w:val="001943C8"/>
    <w:rsid w:val="001B3CF1"/>
    <w:rsid w:val="001E67F6"/>
    <w:rsid w:val="001F174A"/>
    <w:rsid w:val="00202646"/>
    <w:rsid w:val="002701C5"/>
    <w:rsid w:val="002A03F9"/>
    <w:rsid w:val="002A4524"/>
    <w:rsid w:val="00364CE9"/>
    <w:rsid w:val="00374AC6"/>
    <w:rsid w:val="00377747"/>
    <w:rsid w:val="003864B9"/>
    <w:rsid w:val="003A6F03"/>
    <w:rsid w:val="003C22F2"/>
    <w:rsid w:val="003C574F"/>
    <w:rsid w:val="00417421"/>
    <w:rsid w:val="00443546"/>
    <w:rsid w:val="00451FF6"/>
    <w:rsid w:val="004666D3"/>
    <w:rsid w:val="004744EE"/>
    <w:rsid w:val="004955EA"/>
    <w:rsid w:val="00497630"/>
    <w:rsid w:val="004A2C40"/>
    <w:rsid w:val="004B4DB8"/>
    <w:rsid w:val="004B5CDB"/>
    <w:rsid w:val="004C7816"/>
    <w:rsid w:val="0051586F"/>
    <w:rsid w:val="00531561"/>
    <w:rsid w:val="005864AA"/>
    <w:rsid w:val="005B3A0A"/>
    <w:rsid w:val="005B488C"/>
    <w:rsid w:val="005C37F1"/>
    <w:rsid w:val="005E27F0"/>
    <w:rsid w:val="00622C4C"/>
    <w:rsid w:val="0064338B"/>
    <w:rsid w:val="00656F09"/>
    <w:rsid w:val="006930EF"/>
    <w:rsid w:val="006A0748"/>
    <w:rsid w:val="006A117A"/>
    <w:rsid w:val="006C58F1"/>
    <w:rsid w:val="006E2407"/>
    <w:rsid w:val="006F3736"/>
    <w:rsid w:val="00716359"/>
    <w:rsid w:val="00722F1A"/>
    <w:rsid w:val="00726A79"/>
    <w:rsid w:val="00766F3A"/>
    <w:rsid w:val="00775D91"/>
    <w:rsid w:val="007E34B4"/>
    <w:rsid w:val="007E486D"/>
    <w:rsid w:val="007E6515"/>
    <w:rsid w:val="008060E5"/>
    <w:rsid w:val="00834819"/>
    <w:rsid w:val="00885858"/>
    <w:rsid w:val="008B38B3"/>
    <w:rsid w:val="0090095F"/>
    <w:rsid w:val="009313F3"/>
    <w:rsid w:val="00967312"/>
    <w:rsid w:val="00980F15"/>
    <w:rsid w:val="009B5A6F"/>
    <w:rsid w:val="009C09D6"/>
    <w:rsid w:val="009F55F9"/>
    <w:rsid w:val="00A0362C"/>
    <w:rsid w:val="00A3396E"/>
    <w:rsid w:val="00A36601"/>
    <w:rsid w:val="00A547A7"/>
    <w:rsid w:val="00A56DEB"/>
    <w:rsid w:val="00A80B4F"/>
    <w:rsid w:val="00AA72FF"/>
    <w:rsid w:val="00AE3AAF"/>
    <w:rsid w:val="00AF56AA"/>
    <w:rsid w:val="00B25769"/>
    <w:rsid w:val="00B511FC"/>
    <w:rsid w:val="00B615D4"/>
    <w:rsid w:val="00B82E30"/>
    <w:rsid w:val="00B8552D"/>
    <w:rsid w:val="00B92669"/>
    <w:rsid w:val="00B96951"/>
    <w:rsid w:val="00BA2BFA"/>
    <w:rsid w:val="00BA4C73"/>
    <w:rsid w:val="00BB6C0C"/>
    <w:rsid w:val="00C273E6"/>
    <w:rsid w:val="00C300B5"/>
    <w:rsid w:val="00C50374"/>
    <w:rsid w:val="00C5789A"/>
    <w:rsid w:val="00C75115"/>
    <w:rsid w:val="00CF06B9"/>
    <w:rsid w:val="00D43074"/>
    <w:rsid w:val="00D62117"/>
    <w:rsid w:val="00D739A0"/>
    <w:rsid w:val="00DB21D2"/>
    <w:rsid w:val="00DC4E52"/>
    <w:rsid w:val="00E032CF"/>
    <w:rsid w:val="00E427C1"/>
    <w:rsid w:val="00E922CD"/>
    <w:rsid w:val="00F1514A"/>
    <w:rsid w:val="00F6021E"/>
    <w:rsid w:val="00F62AC9"/>
    <w:rsid w:val="00F70082"/>
    <w:rsid w:val="00F83031"/>
    <w:rsid w:val="00FA424A"/>
    <w:rsid w:val="00FB1870"/>
    <w:rsid w:val="00FB18A3"/>
    <w:rsid w:val="00FB39E1"/>
    <w:rsid w:val="00FC3602"/>
    <w:rsid w:val="00FE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27E6"/>
  <w15:chartTrackingRefBased/>
  <w15:docId w15:val="{E738106D-6359-47D1-99D4-60627DAE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F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F1"/>
    <w:rPr>
      <w:color w:val="0563C1" w:themeColor="hyperlink"/>
      <w:u w:val="single"/>
    </w:rPr>
  </w:style>
  <w:style w:type="paragraph" w:styleId="ListParagraph">
    <w:name w:val="List Paragraph"/>
    <w:basedOn w:val="Normal"/>
    <w:uiPriority w:val="34"/>
    <w:qFormat/>
    <w:rsid w:val="005C37F1"/>
    <w:pPr>
      <w:ind w:left="720"/>
      <w:contextualSpacing/>
    </w:pPr>
  </w:style>
  <w:style w:type="paragraph" w:styleId="BalloonText">
    <w:name w:val="Balloon Text"/>
    <w:basedOn w:val="Normal"/>
    <w:link w:val="BalloonTextChar"/>
    <w:uiPriority w:val="99"/>
    <w:semiHidden/>
    <w:unhideWhenUsed/>
    <w:rsid w:val="00E032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CF"/>
    <w:rPr>
      <w:rFonts w:ascii="Segoe UI" w:hAnsi="Segoe UI" w:cs="Segoe UI"/>
      <w:sz w:val="18"/>
      <w:szCs w:val="18"/>
    </w:rPr>
  </w:style>
  <w:style w:type="paragraph" w:styleId="NoSpacing">
    <w:name w:val="No Spacing"/>
    <w:uiPriority w:val="1"/>
    <w:qFormat/>
    <w:rsid w:val="001F174A"/>
    <w:pPr>
      <w:spacing w:after="0" w:line="240" w:lineRule="auto"/>
    </w:pPr>
    <w:rPr>
      <w:rFonts w:ascii="Times New Roman" w:hAnsi="Times New Roman" w:cs="Times New Roman"/>
      <w:sz w:val="24"/>
      <w:szCs w:val="24"/>
    </w:rPr>
  </w:style>
  <w:style w:type="table" w:styleId="TableGrid">
    <w:name w:val="Table Grid"/>
    <w:basedOn w:val="TableNormal"/>
    <w:uiPriority w:val="59"/>
    <w:rsid w:val="001F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669"/>
    <w:rPr>
      <w:sz w:val="16"/>
      <w:szCs w:val="16"/>
    </w:rPr>
  </w:style>
  <w:style w:type="paragraph" w:styleId="CommentText">
    <w:name w:val="annotation text"/>
    <w:basedOn w:val="Normal"/>
    <w:link w:val="CommentTextChar"/>
    <w:uiPriority w:val="99"/>
    <w:semiHidden/>
    <w:unhideWhenUsed/>
    <w:rsid w:val="00B92669"/>
    <w:pPr>
      <w:spacing w:line="240" w:lineRule="auto"/>
    </w:pPr>
    <w:rPr>
      <w:sz w:val="20"/>
      <w:szCs w:val="20"/>
    </w:rPr>
  </w:style>
  <w:style w:type="character" w:customStyle="1" w:styleId="CommentTextChar">
    <w:name w:val="Comment Text Char"/>
    <w:basedOn w:val="DefaultParagraphFont"/>
    <w:link w:val="CommentText"/>
    <w:uiPriority w:val="99"/>
    <w:semiHidden/>
    <w:rsid w:val="00B926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669"/>
    <w:rPr>
      <w:b/>
      <w:bCs/>
    </w:rPr>
  </w:style>
  <w:style w:type="character" w:customStyle="1" w:styleId="CommentSubjectChar">
    <w:name w:val="Comment Subject Char"/>
    <w:basedOn w:val="CommentTextChar"/>
    <w:link w:val="CommentSubject"/>
    <w:uiPriority w:val="99"/>
    <w:semiHidden/>
    <w:rsid w:val="00B92669"/>
    <w:rPr>
      <w:rFonts w:ascii="Times New Roman" w:hAnsi="Times New Roman" w:cs="Times New Roman"/>
      <w:b/>
      <w:bCs/>
      <w:sz w:val="20"/>
      <w:szCs w:val="20"/>
    </w:rPr>
  </w:style>
  <w:style w:type="paragraph" w:styleId="Revision">
    <w:name w:val="Revision"/>
    <w:hidden/>
    <w:uiPriority w:val="99"/>
    <w:semiHidden/>
    <w:rsid w:val="00A80B4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56F09"/>
    <w:pPr>
      <w:tabs>
        <w:tab w:val="center" w:pos="4680"/>
        <w:tab w:val="right" w:pos="9360"/>
      </w:tabs>
      <w:spacing w:line="240" w:lineRule="auto"/>
    </w:pPr>
  </w:style>
  <w:style w:type="character" w:customStyle="1" w:styleId="HeaderChar">
    <w:name w:val="Header Char"/>
    <w:basedOn w:val="DefaultParagraphFont"/>
    <w:link w:val="Header"/>
    <w:uiPriority w:val="99"/>
    <w:rsid w:val="00656F09"/>
    <w:rPr>
      <w:rFonts w:ascii="Times New Roman" w:hAnsi="Times New Roman" w:cs="Times New Roman"/>
      <w:sz w:val="24"/>
      <w:szCs w:val="24"/>
    </w:rPr>
  </w:style>
  <w:style w:type="paragraph" w:styleId="Footer">
    <w:name w:val="footer"/>
    <w:basedOn w:val="Normal"/>
    <w:link w:val="FooterChar"/>
    <w:uiPriority w:val="99"/>
    <w:unhideWhenUsed/>
    <w:rsid w:val="00656F09"/>
    <w:pPr>
      <w:tabs>
        <w:tab w:val="center" w:pos="4680"/>
        <w:tab w:val="right" w:pos="9360"/>
      </w:tabs>
      <w:spacing w:line="240" w:lineRule="auto"/>
    </w:pPr>
  </w:style>
  <w:style w:type="character" w:customStyle="1" w:styleId="FooterChar">
    <w:name w:val="Footer Char"/>
    <w:basedOn w:val="DefaultParagraphFont"/>
    <w:link w:val="Footer"/>
    <w:uiPriority w:val="99"/>
    <w:rsid w:val="00656F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58">
      <w:bodyDiv w:val="1"/>
      <w:marLeft w:val="0"/>
      <w:marRight w:val="0"/>
      <w:marTop w:val="0"/>
      <w:marBottom w:val="0"/>
      <w:divBdr>
        <w:top w:val="none" w:sz="0" w:space="0" w:color="auto"/>
        <w:left w:val="none" w:sz="0" w:space="0" w:color="auto"/>
        <w:bottom w:val="none" w:sz="0" w:space="0" w:color="auto"/>
        <w:right w:val="none" w:sz="0" w:space="0" w:color="auto"/>
      </w:divBdr>
    </w:div>
    <w:div w:id="94403506">
      <w:bodyDiv w:val="1"/>
      <w:marLeft w:val="0"/>
      <w:marRight w:val="0"/>
      <w:marTop w:val="0"/>
      <w:marBottom w:val="0"/>
      <w:divBdr>
        <w:top w:val="none" w:sz="0" w:space="0" w:color="auto"/>
        <w:left w:val="none" w:sz="0" w:space="0" w:color="auto"/>
        <w:bottom w:val="none" w:sz="0" w:space="0" w:color="auto"/>
        <w:right w:val="none" w:sz="0" w:space="0" w:color="auto"/>
      </w:divBdr>
    </w:div>
    <w:div w:id="110252143">
      <w:bodyDiv w:val="1"/>
      <w:marLeft w:val="0"/>
      <w:marRight w:val="0"/>
      <w:marTop w:val="0"/>
      <w:marBottom w:val="0"/>
      <w:divBdr>
        <w:top w:val="none" w:sz="0" w:space="0" w:color="auto"/>
        <w:left w:val="none" w:sz="0" w:space="0" w:color="auto"/>
        <w:bottom w:val="none" w:sz="0" w:space="0" w:color="auto"/>
        <w:right w:val="none" w:sz="0" w:space="0" w:color="auto"/>
      </w:divBdr>
    </w:div>
    <w:div w:id="178783644">
      <w:bodyDiv w:val="1"/>
      <w:marLeft w:val="0"/>
      <w:marRight w:val="0"/>
      <w:marTop w:val="0"/>
      <w:marBottom w:val="0"/>
      <w:divBdr>
        <w:top w:val="none" w:sz="0" w:space="0" w:color="auto"/>
        <w:left w:val="none" w:sz="0" w:space="0" w:color="auto"/>
        <w:bottom w:val="none" w:sz="0" w:space="0" w:color="auto"/>
        <w:right w:val="none" w:sz="0" w:space="0" w:color="auto"/>
      </w:divBdr>
    </w:div>
    <w:div w:id="214317381">
      <w:bodyDiv w:val="1"/>
      <w:marLeft w:val="0"/>
      <w:marRight w:val="0"/>
      <w:marTop w:val="0"/>
      <w:marBottom w:val="0"/>
      <w:divBdr>
        <w:top w:val="none" w:sz="0" w:space="0" w:color="auto"/>
        <w:left w:val="none" w:sz="0" w:space="0" w:color="auto"/>
        <w:bottom w:val="none" w:sz="0" w:space="0" w:color="auto"/>
        <w:right w:val="none" w:sz="0" w:space="0" w:color="auto"/>
      </w:divBdr>
    </w:div>
    <w:div w:id="321852229">
      <w:bodyDiv w:val="1"/>
      <w:marLeft w:val="0"/>
      <w:marRight w:val="0"/>
      <w:marTop w:val="0"/>
      <w:marBottom w:val="0"/>
      <w:divBdr>
        <w:top w:val="none" w:sz="0" w:space="0" w:color="auto"/>
        <w:left w:val="none" w:sz="0" w:space="0" w:color="auto"/>
        <w:bottom w:val="none" w:sz="0" w:space="0" w:color="auto"/>
        <w:right w:val="none" w:sz="0" w:space="0" w:color="auto"/>
      </w:divBdr>
    </w:div>
    <w:div w:id="639460735">
      <w:bodyDiv w:val="1"/>
      <w:marLeft w:val="0"/>
      <w:marRight w:val="0"/>
      <w:marTop w:val="0"/>
      <w:marBottom w:val="0"/>
      <w:divBdr>
        <w:top w:val="none" w:sz="0" w:space="0" w:color="auto"/>
        <w:left w:val="none" w:sz="0" w:space="0" w:color="auto"/>
        <w:bottom w:val="none" w:sz="0" w:space="0" w:color="auto"/>
        <w:right w:val="none" w:sz="0" w:space="0" w:color="auto"/>
      </w:divBdr>
    </w:div>
    <w:div w:id="693115783">
      <w:bodyDiv w:val="1"/>
      <w:marLeft w:val="0"/>
      <w:marRight w:val="0"/>
      <w:marTop w:val="0"/>
      <w:marBottom w:val="0"/>
      <w:divBdr>
        <w:top w:val="none" w:sz="0" w:space="0" w:color="auto"/>
        <w:left w:val="none" w:sz="0" w:space="0" w:color="auto"/>
        <w:bottom w:val="none" w:sz="0" w:space="0" w:color="auto"/>
        <w:right w:val="none" w:sz="0" w:space="0" w:color="auto"/>
      </w:divBdr>
    </w:div>
    <w:div w:id="815533926">
      <w:bodyDiv w:val="1"/>
      <w:marLeft w:val="0"/>
      <w:marRight w:val="0"/>
      <w:marTop w:val="0"/>
      <w:marBottom w:val="0"/>
      <w:divBdr>
        <w:top w:val="none" w:sz="0" w:space="0" w:color="auto"/>
        <w:left w:val="none" w:sz="0" w:space="0" w:color="auto"/>
        <w:bottom w:val="none" w:sz="0" w:space="0" w:color="auto"/>
        <w:right w:val="none" w:sz="0" w:space="0" w:color="auto"/>
      </w:divBdr>
    </w:div>
    <w:div w:id="932977402">
      <w:bodyDiv w:val="1"/>
      <w:marLeft w:val="0"/>
      <w:marRight w:val="0"/>
      <w:marTop w:val="0"/>
      <w:marBottom w:val="0"/>
      <w:divBdr>
        <w:top w:val="none" w:sz="0" w:space="0" w:color="auto"/>
        <w:left w:val="none" w:sz="0" w:space="0" w:color="auto"/>
        <w:bottom w:val="none" w:sz="0" w:space="0" w:color="auto"/>
        <w:right w:val="none" w:sz="0" w:space="0" w:color="auto"/>
      </w:divBdr>
    </w:div>
    <w:div w:id="1029379902">
      <w:bodyDiv w:val="1"/>
      <w:marLeft w:val="0"/>
      <w:marRight w:val="0"/>
      <w:marTop w:val="0"/>
      <w:marBottom w:val="0"/>
      <w:divBdr>
        <w:top w:val="none" w:sz="0" w:space="0" w:color="auto"/>
        <w:left w:val="none" w:sz="0" w:space="0" w:color="auto"/>
        <w:bottom w:val="none" w:sz="0" w:space="0" w:color="auto"/>
        <w:right w:val="none" w:sz="0" w:space="0" w:color="auto"/>
      </w:divBdr>
    </w:div>
    <w:div w:id="1030106108">
      <w:bodyDiv w:val="1"/>
      <w:marLeft w:val="0"/>
      <w:marRight w:val="0"/>
      <w:marTop w:val="0"/>
      <w:marBottom w:val="0"/>
      <w:divBdr>
        <w:top w:val="none" w:sz="0" w:space="0" w:color="auto"/>
        <w:left w:val="none" w:sz="0" w:space="0" w:color="auto"/>
        <w:bottom w:val="none" w:sz="0" w:space="0" w:color="auto"/>
        <w:right w:val="none" w:sz="0" w:space="0" w:color="auto"/>
      </w:divBdr>
    </w:div>
    <w:div w:id="1046301068">
      <w:bodyDiv w:val="1"/>
      <w:marLeft w:val="0"/>
      <w:marRight w:val="0"/>
      <w:marTop w:val="0"/>
      <w:marBottom w:val="0"/>
      <w:divBdr>
        <w:top w:val="none" w:sz="0" w:space="0" w:color="auto"/>
        <w:left w:val="none" w:sz="0" w:space="0" w:color="auto"/>
        <w:bottom w:val="none" w:sz="0" w:space="0" w:color="auto"/>
        <w:right w:val="none" w:sz="0" w:space="0" w:color="auto"/>
      </w:divBdr>
    </w:div>
    <w:div w:id="1203978814">
      <w:bodyDiv w:val="1"/>
      <w:marLeft w:val="0"/>
      <w:marRight w:val="0"/>
      <w:marTop w:val="0"/>
      <w:marBottom w:val="0"/>
      <w:divBdr>
        <w:top w:val="none" w:sz="0" w:space="0" w:color="auto"/>
        <w:left w:val="none" w:sz="0" w:space="0" w:color="auto"/>
        <w:bottom w:val="none" w:sz="0" w:space="0" w:color="auto"/>
        <w:right w:val="none" w:sz="0" w:space="0" w:color="auto"/>
      </w:divBdr>
    </w:div>
    <w:div w:id="1305621324">
      <w:bodyDiv w:val="1"/>
      <w:marLeft w:val="0"/>
      <w:marRight w:val="0"/>
      <w:marTop w:val="0"/>
      <w:marBottom w:val="0"/>
      <w:divBdr>
        <w:top w:val="none" w:sz="0" w:space="0" w:color="auto"/>
        <w:left w:val="none" w:sz="0" w:space="0" w:color="auto"/>
        <w:bottom w:val="none" w:sz="0" w:space="0" w:color="auto"/>
        <w:right w:val="none" w:sz="0" w:space="0" w:color="auto"/>
      </w:divBdr>
    </w:div>
    <w:div w:id="1390687511">
      <w:bodyDiv w:val="1"/>
      <w:marLeft w:val="0"/>
      <w:marRight w:val="0"/>
      <w:marTop w:val="0"/>
      <w:marBottom w:val="0"/>
      <w:divBdr>
        <w:top w:val="none" w:sz="0" w:space="0" w:color="auto"/>
        <w:left w:val="none" w:sz="0" w:space="0" w:color="auto"/>
        <w:bottom w:val="none" w:sz="0" w:space="0" w:color="auto"/>
        <w:right w:val="none" w:sz="0" w:space="0" w:color="auto"/>
      </w:divBdr>
    </w:div>
    <w:div w:id="1436823302">
      <w:bodyDiv w:val="1"/>
      <w:marLeft w:val="0"/>
      <w:marRight w:val="0"/>
      <w:marTop w:val="0"/>
      <w:marBottom w:val="0"/>
      <w:divBdr>
        <w:top w:val="none" w:sz="0" w:space="0" w:color="auto"/>
        <w:left w:val="none" w:sz="0" w:space="0" w:color="auto"/>
        <w:bottom w:val="none" w:sz="0" w:space="0" w:color="auto"/>
        <w:right w:val="none" w:sz="0" w:space="0" w:color="auto"/>
      </w:divBdr>
    </w:div>
    <w:div w:id="1476098228">
      <w:bodyDiv w:val="1"/>
      <w:marLeft w:val="0"/>
      <w:marRight w:val="0"/>
      <w:marTop w:val="0"/>
      <w:marBottom w:val="0"/>
      <w:divBdr>
        <w:top w:val="none" w:sz="0" w:space="0" w:color="auto"/>
        <w:left w:val="none" w:sz="0" w:space="0" w:color="auto"/>
        <w:bottom w:val="none" w:sz="0" w:space="0" w:color="auto"/>
        <w:right w:val="none" w:sz="0" w:space="0" w:color="auto"/>
      </w:divBdr>
    </w:div>
    <w:div w:id="1535380887">
      <w:bodyDiv w:val="1"/>
      <w:marLeft w:val="0"/>
      <w:marRight w:val="0"/>
      <w:marTop w:val="0"/>
      <w:marBottom w:val="0"/>
      <w:divBdr>
        <w:top w:val="none" w:sz="0" w:space="0" w:color="auto"/>
        <w:left w:val="none" w:sz="0" w:space="0" w:color="auto"/>
        <w:bottom w:val="none" w:sz="0" w:space="0" w:color="auto"/>
        <w:right w:val="none" w:sz="0" w:space="0" w:color="auto"/>
      </w:divBdr>
    </w:div>
    <w:div w:id="1646548583">
      <w:bodyDiv w:val="1"/>
      <w:marLeft w:val="0"/>
      <w:marRight w:val="0"/>
      <w:marTop w:val="0"/>
      <w:marBottom w:val="0"/>
      <w:divBdr>
        <w:top w:val="none" w:sz="0" w:space="0" w:color="auto"/>
        <w:left w:val="none" w:sz="0" w:space="0" w:color="auto"/>
        <w:bottom w:val="none" w:sz="0" w:space="0" w:color="auto"/>
        <w:right w:val="none" w:sz="0" w:space="0" w:color="auto"/>
      </w:divBdr>
    </w:div>
    <w:div w:id="1725055413">
      <w:bodyDiv w:val="1"/>
      <w:marLeft w:val="0"/>
      <w:marRight w:val="0"/>
      <w:marTop w:val="0"/>
      <w:marBottom w:val="0"/>
      <w:divBdr>
        <w:top w:val="none" w:sz="0" w:space="0" w:color="auto"/>
        <w:left w:val="none" w:sz="0" w:space="0" w:color="auto"/>
        <w:bottom w:val="none" w:sz="0" w:space="0" w:color="auto"/>
        <w:right w:val="none" w:sz="0" w:space="0" w:color="auto"/>
      </w:divBdr>
    </w:div>
    <w:div w:id="1824664244">
      <w:bodyDiv w:val="1"/>
      <w:marLeft w:val="0"/>
      <w:marRight w:val="0"/>
      <w:marTop w:val="0"/>
      <w:marBottom w:val="0"/>
      <w:divBdr>
        <w:top w:val="none" w:sz="0" w:space="0" w:color="auto"/>
        <w:left w:val="none" w:sz="0" w:space="0" w:color="auto"/>
        <w:bottom w:val="none" w:sz="0" w:space="0" w:color="auto"/>
        <w:right w:val="none" w:sz="0" w:space="0" w:color="auto"/>
      </w:divBdr>
    </w:div>
    <w:div w:id="1842818579">
      <w:bodyDiv w:val="1"/>
      <w:marLeft w:val="0"/>
      <w:marRight w:val="0"/>
      <w:marTop w:val="0"/>
      <w:marBottom w:val="0"/>
      <w:divBdr>
        <w:top w:val="none" w:sz="0" w:space="0" w:color="auto"/>
        <w:left w:val="none" w:sz="0" w:space="0" w:color="auto"/>
        <w:bottom w:val="none" w:sz="0" w:space="0" w:color="auto"/>
        <w:right w:val="none" w:sz="0" w:space="0" w:color="auto"/>
      </w:divBdr>
    </w:div>
    <w:div w:id="1843280353">
      <w:bodyDiv w:val="1"/>
      <w:marLeft w:val="0"/>
      <w:marRight w:val="0"/>
      <w:marTop w:val="0"/>
      <w:marBottom w:val="0"/>
      <w:divBdr>
        <w:top w:val="none" w:sz="0" w:space="0" w:color="auto"/>
        <w:left w:val="none" w:sz="0" w:space="0" w:color="auto"/>
        <w:bottom w:val="none" w:sz="0" w:space="0" w:color="auto"/>
        <w:right w:val="none" w:sz="0" w:space="0" w:color="auto"/>
      </w:divBdr>
    </w:div>
    <w:div w:id="1861971555">
      <w:bodyDiv w:val="1"/>
      <w:marLeft w:val="0"/>
      <w:marRight w:val="0"/>
      <w:marTop w:val="0"/>
      <w:marBottom w:val="0"/>
      <w:divBdr>
        <w:top w:val="none" w:sz="0" w:space="0" w:color="auto"/>
        <w:left w:val="none" w:sz="0" w:space="0" w:color="auto"/>
        <w:bottom w:val="none" w:sz="0" w:space="0" w:color="auto"/>
        <w:right w:val="none" w:sz="0" w:space="0" w:color="auto"/>
      </w:divBdr>
    </w:div>
    <w:div w:id="1870870756">
      <w:bodyDiv w:val="1"/>
      <w:marLeft w:val="0"/>
      <w:marRight w:val="0"/>
      <w:marTop w:val="0"/>
      <w:marBottom w:val="0"/>
      <w:divBdr>
        <w:top w:val="none" w:sz="0" w:space="0" w:color="auto"/>
        <w:left w:val="none" w:sz="0" w:space="0" w:color="auto"/>
        <w:bottom w:val="none" w:sz="0" w:space="0" w:color="auto"/>
        <w:right w:val="none" w:sz="0" w:space="0" w:color="auto"/>
      </w:divBdr>
    </w:div>
    <w:div w:id="1943145145">
      <w:bodyDiv w:val="1"/>
      <w:marLeft w:val="0"/>
      <w:marRight w:val="0"/>
      <w:marTop w:val="0"/>
      <w:marBottom w:val="0"/>
      <w:divBdr>
        <w:top w:val="none" w:sz="0" w:space="0" w:color="auto"/>
        <w:left w:val="none" w:sz="0" w:space="0" w:color="auto"/>
        <w:bottom w:val="none" w:sz="0" w:space="0" w:color="auto"/>
        <w:right w:val="none" w:sz="0" w:space="0" w:color="auto"/>
      </w:divBdr>
    </w:div>
    <w:div w:id="1959216149">
      <w:bodyDiv w:val="1"/>
      <w:marLeft w:val="0"/>
      <w:marRight w:val="0"/>
      <w:marTop w:val="0"/>
      <w:marBottom w:val="0"/>
      <w:divBdr>
        <w:top w:val="none" w:sz="0" w:space="0" w:color="auto"/>
        <w:left w:val="none" w:sz="0" w:space="0" w:color="auto"/>
        <w:bottom w:val="none" w:sz="0" w:space="0" w:color="auto"/>
        <w:right w:val="none" w:sz="0" w:space="0" w:color="auto"/>
      </w:divBdr>
    </w:div>
    <w:div w:id="20364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2122057888</confluenceId>
    <confluenceContentType xmlns="450547f7-6539-434b-b42d-f11c2ad44738">application/vnd.openxmlformats-officedocument.wordprocessingml.document</confluenceContentType>
    <Comment xmlns="450547f7-6539-434b-b42d-f11c2ad44738" xsi:nil="true"/>
    <pageId xmlns="450547f7-6539-434b-b42d-f11c2ad44738">1678681760</pageId>
    <_dlc_DocId xmlns="bc5f48bf-e0a7-47e9-bf65-df7c58c93bb8">MDDX4JYAEH6E-5-18634</_dlc_DocId>
    <_dlc_DocIdUrl xmlns="bc5f48bf-e0a7-47e9-bf65-df7c58c93bb8">
      <Url>http://pw2107-app.max.internal/Community-Pages/_layouts/15/DocIdRedir.aspx?ID=MDDX4JYAEH6E-5-18634</Url>
      <Description>MDDX4JYAEH6E-5-18634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0D35-C4F8-4AA6-B61A-D064D7AFBC96}">
  <ds:schemaRefs>
    <ds:schemaRef ds:uri="http://schemas.microsoft.com/sharepoint/v3/contenttype/forms"/>
  </ds:schemaRefs>
</ds:datastoreItem>
</file>

<file path=customXml/itemProps2.xml><?xml version="1.0" encoding="utf-8"?>
<ds:datastoreItem xmlns:ds="http://schemas.openxmlformats.org/officeDocument/2006/customXml" ds:itemID="{7E8FFF66-5D53-4017-B106-1A8DE16B5017}">
  <ds:schemaRefs>
    <ds:schemaRef ds:uri="http://schemas.microsoft.com/sharepoint/events"/>
  </ds:schemaRefs>
</ds:datastoreItem>
</file>

<file path=customXml/itemProps3.xml><?xml version="1.0" encoding="utf-8"?>
<ds:datastoreItem xmlns:ds="http://schemas.openxmlformats.org/officeDocument/2006/customXml" ds:itemID="{DDCDDF0D-271E-4D2C-B130-FD561D95B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301E6-11E1-459C-B953-AE6A5A9F415F}">
  <ds:schemaRefs>
    <ds:schemaRef ds:uri="http://schemas.microsoft.com/office/2006/metadata/properties"/>
    <ds:schemaRef ds:uri="450547f7-6539-434b-b42d-f11c2ad4473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bc5f48bf-e0a7-47e9-bf65-df7c58c93bb8"/>
    <ds:schemaRef ds:uri="http://www.w3.org/XML/1998/namespace"/>
    <ds:schemaRef ds:uri="http://purl.org/dc/dcmitype/"/>
  </ds:schemaRefs>
</ds:datastoreItem>
</file>

<file path=customXml/itemProps5.xml><?xml version="1.0" encoding="utf-8"?>
<ds:datastoreItem xmlns:ds="http://schemas.openxmlformats.org/officeDocument/2006/customXml" ds:itemID="{A0F8007C-C864-4DC9-9975-CAD159F2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Brittany A. EOP/USTR (Contractor)</dc:creator>
  <cp:keywords/>
  <dc:description/>
  <cp:lastModifiedBy>ROY, TRACY D</cp:lastModifiedBy>
  <cp:revision>2</cp:revision>
  <cp:lastPrinted>2020-03-06T14:57:00Z</cp:lastPrinted>
  <dcterms:created xsi:type="dcterms:W3CDTF">2020-03-17T00:44:00Z</dcterms:created>
  <dcterms:modified xsi:type="dcterms:W3CDTF">2020-03-17T00:44:00Z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1fc73614-5686-4431-a430-e9679cb85222</vt:lpwstr>
  </property>
</Properties>
</file>