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2D6F" w14:textId="77777777" w:rsidR="00342EF3" w:rsidRDefault="007F4959">
      <w:pPr>
        <w:pStyle w:val="ListParagraph"/>
        <w:numPr>
          <w:ilvl w:val="1"/>
          <w:numId w:val="4"/>
        </w:numPr>
        <w:tabs>
          <w:tab w:val="left" w:pos="941"/>
        </w:tabs>
        <w:spacing w:before="1" w:line="259" w:lineRule="auto"/>
        <w:ind w:right="452"/>
        <w:rPr>
          <w:sz w:val="24"/>
        </w:rPr>
      </w:pPr>
      <w:bookmarkStart w:id="0" w:name="_GoBack"/>
      <w:bookmarkEnd w:id="0"/>
      <w:r>
        <w:rPr>
          <w:sz w:val="24"/>
        </w:rPr>
        <w:t>Effective with respect to goods entered for consumption, or withdrawn from</w:t>
      </w:r>
      <w:r>
        <w:rPr>
          <w:spacing w:val="-15"/>
          <w:sz w:val="24"/>
        </w:rPr>
        <w:t xml:space="preserve"> </w:t>
      </w:r>
      <w:r>
        <w:rPr>
          <w:sz w:val="24"/>
        </w:rPr>
        <w:t>warehouse for consumption, on or after 12:01 a.m. eastern daylight time on September 24, 2018, subchapter III of chapter 99 of the Harmonized Tariff Schedule of the United States (HTSUS) is</w:t>
      </w:r>
      <w:r>
        <w:rPr>
          <w:spacing w:val="-1"/>
          <w:sz w:val="24"/>
        </w:rPr>
        <w:t xml:space="preserve"> </w:t>
      </w:r>
      <w:r>
        <w:rPr>
          <w:sz w:val="24"/>
        </w:rPr>
        <w:t>modified:</w:t>
      </w:r>
    </w:p>
    <w:p w14:paraId="4D69E2A6" w14:textId="77777777" w:rsidR="00342EF3" w:rsidRDefault="007F4959">
      <w:pPr>
        <w:pStyle w:val="ListParagraph"/>
        <w:numPr>
          <w:ilvl w:val="2"/>
          <w:numId w:val="4"/>
        </w:numPr>
        <w:tabs>
          <w:tab w:val="left" w:pos="941"/>
        </w:tabs>
        <w:spacing w:before="159" w:line="259" w:lineRule="auto"/>
        <w:ind w:right="845"/>
        <w:rPr>
          <w:sz w:val="24"/>
        </w:rPr>
      </w:pPr>
      <w:r>
        <w:rPr>
          <w:sz w:val="24"/>
        </w:rPr>
        <w:t>by inserting the following new heading 9903.88.41 in numerical sequence, with the material in the new heading inserted in the columns of the HTSUS labeled “Heading/Subheading”, “Article Description”, and “Rates of Duty 1-General”, respectively:</w:t>
      </w:r>
    </w:p>
    <w:p w14:paraId="7228E6A6" w14:textId="77777777" w:rsidR="00342EF3" w:rsidRDefault="00342EF3">
      <w:pPr>
        <w:pStyle w:val="BodyText"/>
        <w:rPr>
          <w:sz w:val="20"/>
        </w:rPr>
      </w:pPr>
    </w:p>
    <w:p w14:paraId="2625612C" w14:textId="77777777" w:rsidR="00342EF3" w:rsidRDefault="00342EF3">
      <w:pPr>
        <w:pStyle w:val="BodyText"/>
        <w:spacing w:before="2"/>
        <w:rPr>
          <w:sz w:val="20"/>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9"/>
        <w:gridCol w:w="4443"/>
        <w:gridCol w:w="1382"/>
        <w:gridCol w:w="924"/>
        <w:gridCol w:w="1187"/>
      </w:tblGrid>
      <w:tr w:rsidR="00342EF3" w14:paraId="7C7F85AC" w14:textId="77777777">
        <w:trPr>
          <w:trHeight w:val="266"/>
        </w:trPr>
        <w:tc>
          <w:tcPr>
            <w:tcW w:w="1639" w:type="dxa"/>
            <w:vMerge w:val="restart"/>
            <w:tcBorders>
              <w:left w:val="single" w:sz="4" w:space="0" w:color="000000"/>
              <w:bottom w:val="single" w:sz="4" w:space="0" w:color="000000"/>
              <w:right w:val="single" w:sz="4" w:space="0" w:color="000000"/>
            </w:tcBorders>
          </w:tcPr>
          <w:p w14:paraId="030D99FF" w14:textId="77777777" w:rsidR="00342EF3" w:rsidRDefault="007F4959">
            <w:pPr>
              <w:pStyle w:val="TableParagraph"/>
              <w:spacing w:before="143" w:line="237" w:lineRule="auto"/>
              <w:ind w:left="283" w:right="254" w:firstLine="112"/>
              <w:rPr>
                <w:b/>
              </w:rPr>
            </w:pPr>
            <w:r>
              <w:rPr>
                <w:b/>
              </w:rPr>
              <w:t>Heading/ Subheading</w:t>
            </w:r>
          </w:p>
        </w:tc>
        <w:tc>
          <w:tcPr>
            <w:tcW w:w="4443" w:type="dxa"/>
            <w:vMerge w:val="restart"/>
            <w:tcBorders>
              <w:left w:val="single" w:sz="4" w:space="0" w:color="000000"/>
              <w:bottom w:val="single" w:sz="4" w:space="0" w:color="000000"/>
              <w:right w:val="single" w:sz="4" w:space="0" w:color="000000"/>
            </w:tcBorders>
          </w:tcPr>
          <w:p w14:paraId="3BD98A47" w14:textId="77777777" w:rsidR="00342EF3" w:rsidRDefault="00342EF3">
            <w:pPr>
              <w:pStyle w:val="TableParagraph"/>
              <w:spacing w:before="10"/>
              <w:rPr>
                <w:rFonts w:ascii="Times New Roman"/>
                <w:sz w:val="23"/>
              </w:rPr>
            </w:pPr>
          </w:p>
          <w:p w14:paraId="239A99F1" w14:textId="77777777" w:rsidR="00342EF3" w:rsidRDefault="007F4959">
            <w:pPr>
              <w:pStyle w:val="TableParagraph"/>
              <w:ind w:left="1373"/>
              <w:rPr>
                <w:b/>
              </w:rPr>
            </w:pPr>
            <w:r>
              <w:rPr>
                <w:b/>
              </w:rPr>
              <w:t>Article Description</w:t>
            </w:r>
          </w:p>
        </w:tc>
        <w:tc>
          <w:tcPr>
            <w:tcW w:w="3493" w:type="dxa"/>
            <w:gridSpan w:val="3"/>
            <w:tcBorders>
              <w:left w:val="single" w:sz="4" w:space="0" w:color="000000"/>
              <w:bottom w:val="single" w:sz="4" w:space="0" w:color="000000"/>
              <w:right w:val="single" w:sz="4" w:space="0" w:color="000000"/>
            </w:tcBorders>
          </w:tcPr>
          <w:p w14:paraId="7D107C5A" w14:textId="77777777" w:rsidR="00342EF3" w:rsidRDefault="007F4959">
            <w:pPr>
              <w:pStyle w:val="TableParagraph"/>
              <w:spacing w:line="246" w:lineRule="exact"/>
              <w:ind w:left="1130"/>
              <w:rPr>
                <w:b/>
              </w:rPr>
            </w:pPr>
            <w:r>
              <w:rPr>
                <w:b/>
              </w:rPr>
              <w:t>Rates of Duty</w:t>
            </w:r>
          </w:p>
        </w:tc>
      </w:tr>
      <w:tr w:rsidR="00342EF3" w14:paraId="1469AD3D" w14:textId="77777777">
        <w:trPr>
          <w:trHeight w:val="268"/>
        </w:trPr>
        <w:tc>
          <w:tcPr>
            <w:tcW w:w="1639" w:type="dxa"/>
            <w:vMerge/>
            <w:tcBorders>
              <w:top w:val="nil"/>
              <w:left w:val="single" w:sz="4" w:space="0" w:color="000000"/>
              <w:bottom w:val="single" w:sz="4" w:space="0" w:color="000000"/>
              <w:right w:val="single" w:sz="4" w:space="0" w:color="000000"/>
            </w:tcBorders>
          </w:tcPr>
          <w:p w14:paraId="433816CA" w14:textId="77777777" w:rsidR="00342EF3" w:rsidRDefault="00342EF3">
            <w:pPr>
              <w:rPr>
                <w:sz w:val="2"/>
                <w:szCs w:val="2"/>
              </w:rPr>
            </w:pPr>
          </w:p>
        </w:tc>
        <w:tc>
          <w:tcPr>
            <w:tcW w:w="4443" w:type="dxa"/>
            <w:vMerge/>
            <w:tcBorders>
              <w:top w:val="nil"/>
              <w:left w:val="single" w:sz="4" w:space="0" w:color="000000"/>
              <w:bottom w:val="single" w:sz="4" w:space="0" w:color="000000"/>
              <w:right w:val="single" w:sz="4" w:space="0" w:color="000000"/>
            </w:tcBorders>
          </w:tcPr>
          <w:p w14:paraId="59CF0E3C" w14:textId="77777777" w:rsidR="00342EF3" w:rsidRDefault="00342EF3">
            <w:pPr>
              <w:rPr>
                <w:sz w:val="2"/>
                <w:szCs w:val="2"/>
              </w:rPr>
            </w:pPr>
          </w:p>
        </w:tc>
        <w:tc>
          <w:tcPr>
            <w:tcW w:w="2306" w:type="dxa"/>
            <w:gridSpan w:val="2"/>
            <w:tcBorders>
              <w:top w:val="single" w:sz="4" w:space="0" w:color="000000"/>
              <w:left w:val="single" w:sz="4" w:space="0" w:color="000000"/>
              <w:bottom w:val="single" w:sz="4" w:space="0" w:color="000000"/>
              <w:right w:val="single" w:sz="4" w:space="0" w:color="000000"/>
            </w:tcBorders>
          </w:tcPr>
          <w:p w14:paraId="7761FF3E" w14:textId="77777777" w:rsidR="00342EF3" w:rsidRDefault="007F4959">
            <w:pPr>
              <w:pStyle w:val="TableParagraph"/>
              <w:spacing w:line="248" w:lineRule="exact"/>
              <w:ind w:left="10"/>
              <w:jc w:val="center"/>
              <w:rPr>
                <w:b/>
              </w:rPr>
            </w:pPr>
            <w:r>
              <w:rPr>
                <w:b/>
              </w:rPr>
              <w:t>1</w:t>
            </w:r>
          </w:p>
        </w:tc>
        <w:tc>
          <w:tcPr>
            <w:tcW w:w="1187" w:type="dxa"/>
            <w:vMerge w:val="restart"/>
            <w:tcBorders>
              <w:top w:val="single" w:sz="4" w:space="0" w:color="000000"/>
              <w:left w:val="single" w:sz="4" w:space="0" w:color="000000"/>
              <w:bottom w:val="single" w:sz="4" w:space="0" w:color="000000"/>
              <w:right w:val="single" w:sz="4" w:space="0" w:color="000000"/>
            </w:tcBorders>
          </w:tcPr>
          <w:p w14:paraId="0589D980" w14:textId="77777777" w:rsidR="00342EF3" w:rsidRDefault="007F4959">
            <w:pPr>
              <w:pStyle w:val="TableParagraph"/>
              <w:spacing w:line="268" w:lineRule="exact"/>
              <w:ind w:left="12"/>
              <w:jc w:val="center"/>
              <w:rPr>
                <w:b/>
              </w:rPr>
            </w:pPr>
            <w:r>
              <w:rPr>
                <w:b/>
              </w:rPr>
              <w:t>2</w:t>
            </w:r>
          </w:p>
        </w:tc>
      </w:tr>
      <w:tr w:rsidR="00342EF3" w14:paraId="56297294" w14:textId="77777777">
        <w:trPr>
          <w:trHeight w:val="268"/>
        </w:trPr>
        <w:tc>
          <w:tcPr>
            <w:tcW w:w="1639" w:type="dxa"/>
            <w:vMerge/>
            <w:tcBorders>
              <w:top w:val="nil"/>
              <w:left w:val="single" w:sz="4" w:space="0" w:color="000000"/>
              <w:bottom w:val="single" w:sz="4" w:space="0" w:color="000000"/>
              <w:right w:val="single" w:sz="4" w:space="0" w:color="000000"/>
            </w:tcBorders>
          </w:tcPr>
          <w:p w14:paraId="3527B74E" w14:textId="77777777" w:rsidR="00342EF3" w:rsidRDefault="00342EF3">
            <w:pPr>
              <w:rPr>
                <w:sz w:val="2"/>
                <w:szCs w:val="2"/>
              </w:rPr>
            </w:pPr>
          </w:p>
        </w:tc>
        <w:tc>
          <w:tcPr>
            <w:tcW w:w="4443" w:type="dxa"/>
            <w:vMerge/>
            <w:tcBorders>
              <w:top w:val="nil"/>
              <w:left w:val="single" w:sz="4" w:space="0" w:color="000000"/>
              <w:bottom w:val="single" w:sz="4" w:space="0" w:color="000000"/>
              <w:right w:val="single" w:sz="4" w:space="0" w:color="000000"/>
            </w:tcBorders>
          </w:tcPr>
          <w:p w14:paraId="4FB00360" w14:textId="77777777" w:rsidR="00342EF3" w:rsidRDefault="00342EF3">
            <w:pPr>
              <w:rPr>
                <w:sz w:val="2"/>
                <w:szCs w:val="2"/>
              </w:rPr>
            </w:pPr>
          </w:p>
        </w:tc>
        <w:tc>
          <w:tcPr>
            <w:tcW w:w="1382" w:type="dxa"/>
            <w:tcBorders>
              <w:top w:val="single" w:sz="4" w:space="0" w:color="000000"/>
              <w:left w:val="single" w:sz="4" w:space="0" w:color="000000"/>
              <w:bottom w:val="single" w:sz="4" w:space="0" w:color="000000"/>
              <w:right w:val="single" w:sz="4" w:space="0" w:color="000000"/>
            </w:tcBorders>
          </w:tcPr>
          <w:p w14:paraId="2E7E6420" w14:textId="77777777" w:rsidR="00342EF3" w:rsidRDefault="007F4959">
            <w:pPr>
              <w:pStyle w:val="TableParagraph"/>
              <w:spacing w:line="248" w:lineRule="exact"/>
              <w:ind w:left="331"/>
              <w:rPr>
                <w:b/>
              </w:rPr>
            </w:pPr>
            <w:r>
              <w:rPr>
                <w:b/>
              </w:rPr>
              <w:t>General</w:t>
            </w:r>
          </w:p>
        </w:tc>
        <w:tc>
          <w:tcPr>
            <w:tcW w:w="924" w:type="dxa"/>
            <w:tcBorders>
              <w:top w:val="single" w:sz="4" w:space="0" w:color="000000"/>
              <w:left w:val="single" w:sz="4" w:space="0" w:color="000000"/>
              <w:bottom w:val="single" w:sz="4" w:space="0" w:color="000000"/>
              <w:right w:val="single" w:sz="4" w:space="0" w:color="000000"/>
            </w:tcBorders>
          </w:tcPr>
          <w:p w14:paraId="41D3E8D5" w14:textId="77777777" w:rsidR="00342EF3" w:rsidRDefault="007F4959">
            <w:pPr>
              <w:pStyle w:val="TableParagraph"/>
              <w:spacing w:line="248" w:lineRule="exact"/>
              <w:ind w:left="142"/>
              <w:rPr>
                <w:b/>
              </w:rPr>
            </w:pPr>
            <w:r>
              <w:rPr>
                <w:b/>
              </w:rPr>
              <w:t>Special</w:t>
            </w:r>
          </w:p>
        </w:tc>
        <w:tc>
          <w:tcPr>
            <w:tcW w:w="1187" w:type="dxa"/>
            <w:vMerge/>
            <w:tcBorders>
              <w:top w:val="nil"/>
              <w:left w:val="single" w:sz="4" w:space="0" w:color="000000"/>
              <w:bottom w:val="single" w:sz="4" w:space="0" w:color="000000"/>
              <w:right w:val="single" w:sz="4" w:space="0" w:color="000000"/>
            </w:tcBorders>
          </w:tcPr>
          <w:p w14:paraId="7997F89C" w14:textId="77777777" w:rsidR="00342EF3" w:rsidRDefault="00342EF3">
            <w:pPr>
              <w:rPr>
                <w:sz w:val="2"/>
                <w:szCs w:val="2"/>
              </w:rPr>
            </w:pPr>
          </w:p>
        </w:tc>
      </w:tr>
      <w:tr w:rsidR="00342EF3" w14:paraId="36676AD2" w14:textId="77777777">
        <w:trPr>
          <w:trHeight w:val="2150"/>
        </w:trPr>
        <w:tc>
          <w:tcPr>
            <w:tcW w:w="1639" w:type="dxa"/>
            <w:tcBorders>
              <w:top w:val="single" w:sz="4" w:space="0" w:color="000000"/>
              <w:left w:val="single" w:sz="4" w:space="0" w:color="000000"/>
              <w:bottom w:val="single" w:sz="4" w:space="0" w:color="000000"/>
              <w:right w:val="single" w:sz="4" w:space="0" w:color="000000"/>
            </w:tcBorders>
          </w:tcPr>
          <w:p w14:paraId="0F1D85FD" w14:textId="77777777" w:rsidR="00342EF3" w:rsidRDefault="007F4959">
            <w:pPr>
              <w:pStyle w:val="TableParagraph"/>
              <w:spacing w:line="282" w:lineRule="exact"/>
              <w:ind w:left="107"/>
            </w:pPr>
            <w:r>
              <w:rPr>
                <w:rFonts w:ascii="Times New Roman" w:hAnsi="Times New Roman"/>
                <w:sz w:val="24"/>
              </w:rPr>
              <w:t>“</w:t>
            </w:r>
            <w:r>
              <w:t>9903.88.41</w:t>
            </w:r>
          </w:p>
        </w:tc>
        <w:tc>
          <w:tcPr>
            <w:tcW w:w="4443" w:type="dxa"/>
            <w:tcBorders>
              <w:top w:val="single" w:sz="4" w:space="0" w:color="000000"/>
              <w:left w:val="single" w:sz="4" w:space="0" w:color="000000"/>
              <w:bottom w:val="single" w:sz="4" w:space="0" w:color="000000"/>
              <w:right w:val="single" w:sz="4" w:space="0" w:color="000000"/>
            </w:tcBorders>
          </w:tcPr>
          <w:p w14:paraId="7AA9F5CD" w14:textId="77777777" w:rsidR="00342EF3" w:rsidRDefault="007F4959">
            <w:pPr>
              <w:pStyle w:val="TableParagraph"/>
              <w:ind w:left="105" w:right="179"/>
            </w:pPr>
            <w:r>
              <w:t>Articles the product of China, as provided for in U.S. note 20(tt) to this subchapter, each covered by an exclusion granted by the U.S. Trade Representative . . . . . . . . . . . . . . . . . . . . .</w:t>
            </w:r>
          </w:p>
        </w:tc>
        <w:tc>
          <w:tcPr>
            <w:tcW w:w="1382" w:type="dxa"/>
            <w:tcBorders>
              <w:top w:val="single" w:sz="4" w:space="0" w:color="000000"/>
              <w:left w:val="single" w:sz="4" w:space="0" w:color="000000"/>
              <w:bottom w:val="single" w:sz="4" w:space="0" w:color="000000"/>
              <w:right w:val="single" w:sz="4" w:space="0" w:color="000000"/>
            </w:tcBorders>
          </w:tcPr>
          <w:p w14:paraId="6547B0D5" w14:textId="77777777" w:rsidR="00342EF3" w:rsidRDefault="00342EF3">
            <w:pPr>
              <w:pStyle w:val="TableParagraph"/>
              <w:rPr>
                <w:rFonts w:ascii="Times New Roman"/>
              </w:rPr>
            </w:pPr>
          </w:p>
          <w:p w14:paraId="0A57C2DC" w14:textId="77777777" w:rsidR="00342EF3" w:rsidRDefault="00342EF3">
            <w:pPr>
              <w:pStyle w:val="TableParagraph"/>
              <w:rPr>
                <w:rFonts w:ascii="Times New Roman"/>
              </w:rPr>
            </w:pPr>
          </w:p>
          <w:p w14:paraId="63DB1F7A" w14:textId="77777777" w:rsidR="00342EF3" w:rsidRDefault="00342EF3">
            <w:pPr>
              <w:pStyle w:val="TableParagraph"/>
              <w:spacing w:before="8"/>
              <w:rPr>
                <w:rFonts w:ascii="Times New Roman"/>
                <w:sz w:val="25"/>
              </w:rPr>
            </w:pPr>
          </w:p>
          <w:p w14:paraId="685375F1" w14:textId="77777777" w:rsidR="00342EF3" w:rsidRDefault="007F4959">
            <w:pPr>
              <w:pStyle w:val="TableParagraph"/>
              <w:spacing w:line="270" w:lineRule="atLeast"/>
              <w:ind w:left="108" w:right="119"/>
            </w:pPr>
            <w:r>
              <w:t>The duty provided in the applicable subheading”</w:t>
            </w:r>
          </w:p>
        </w:tc>
        <w:tc>
          <w:tcPr>
            <w:tcW w:w="924" w:type="dxa"/>
            <w:tcBorders>
              <w:top w:val="single" w:sz="4" w:space="0" w:color="000000"/>
              <w:left w:val="single" w:sz="4" w:space="0" w:color="000000"/>
              <w:bottom w:val="single" w:sz="4" w:space="0" w:color="000000"/>
              <w:right w:val="single" w:sz="4" w:space="0" w:color="000000"/>
            </w:tcBorders>
          </w:tcPr>
          <w:p w14:paraId="64E08A98" w14:textId="77777777" w:rsidR="00342EF3" w:rsidRDefault="00342EF3">
            <w:pPr>
              <w:pStyle w:val="TableParagraph"/>
              <w:rPr>
                <w:rFonts w:ascii="Times New Roman"/>
              </w:rPr>
            </w:pPr>
          </w:p>
        </w:tc>
        <w:tc>
          <w:tcPr>
            <w:tcW w:w="1187" w:type="dxa"/>
            <w:tcBorders>
              <w:top w:val="single" w:sz="4" w:space="0" w:color="000000"/>
              <w:left w:val="single" w:sz="4" w:space="0" w:color="000000"/>
              <w:bottom w:val="single" w:sz="4" w:space="0" w:color="000000"/>
              <w:right w:val="single" w:sz="4" w:space="0" w:color="000000"/>
            </w:tcBorders>
          </w:tcPr>
          <w:p w14:paraId="1531E694" w14:textId="77777777" w:rsidR="00342EF3" w:rsidRDefault="00342EF3">
            <w:pPr>
              <w:pStyle w:val="TableParagraph"/>
              <w:rPr>
                <w:rFonts w:ascii="Times New Roman"/>
              </w:rPr>
            </w:pPr>
          </w:p>
        </w:tc>
      </w:tr>
    </w:tbl>
    <w:p w14:paraId="3879D6D4" w14:textId="77777777" w:rsidR="00342EF3" w:rsidRDefault="00342EF3">
      <w:pPr>
        <w:pStyle w:val="BodyText"/>
        <w:spacing w:before="7"/>
        <w:rPr>
          <w:sz w:val="17"/>
        </w:rPr>
      </w:pPr>
    </w:p>
    <w:p w14:paraId="35334301" w14:textId="77777777" w:rsidR="00342EF3" w:rsidRDefault="007F4959">
      <w:pPr>
        <w:pStyle w:val="ListParagraph"/>
        <w:numPr>
          <w:ilvl w:val="2"/>
          <w:numId w:val="4"/>
        </w:numPr>
        <w:tabs>
          <w:tab w:val="left" w:pos="941"/>
        </w:tabs>
        <w:spacing w:before="90" w:line="256" w:lineRule="auto"/>
        <w:ind w:right="1137"/>
        <w:rPr>
          <w:sz w:val="24"/>
        </w:rPr>
      </w:pPr>
      <w:r>
        <w:rPr>
          <w:sz w:val="24"/>
        </w:rPr>
        <w:t>by inserting the following new U.S. note 20(tt) to subchapter III of chapter 99 in numerical</w:t>
      </w:r>
      <w:r>
        <w:rPr>
          <w:spacing w:val="-1"/>
          <w:sz w:val="24"/>
        </w:rPr>
        <w:t xml:space="preserve"> </w:t>
      </w:r>
      <w:r>
        <w:rPr>
          <w:sz w:val="24"/>
        </w:rPr>
        <w:t>sequence:</w:t>
      </w:r>
    </w:p>
    <w:p w14:paraId="0A9E5BDA" w14:textId="77777777" w:rsidR="00342EF3" w:rsidRDefault="007F4959">
      <w:pPr>
        <w:pStyle w:val="BodyText"/>
        <w:spacing w:before="165" w:line="259" w:lineRule="auto"/>
        <w:ind w:left="580" w:right="201"/>
      </w:pPr>
      <w:r>
        <w:t>“(tt) The U.S. Trade Representative determined to establish a process by which particular products classified in heading 9903.88.03 and provided for in U.S. notes 20(e) and (f) to this subchapter could be excluded from the additional duties imposed by heading 9903.88.03. See 83 Fed. Reg. 47974 (September 21, 2018) and 84 Fed. Reg. 29576 (June 24, 2019). Pursuant to the product exclusion process, the U.S. Trade Representative has determined that the additional duties provided for in heading 9903.88.03 shall not apply to the following particular products, which are provided for in the enumerated statistical reporting numbers:</w:t>
      </w:r>
    </w:p>
    <w:p w14:paraId="78366F8B" w14:textId="77777777" w:rsidR="00342EF3" w:rsidRDefault="00342EF3">
      <w:pPr>
        <w:pStyle w:val="BodyText"/>
        <w:spacing w:before="9"/>
        <w:rPr>
          <w:sz w:val="25"/>
        </w:rPr>
      </w:pPr>
    </w:p>
    <w:p w14:paraId="5B620DEC" w14:textId="77777777" w:rsidR="00342EF3" w:rsidRDefault="007F4959">
      <w:pPr>
        <w:pStyle w:val="BodyText"/>
        <w:tabs>
          <w:tab w:val="left" w:pos="1300"/>
        </w:tabs>
        <w:ind w:left="580"/>
      </w:pPr>
      <w:r>
        <w:t>1)</w:t>
      </w:r>
      <w:r>
        <w:tab/>
        <w:t>3923.21.0030</w:t>
      </w:r>
    </w:p>
    <w:p w14:paraId="5BBCFC43" w14:textId="77777777" w:rsidR="00342EF3" w:rsidRDefault="007F4959">
      <w:pPr>
        <w:pStyle w:val="BodyText"/>
        <w:tabs>
          <w:tab w:val="left" w:pos="1300"/>
        </w:tabs>
        <w:spacing w:before="23"/>
        <w:ind w:left="580"/>
      </w:pPr>
      <w:r>
        <w:t>2)</w:t>
      </w:r>
      <w:r>
        <w:tab/>
        <w:t>3923.21.0095</w:t>
      </w:r>
    </w:p>
    <w:p w14:paraId="7C2674E5" w14:textId="77777777" w:rsidR="00342EF3" w:rsidRDefault="007F4959">
      <w:pPr>
        <w:pStyle w:val="BodyText"/>
        <w:tabs>
          <w:tab w:val="left" w:pos="1300"/>
        </w:tabs>
        <w:spacing w:before="21"/>
        <w:ind w:left="580"/>
      </w:pPr>
      <w:r>
        <w:t>3)</w:t>
      </w:r>
      <w:r>
        <w:tab/>
        <w:t>3926.20.9050</w:t>
      </w:r>
    </w:p>
    <w:p w14:paraId="6A5F7E3C" w14:textId="77777777" w:rsidR="00342EF3" w:rsidRDefault="007F4959">
      <w:pPr>
        <w:pStyle w:val="BodyText"/>
        <w:tabs>
          <w:tab w:val="left" w:pos="1300"/>
        </w:tabs>
        <w:spacing w:before="22"/>
        <w:ind w:left="580"/>
      </w:pPr>
      <w:r>
        <w:t>4)</w:t>
      </w:r>
      <w:r>
        <w:tab/>
        <w:t>4015.19.1010</w:t>
      </w:r>
    </w:p>
    <w:p w14:paraId="6C7AA62D" w14:textId="77777777" w:rsidR="00342EF3" w:rsidRDefault="007F4959">
      <w:pPr>
        <w:pStyle w:val="BodyText"/>
        <w:tabs>
          <w:tab w:val="left" w:pos="1300"/>
        </w:tabs>
        <w:spacing w:before="21"/>
        <w:ind w:left="580"/>
      </w:pPr>
      <w:r>
        <w:t>5)</w:t>
      </w:r>
      <w:r>
        <w:tab/>
        <w:t>5603.12.0090”</w:t>
      </w:r>
    </w:p>
    <w:p w14:paraId="3845F925" w14:textId="77777777" w:rsidR="00342EF3" w:rsidRDefault="00342EF3">
      <w:pPr>
        <w:pStyle w:val="BodyText"/>
        <w:spacing w:before="9"/>
        <w:rPr>
          <w:sz w:val="27"/>
        </w:rPr>
      </w:pPr>
    </w:p>
    <w:p w14:paraId="6F73D063" w14:textId="77777777" w:rsidR="00342EF3" w:rsidRDefault="007F4959">
      <w:pPr>
        <w:pStyle w:val="ListParagraph"/>
        <w:numPr>
          <w:ilvl w:val="2"/>
          <w:numId w:val="4"/>
        </w:numPr>
        <w:tabs>
          <w:tab w:val="left" w:pos="941"/>
        </w:tabs>
        <w:spacing w:line="256" w:lineRule="auto"/>
        <w:ind w:right="467"/>
        <w:rPr>
          <w:sz w:val="24"/>
        </w:rPr>
      </w:pPr>
      <w:r>
        <w:rPr>
          <w:sz w:val="24"/>
        </w:rPr>
        <w:t>by amending the last sentence of the first paragraph of U.S. note 20(e) to subchapter III of chapter</w:t>
      </w:r>
      <w:r>
        <w:rPr>
          <w:spacing w:val="-2"/>
          <w:sz w:val="24"/>
        </w:rPr>
        <w:t xml:space="preserve"> </w:t>
      </w:r>
      <w:r>
        <w:rPr>
          <w:sz w:val="24"/>
        </w:rPr>
        <w:t>99:</w:t>
      </w:r>
    </w:p>
    <w:p w14:paraId="0B91F807" w14:textId="77777777" w:rsidR="00342EF3" w:rsidRDefault="00342EF3">
      <w:pPr>
        <w:spacing w:line="256" w:lineRule="auto"/>
        <w:rPr>
          <w:sz w:val="24"/>
        </w:rPr>
        <w:sectPr w:rsidR="00342EF3">
          <w:headerReference w:type="default" r:id="rId10"/>
          <w:footerReference w:type="default" r:id="rId11"/>
          <w:pgSz w:w="12240" w:h="15840"/>
          <w:pgMar w:top="1360" w:right="1220" w:bottom="1260" w:left="1220" w:header="0" w:footer="1068" w:gutter="0"/>
          <w:cols w:space="720"/>
        </w:sectPr>
      </w:pPr>
    </w:p>
    <w:p w14:paraId="79E4CDE6" w14:textId="77777777" w:rsidR="00342EF3" w:rsidRDefault="007F4959">
      <w:pPr>
        <w:pStyle w:val="ListParagraph"/>
        <w:numPr>
          <w:ilvl w:val="0"/>
          <w:numId w:val="2"/>
        </w:numPr>
        <w:tabs>
          <w:tab w:val="left" w:pos="807"/>
        </w:tabs>
        <w:spacing w:before="74" w:line="259" w:lineRule="auto"/>
        <w:ind w:right="251" w:firstLine="0"/>
        <w:rPr>
          <w:sz w:val="24"/>
        </w:rPr>
      </w:pPr>
      <w:r>
        <w:rPr>
          <w:sz w:val="24"/>
        </w:rPr>
        <w:lastRenderedPageBreak/>
        <w:t>by deleting the word “or” where it appears after the phrase “U.S. note 20(qq) to subchapter III of chapter 99;”;</w:t>
      </w:r>
      <w:r>
        <w:rPr>
          <w:spacing w:val="-3"/>
          <w:sz w:val="24"/>
        </w:rPr>
        <w:t xml:space="preserve"> </w:t>
      </w:r>
      <w:r>
        <w:rPr>
          <w:sz w:val="24"/>
        </w:rPr>
        <w:t>and</w:t>
      </w:r>
    </w:p>
    <w:p w14:paraId="59BBFAF2" w14:textId="77777777" w:rsidR="00342EF3" w:rsidRDefault="007F4959">
      <w:pPr>
        <w:pStyle w:val="ListParagraph"/>
        <w:numPr>
          <w:ilvl w:val="0"/>
          <w:numId w:val="2"/>
        </w:numPr>
        <w:tabs>
          <w:tab w:val="left" w:pos="821"/>
        </w:tabs>
        <w:spacing w:line="259" w:lineRule="auto"/>
        <w:ind w:right="278" w:firstLine="0"/>
        <w:rPr>
          <w:sz w:val="24"/>
        </w:rPr>
      </w:pPr>
      <w:r>
        <w:rPr>
          <w:sz w:val="24"/>
        </w:rPr>
        <w:t>by inserting the phrase “; or (10) heading 9903.88.41 and U.S. note 20(tt) to subchapter III of chapter 99” after the phrase “U.S. note 20(ss) to subchapter III of chapter</w:t>
      </w:r>
      <w:r>
        <w:rPr>
          <w:spacing w:val="-14"/>
          <w:sz w:val="24"/>
        </w:rPr>
        <w:t xml:space="preserve"> </w:t>
      </w:r>
      <w:r>
        <w:rPr>
          <w:sz w:val="24"/>
        </w:rPr>
        <w:t>99”.</w:t>
      </w:r>
    </w:p>
    <w:p w14:paraId="1B9702A3" w14:textId="77777777" w:rsidR="00342EF3" w:rsidRDefault="00342EF3">
      <w:pPr>
        <w:pStyle w:val="BodyText"/>
        <w:spacing w:before="10"/>
        <w:rPr>
          <w:sz w:val="38"/>
        </w:rPr>
      </w:pPr>
    </w:p>
    <w:p w14:paraId="0B4CF033" w14:textId="77777777" w:rsidR="00342EF3" w:rsidRDefault="007F4959">
      <w:pPr>
        <w:pStyle w:val="ListParagraph"/>
        <w:numPr>
          <w:ilvl w:val="2"/>
          <w:numId w:val="4"/>
        </w:numPr>
        <w:tabs>
          <w:tab w:val="left" w:pos="941"/>
        </w:tabs>
        <w:rPr>
          <w:sz w:val="24"/>
        </w:rPr>
      </w:pPr>
      <w:r>
        <w:rPr>
          <w:sz w:val="24"/>
        </w:rPr>
        <w:t>by amending U.S. note 20(f) to subchapter III of chapter</w:t>
      </w:r>
      <w:r>
        <w:rPr>
          <w:spacing w:val="-8"/>
          <w:sz w:val="24"/>
        </w:rPr>
        <w:t xml:space="preserve"> </w:t>
      </w:r>
      <w:r>
        <w:rPr>
          <w:sz w:val="24"/>
        </w:rPr>
        <w:t>99;</w:t>
      </w:r>
    </w:p>
    <w:p w14:paraId="21A784DC" w14:textId="77777777" w:rsidR="00342EF3" w:rsidRDefault="007F4959">
      <w:pPr>
        <w:pStyle w:val="ListParagraph"/>
        <w:numPr>
          <w:ilvl w:val="0"/>
          <w:numId w:val="1"/>
        </w:numPr>
        <w:tabs>
          <w:tab w:val="left" w:pos="807"/>
        </w:tabs>
        <w:spacing w:before="176" w:line="259" w:lineRule="auto"/>
        <w:ind w:right="251" w:firstLine="0"/>
        <w:rPr>
          <w:sz w:val="24"/>
        </w:rPr>
      </w:pPr>
      <w:r>
        <w:rPr>
          <w:sz w:val="24"/>
        </w:rPr>
        <w:t>by deleting the word “or” where it appears after the phrase “U.S. note 20(qq) to subchapter III of chapter 99;”;</w:t>
      </w:r>
      <w:r>
        <w:rPr>
          <w:spacing w:val="-3"/>
          <w:sz w:val="24"/>
        </w:rPr>
        <w:t xml:space="preserve"> </w:t>
      </w:r>
      <w:r>
        <w:rPr>
          <w:sz w:val="24"/>
        </w:rPr>
        <w:t>and</w:t>
      </w:r>
    </w:p>
    <w:p w14:paraId="32A0A578" w14:textId="77777777" w:rsidR="00342EF3" w:rsidRDefault="007F4959">
      <w:pPr>
        <w:pStyle w:val="ListParagraph"/>
        <w:numPr>
          <w:ilvl w:val="0"/>
          <w:numId w:val="1"/>
        </w:numPr>
        <w:tabs>
          <w:tab w:val="left" w:pos="821"/>
        </w:tabs>
        <w:spacing w:line="259" w:lineRule="auto"/>
        <w:ind w:right="278" w:firstLine="0"/>
        <w:rPr>
          <w:sz w:val="24"/>
        </w:rPr>
      </w:pPr>
      <w:r>
        <w:rPr>
          <w:sz w:val="24"/>
        </w:rPr>
        <w:t>by inserting the phrase “; or (10) heading 9903.88.41 and U.S. note 20(tt) to subchapter III of chapter 99” after the phrase “U.S. note 20(ss) to subchapter III of chapter</w:t>
      </w:r>
      <w:r>
        <w:rPr>
          <w:spacing w:val="-13"/>
          <w:sz w:val="24"/>
        </w:rPr>
        <w:t xml:space="preserve"> </w:t>
      </w:r>
      <w:r>
        <w:rPr>
          <w:sz w:val="24"/>
        </w:rPr>
        <w:t>99”.</w:t>
      </w:r>
    </w:p>
    <w:p w14:paraId="57F8B340" w14:textId="77777777" w:rsidR="00342EF3" w:rsidRDefault="00342EF3">
      <w:pPr>
        <w:pStyle w:val="BodyText"/>
        <w:spacing w:before="8"/>
        <w:rPr>
          <w:sz w:val="25"/>
        </w:rPr>
      </w:pPr>
    </w:p>
    <w:p w14:paraId="7B01831A" w14:textId="77777777" w:rsidR="00342EF3" w:rsidRDefault="007F4959">
      <w:pPr>
        <w:pStyle w:val="ListParagraph"/>
        <w:numPr>
          <w:ilvl w:val="2"/>
          <w:numId w:val="4"/>
        </w:numPr>
        <w:tabs>
          <w:tab w:val="left" w:pos="1000"/>
          <w:tab w:val="left" w:pos="1001"/>
        </w:tabs>
        <w:spacing w:before="1"/>
        <w:ind w:left="1000" w:hanging="420"/>
        <w:rPr>
          <w:sz w:val="24"/>
        </w:rPr>
      </w:pPr>
      <w:r>
        <w:rPr>
          <w:sz w:val="24"/>
        </w:rPr>
        <w:t>by amending the Article Description of heading</w:t>
      </w:r>
      <w:r>
        <w:rPr>
          <w:spacing w:val="-10"/>
          <w:sz w:val="24"/>
        </w:rPr>
        <w:t xml:space="preserve"> </w:t>
      </w:r>
      <w:r>
        <w:rPr>
          <w:sz w:val="24"/>
        </w:rPr>
        <w:t>9903.88.03:</w:t>
      </w:r>
    </w:p>
    <w:p w14:paraId="040F6905" w14:textId="77777777" w:rsidR="00342EF3" w:rsidRDefault="00342EF3">
      <w:pPr>
        <w:pStyle w:val="BodyText"/>
        <w:spacing w:before="3"/>
        <w:rPr>
          <w:sz w:val="26"/>
        </w:rPr>
      </w:pPr>
    </w:p>
    <w:p w14:paraId="5E3C9FEF" w14:textId="77777777" w:rsidR="00342EF3" w:rsidRDefault="007F4959">
      <w:pPr>
        <w:pStyle w:val="ListParagraph"/>
        <w:numPr>
          <w:ilvl w:val="3"/>
          <w:numId w:val="4"/>
        </w:numPr>
        <w:tabs>
          <w:tab w:val="left" w:pos="1661"/>
        </w:tabs>
        <w:rPr>
          <w:sz w:val="24"/>
        </w:rPr>
      </w:pPr>
      <w:r>
        <w:rPr>
          <w:sz w:val="24"/>
        </w:rPr>
        <w:t>by deleting “9903.88.38 or” and inserting “9903.88.38,” in lieu thereof;</w:t>
      </w:r>
      <w:r>
        <w:rPr>
          <w:spacing w:val="-4"/>
          <w:sz w:val="24"/>
        </w:rPr>
        <w:t xml:space="preserve"> </w:t>
      </w:r>
      <w:r>
        <w:rPr>
          <w:sz w:val="24"/>
        </w:rPr>
        <w:t>and</w:t>
      </w:r>
    </w:p>
    <w:p w14:paraId="56D079BA" w14:textId="77777777" w:rsidR="00342EF3" w:rsidRDefault="00342EF3">
      <w:pPr>
        <w:pStyle w:val="BodyText"/>
        <w:rPr>
          <w:sz w:val="26"/>
        </w:rPr>
      </w:pPr>
    </w:p>
    <w:p w14:paraId="16DAAF9C" w14:textId="77777777" w:rsidR="00342EF3" w:rsidRDefault="00342EF3">
      <w:pPr>
        <w:pStyle w:val="BodyText"/>
        <w:spacing w:before="3"/>
        <w:rPr>
          <w:sz w:val="28"/>
        </w:rPr>
      </w:pPr>
    </w:p>
    <w:p w14:paraId="5E8FC1BF" w14:textId="77777777" w:rsidR="00342EF3" w:rsidRDefault="007F4959">
      <w:pPr>
        <w:pStyle w:val="BodyText"/>
        <w:ind w:left="1300"/>
      </w:pPr>
      <w:r>
        <w:t>b. by inserting “or 9903.88.41,” after “9903.88.40,”.</w:t>
      </w:r>
    </w:p>
    <w:sectPr w:rsidR="00342EF3">
      <w:pgSz w:w="12240" w:h="15840"/>
      <w:pgMar w:top="1360" w:right="1220" w:bottom="1260" w:left="12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79F8" w14:textId="77777777" w:rsidR="00080204" w:rsidRDefault="007F4959">
      <w:r>
        <w:separator/>
      </w:r>
    </w:p>
  </w:endnote>
  <w:endnote w:type="continuationSeparator" w:id="0">
    <w:p w14:paraId="6F9FCE12" w14:textId="77777777" w:rsidR="00080204" w:rsidRDefault="007F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0A6A" w14:textId="3A710883" w:rsidR="00342EF3" w:rsidRDefault="00B0153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F1BA32" wp14:editId="6155FA52">
              <wp:simplePos x="0" y="0"/>
              <wp:positionH relativeFrom="page">
                <wp:posOffset>3823335</wp:posOffset>
              </wp:positionH>
              <wp:positionV relativeFrom="page">
                <wp:posOffset>9240520</wp:posOffset>
              </wp:positionV>
              <wp:extent cx="127000" cy="194310"/>
              <wp:effectExtent l="381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615C" w14:textId="3982DBD6" w:rsidR="00342EF3" w:rsidRDefault="007F4959">
                          <w:pPr>
                            <w:pStyle w:val="BodyText"/>
                            <w:spacing w:before="10"/>
                            <w:ind w:left="40"/>
                          </w:pPr>
                          <w:r>
                            <w:fldChar w:fldCharType="begin"/>
                          </w:r>
                          <w:r>
                            <w:instrText xml:space="preserve"> PAGE </w:instrText>
                          </w:r>
                          <w:r>
                            <w:fldChar w:fldCharType="separate"/>
                          </w:r>
                          <w:r w:rsidR="00B015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BA32" id="_x0000_t202" coordsize="21600,21600" o:spt="202" path="m,l,21600r21600,l21600,xe">
              <v:stroke joinstyle="miter"/>
              <v:path gradientshapeok="t" o:connecttype="rect"/>
            </v:shapetype>
            <v:shape id="Text Box 1" o:spid="_x0000_s1026" type="#_x0000_t202" style="position:absolute;margin-left:301.05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" filled="f" stroked="f">
              <v:textbox inset="0,0,0,0">
                <w:txbxContent>
                  <w:p w14:paraId="1BA6615C" w14:textId="3982DBD6" w:rsidR="00342EF3" w:rsidRDefault="007F4959">
                    <w:pPr>
                      <w:pStyle w:val="BodyText"/>
                      <w:spacing w:before="10"/>
                      <w:ind w:left="40"/>
                    </w:pPr>
                    <w:r>
                      <w:fldChar w:fldCharType="begin"/>
                    </w:r>
                    <w:r>
                      <w:instrText xml:space="preserve"> PAGE </w:instrText>
                    </w:r>
                    <w:r>
                      <w:fldChar w:fldCharType="separate"/>
                    </w:r>
                    <w:r w:rsidR="00B0153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6754" w14:textId="77777777" w:rsidR="00080204" w:rsidRDefault="007F4959">
      <w:r>
        <w:separator/>
      </w:r>
    </w:p>
  </w:footnote>
  <w:footnote w:type="continuationSeparator" w:id="0">
    <w:p w14:paraId="58A6B6B7" w14:textId="77777777" w:rsidR="00080204" w:rsidRDefault="007F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7DFD" w14:textId="77777777" w:rsidR="00EE16D0" w:rsidRDefault="00EE16D0" w:rsidP="00EE16D0">
    <w:pPr>
      <w:widowControl/>
      <w:tabs>
        <w:tab w:val="center" w:pos="4680"/>
        <w:tab w:val="right" w:pos="9360"/>
      </w:tabs>
      <w:autoSpaceDE/>
      <w:autoSpaceDN/>
      <w:rPr>
        <w:rFonts w:eastAsia="Calibri"/>
        <w:sz w:val="24"/>
        <w:szCs w:val="24"/>
      </w:rPr>
    </w:pPr>
  </w:p>
  <w:p w14:paraId="1BFD23FC" w14:textId="77777777" w:rsidR="00EE16D0" w:rsidRPr="00EE16D0" w:rsidRDefault="00EE16D0" w:rsidP="00EE16D0">
    <w:pPr>
      <w:widowControl/>
      <w:tabs>
        <w:tab w:val="center" w:pos="4680"/>
        <w:tab w:val="right" w:pos="9360"/>
      </w:tabs>
      <w:autoSpaceDE/>
      <w:autoSpaceDN/>
      <w:rPr>
        <w:rFonts w:eastAsia="Calibri"/>
        <w:sz w:val="24"/>
        <w:szCs w:val="24"/>
      </w:rPr>
    </w:pPr>
    <w:r w:rsidRPr="00EE16D0">
      <w:rPr>
        <w:rFonts w:eastAsia="Calibri"/>
        <w:sz w:val="24"/>
        <w:szCs w:val="24"/>
      </w:rPr>
      <w:t>GUIDANCE:  Sect</w:t>
    </w:r>
    <w:r>
      <w:rPr>
        <w:rFonts w:eastAsia="Calibri"/>
        <w:sz w:val="24"/>
        <w:szCs w:val="24"/>
      </w:rPr>
      <w:t>ion 301 Tranche 3 - $2</w:t>
    </w:r>
    <w:r w:rsidR="007F4959">
      <w:rPr>
        <w:rFonts w:eastAsia="Calibri"/>
        <w:sz w:val="24"/>
        <w:szCs w:val="24"/>
      </w:rPr>
      <w:t>00B Tenth</w:t>
    </w:r>
    <w:r w:rsidRPr="00EE16D0">
      <w:rPr>
        <w:rFonts w:eastAsia="Calibri"/>
        <w:sz w:val="24"/>
        <w:szCs w:val="24"/>
      </w:rPr>
      <w:t xml:space="preserve"> Round of Product Exclusions from China </w:t>
    </w:r>
    <w:r>
      <w:rPr>
        <w:rFonts w:eastAsia="Calibri"/>
        <w:b/>
        <w:sz w:val="24"/>
        <w:szCs w:val="24"/>
      </w:rPr>
      <w:t>9903.88.41</w:t>
    </w:r>
    <w:r w:rsidRPr="00EE16D0">
      <w:rPr>
        <w:rFonts w:eastAsia="Calibri"/>
        <w:b/>
        <w:sz w:val="24"/>
        <w:szCs w:val="24"/>
      </w:rPr>
      <w:t xml:space="preserve"> - 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ED1"/>
    <w:multiLevelType w:val="hybridMultilevel"/>
    <w:tmpl w:val="57E41E10"/>
    <w:lvl w:ilvl="0" w:tplc="C396DED0">
      <w:start w:val="1"/>
      <w:numFmt w:val="upperLetter"/>
      <w:lvlText w:val="%1."/>
      <w:lvlJc w:val="left"/>
      <w:pPr>
        <w:ind w:left="940" w:hanging="720"/>
        <w:jc w:val="left"/>
      </w:pPr>
      <w:rPr>
        <w:rFonts w:ascii="Times New Roman" w:eastAsia="Times New Roman" w:hAnsi="Times New Roman" w:cs="Times New Roman" w:hint="default"/>
        <w:b/>
        <w:bCs/>
        <w:spacing w:val="-1"/>
        <w:w w:val="99"/>
        <w:sz w:val="24"/>
        <w:szCs w:val="24"/>
      </w:rPr>
    </w:lvl>
    <w:lvl w:ilvl="1" w:tplc="4F54AEB8">
      <w:start w:val="1"/>
      <w:numFmt w:val="upperLetter"/>
      <w:lvlText w:val="%2."/>
      <w:lvlJc w:val="left"/>
      <w:pPr>
        <w:ind w:left="940" w:hanging="360"/>
        <w:jc w:val="left"/>
      </w:pPr>
      <w:rPr>
        <w:rFonts w:ascii="Times New Roman" w:eastAsia="Times New Roman" w:hAnsi="Times New Roman" w:cs="Times New Roman" w:hint="default"/>
        <w:spacing w:val="-1"/>
        <w:w w:val="99"/>
        <w:sz w:val="24"/>
        <w:szCs w:val="24"/>
      </w:rPr>
    </w:lvl>
    <w:lvl w:ilvl="2" w:tplc="385ECE14">
      <w:start w:val="1"/>
      <w:numFmt w:val="decimal"/>
      <w:lvlText w:val="%3."/>
      <w:lvlJc w:val="left"/>
      <w:pPr>
        <w:ind w:left="940" w:hanging="360"/>
        <w:jc w:val="left"/>
      </w:pPr>
      <w:rPr>
        <w:rFonts w:ascii="Times New Roman" w:eastAsia="Times New Roman" w:hAnsi="Times New Roman" w:cs="Times New Roman" w:hint="default"/>
        <w:spacing w:val="-5"/>
        <w:w w:val="99"/>
        <w:sz w:val="24"/>
        <w:szCs w:val="24"/>
      </w:rPr>
    </w:lvl>
    <w:lvl w:ilvl="3" w:tplc="7D00F1C4">
      <w:start w:val="1"/>
      <w:numFmt w:val="lowerLetter"/>
      <w:lvlText w:val="%4."/>
      <w:lvlJc w:val="left"/>
      <w:pPr>
        <w:ind w:left="1660" w:hanging="360"/>
        <w:jc w:val="left"/>
      </w:pPr>
      <w:rPr>
        <w:rFonts w:ascii="Times New Roman" w:eastAsia="Times New Roman" w:hAnsi="Times New Roman" w:cs="Times New Roman" w:hint="default"/>
        <w:spacing w:val="-5"/>
        <w:w w:val="100"/>
        <w:sz w:val="24"/>
        <w:szCs w:val="24"/>
      </w:rPr>
    </w:lvl>
    <w:lvl w:ilvl="4" w:tplc="AA924F5C">
      <w:numFmt w:val="bullet"/>
      <w:lvlText w:val="•"/>
      <w:lvlJc w:val="left"/>
      <w:pPr>
        <w:ind w:left="4373" w:hanging="360"/>
      </w:pPr>
      <w:rPr>
        <w:rFonts w:hint="default"/>
      </w:rPr>
    </w:lvl>
    <w:lvl w:ilvl="5" w:tplc="DA4408A2">
      <w:numFmt w:val="bullet"/>
      <w:lvlText w:val="•"/>
      <w:lvlJc w:val="left"/>
      <w:pPr>
        <w:ind w:left="5277" w:hanging="360"/>
      </w:pPr>
      <w:rPr>
        <w:rFonts w:hint="default"/>
      </w:rPr>
    </w:lvl>
    <w:lvl w:ilvl="6" w:tplc="6B669D26">
      <w:numFmt w:val="bullet"/>
      <w:lvlText w:val="•"/>
      <w:lvlJc w:val="left"/>
      <w:pPr>
        <w:ind w:left="6182" w:hanging="360"/>
      </w:pPr>
      <w:rPr>
        <w:rFonts w:hint="default"/>
      </w:rPr>
    </w:lvl>
    <w:lvl w:ilvl="7" w:tplc="3D985178">
      <w:numFmt w:val="bullet"/>
      <w:lvlText w:val="•"/>
      <w:lvlJc w:val="left"/>
      <w:pPr>
        <w:ind w:left="7086" w:hanging="360"/>
      </w:pPr>
      <w:rPr>
        <w:rFonts w:hint="default"/>
      </w:rPr>
    </w:lvl>
    <w:lvl w:ilvl="8" w:tplc="D9ECEDCE">
      <w:numFmt w:val="bullet"/>
      <w:lvlText w:val="•"/>
      <w:lvlJc w:val="left"/>
      <w:pPr>
        <w:ind w:left="7991" w:hanging="360"/>
      </w:pPr>
      <w:rPr>
        <w:rFonts w:hint="default"/>
      </w:rPr>
    </w:lvl>
  </w:abstractNum>
  <w:abstractNum w:abstractNumId="1" w15:restartNumberingAfterBreak="0">
    <w:nsid w:val="2E5A71A5"/>
    <w:multiLevelType w:val="hybridMultilevel"/>
    <w:tmpl w:val="290C12FE"/>
    <w:lvl w:ilvl="0" w:tplc="EFB46ED2">
      <w:start w:val="1"/>
      <w:numFmt w:val="lowerLetter"/>
      <w:lvlText w:val="%1."/>
      <w:lvlJc w:val="left"/>
      <w:pPr>
        <w:ind w:left="580" w:hanging="226"/>
        <w:jc w:val="left"/>
      </w:pPr>
      <w:rPr>
        <w:rFonts w:ascii="Times New Roman" w:eastAsia="Times New Roman" w:hAnsi="Times New Roman" w:cs="Times New Roman" w:hint="default"/>
        <w:spacing w:val="-5"/>
        <w:w w:val="99"/>
        <w:sz w:val="24"/>
        <w:szCs w:val="24"/>
      </w:rPr>
    </w:lvl>
    <w:lvl w:ilvl="1" w:tplc="08DE723A">
      <w:numFmt w:val="bullet"/>
      <w:lvlText w:val="•"/>
      <w:lvlJc w:val="left"/>
      <w:pPr>
        <w:ind w:left="1502" w:hanging="226"/>
      </w:pPr>
      <w:rPr>
        <w:rFonts w:hint="default"/>
      </w:rPr>
    </w:lvl>
    <w:lvl w:ilvl="2" w:tplc="B0368300">
      <w:numFmt w:val="bullet"/>
      <w:lvlText w:val="•"/>
      <w:lvlJc w:val="left"/>
      <w:pPr>
        <w:ind w:left="2424" w:hanging="226"/>
      </w:pPr>
      <w:rPr>
        <w:rFonts w:hint="default"/>
      </w:rPr>
    </w:lvl>
    <w:lvl w:ilvl="3" w:tplc="1F4890F2">
      <w:numFmt w:val="bullet"/>
      <w:lvlText w:val="•"/>
      <w:lvlJc w:val="left"/>
      <w:pPr>
        <w:ind w:left="3346" w:hanging="226"/>
      </w:pPr>
      <w:rPr>
        <w:rFonts w:hint="default"/>
      </w:rPr>
    </w:lvl>
    <w:lvl w:ilvl="4" w:tplc="F99C74DA">
      <w:numFmt w:val="bullet"/>
      <w:lvlText w:val="•"/>
      <w:lvlJc w:val="left"/>
      <w:pPr>
        <w:ind w:left="4268" w:hanging="226"/>
      </w:pPr>
      <w:rPr>
        <w:rFonts w:hint="default"/>
      </w:rPr>
    </w:lvl>
    <w:lvl w:ilvl="5" w:tplc="3DBA6B46">
      <w:numFmt w:val="bullet"/>
      <w:lvlText w:val="•"/>
      <w:lvlJc w:val="left"/>
      <w:pPr>
        <w:ind w:left="5190" w:hanging="226"/>
      </w:pPr>
      <w:rPr>
        <w:rFonts w:hint="default"/>
      </w:rPr>
    </w:lvl>
    <w:lvl w:ilvl="6" w:tplc="CBB44DF6">
      <w:numFmt w:val="bullet"/>
      <w:lvlText w:val="•"/>
      <w:lvlJc w:val="left"/>
      <w:pPr>
        <w:ind w:left="6112" w:hanging="226"/>
      </w:pPr>
      <w:rPr>
        <w:rFonts w:hint="default"/>
      </w:rPr>
    </w:lvl>
    <w:lvl w:ilvl="7" w:tplc="29BC7A8A">
      <w:numFmt w:val="bullet"/>
      <w:lvlText w:val="•"/>
      <w:lvlJc w:val="left"/>
      <w:pPr>
        <w:ind w:left="7034" w:hanging="226"/>
      </w:pPr>
      <w:rPr>
        <w:rFonts w:hint="default"/>
      </w:rPr>
    </w:lvl>
    <w:lvl w:ilvl="8" w:tplc="A066EAA8">
      <w:numFmt w:val="bullet"/>
      <w:lvlText w:val="•"/>
      <w:lvlJc w:val="left"/>
      <w:pPr>
        <w:ind w:left="7956" w:hanging="226"/>
      </w:pPr>
      <w:rPr>
        <w:rFonts w:hint="default"/>
      </w:rPr>
    </w:lvl>
  </w:abstractNum>
  <w:abstractNum w:abstractNumId="2" w15:restartNumberingAfterBreak="0">
    <w:nsid w:val="70792D98"/>
    <w:multiLevelType w:val="hybridMultilevel"/>
    <w:tmpl w:val="CD7E07D2"/>
    <w:lvl w:ilvl="0" w:tplc="68200F5E">
      <w:numFmt w:val="bullet"/>
      <w:lvlText w:val=""/>
      <w:lvlJc w:val="left"/>
      <w:pPr>
        <w:ind w:left="580" w:hanging="360"/>
      </w:pPr>
      <w:rPr>
        <w:rFonts w:ascii="Symbol" w:eastAsia="Symbol" w:hAnsi="Symbol" w:cs="Symbol" w:hint="default"/>
        <w:w w:val="100"/>
        <w:sz w:val="24"/>
        <w:szCs w:val="24"/>
      </w:rPr>
    </w:lvl>
    <w:lvl w:ilvl="1" w:tplc="03B240CA">
      <w:numFmt w:val="bullet"/>
      <w:lvlText w:val="•"/>
      <w:lvlJc w:val="left"/>
      <w:pPr>
        <w:ind w:left="1502" w:hanging="360"/>
      </w:pPr>
      <w:rPr>
        <w:rFonts w:hint="default"/>
      </w:rPr>
    </w:lvl>
    <w:lvl w:ilvl="2" w:tplc="0D945F6E">
      <w:numFmt w:val="bullet"/>
      <w:lvlText w:val="•"/>
      <w:lvlJc w:val="left"/>
      <w:pPr>
        <w:ind w:left="2424" w:hanging="360"/>
      </w:pPr>
      <w:rPr>
        <w:rFonts w:hint="default"/>
      </w:rPr>
    </w:lvl>
    <w:lvl w:ilvl="3" w:tplc="6A8007A4">
      <w:numFmt w:val="bullet"/>
      <w:lvlText w:val="•"/>
      <w:lvlJc w:val="left"/>
      <w:pPr>
        <w:ind w:left="3346" w:hanging="360"/>
      </w:pPr>
      <w:rPr>
        <w:rFonts w:hint="default"/>
      </w:rPr>
    </w:lvl>
    <w:lvl w:ilvl="4" w:tplc="62FE449C">
      <w:numFmt w:val="bullet"/>
      <w:lvlText w:val="•"/>
      <w:lvlJc w:val="left"/>
      <w:pPr>
        <w:ind w:left="4268" w:hanging="360"/>
      </w:pPr>
      <w:rPr>
        <w:rFonts w:hint="default"/>
      </w:rPr>
    </w:lvl>
    <w:lvl w:ilvl="5" w:tplc="A790C28E">
      <w:numFmt w:val="bullet"/>
      <w:lvlText w:val="•"/>
      <w:lvlJc w:val="left"/>
      <w:pPr>
        <w:ind w:left="5190" w:hanging="360"/>
      </w:pPr>
      <w:rPr>
        <w:rFonts w:hint="default"/>
      </w:rPr>
    </w:lvl>
    <w:lvl w:ilvl="6" w:tplc="395E2084">
      <w:numFmt w:val="bullet"/>
      <w:lvlText w:val="•"/>
      <w:lvlJc w:val="left"/>
      <w:pPr>
        <w:ind w:left="6112" w:hanging="360"/>
      </w:pPr>
      <w:rPr>
        <w:rFonts w:hint="default"/>
      </w:rPr>
    </w:lvl>
    <w:lvl w:ilvl="7" w:tplc="DEA28112">
      <w:numFmt w:val="bullet"/>
      <w:lvlText w:val="•"/>
      <w:lvlJc w:val="left"/>
      <w:pPr>
        <w:ind w:left="7034" w:hanging="360"/>
      </w:pPr>
      <w:rPr>
        <w:rFonts w:hint="default"/>
      </w:rPr>
    </w:lvl>
    <w:lvl w:ilvl="8" w:tplc="EF5094DC">
      <w:numFmt w:val="bullet"/>
      <w:lvlText w:val="•"/>
      <w:lvlJc w:val="left"/>
      <w:pPr>
        <w:ind w:left="7956" w:hanging="360"/>
      </w:pPr>
      <w:rPr>
        <w:rFonts w:hint="default"/>
      </w:rPr>
    </w:lvl>
  </w:abstractNum>
  <w:abstractNum w:abstractNumId="3" w15:restartNumberingAfterBreak="0">
    <w:nsid w:val="74F64E7A"/>
    <w:multiLevelType w:val="hybridMultilevel"/>
    <w:tmpl w:val="BC1027E0"/>
    <w:lvl w:ilvl="0" w:tplc="28CA19EA">
      <w:start w:val="1"/>
      <w:numFmt w:val="lowerLetter"/>
      <w:lvlText w:val="%1."/>
      <w:lvlJc w:val="left"/>
      <w:pPr>
        <w:ind w:left="580" w:hanging="226"/>
        <w:jc w:val="left"/>
      </w:pPr>
      <w:rPr>
        <w:rFonts w:ascii="Times New Roman" w:eastAsia="Times New Roman" w:hAnsi="Times New Roman" w:cs="Times New Roman" w:hint="default"/>
        <w:spacing w:val="-5"/>
        <w:w w:val="99"/>
        <w:sz w:val="24"/>
        <w:szCs w:val="24"/>
      </w:rPr>
    </w:lvl>
    <w:lvl w:ilvl="1" w:tplc="94C85CA6">
      <w:numFmt w:val="bullet"/>
      <w:lvlText w:val="•"/>
      <w:lvlJc w:val="left"/>
      <w:pPr>
        <w:ind w:left="1502" w:hanging="226"/>
      </w:pPr>
      <w:rPr>
        <w:rFonts w:hint="default"/>
      </w:rPr>
    </w:lvl>
    <w:lvl w:ilvl="2" w:tplc="EACADD4E">
      <w:numFmt w:val="bullet"/>
      <w:lvlText w:val="•"/>
      <w:lvlJc w:val="left"/>
      <w:pPr>
        <w:ind w:left="2424" w:hanging="226"/>
      </w:pPr>
      <w:rPr>
        <w:rFonts w:hint="default"/>
      </w:rPr>
    </w:lvl>
    <w:lvl w:ilvl="3" w:tplc="B09CE69E">
      <w:numFmt w:val="bullet"/>
      <w:lvlText w:val="•"/>
      <w:lvlJc w:val="left"/>
      <w:pPr>
        <w:ind w:left="3346" w:hanging="226"/>
      </w:pPr>
      <w:rPr>
        <w:rFonts w:hint="default"/>
      </w:rPr>
    </w:lvl>
    <w:lvl w:ilvl="4" w:tplc="FF74A754">
      <w:numFmt w:val="bullet"/>
      <w:lvlText w:val="•"/>
      <w:lvlJc w:val="left"/>
      <w:pPr>
        <w:ind w:left="4268" w:hanging="226"/>
      </w:pPr>
      <w:rPr>
        <w:rFonts w:hint="default"/>
      </w:rPr>
    </w:lvl>
    <w:lvl w:ilvl="5" w:tplc="C2301E2E">
      <w:numFmt w:val="bullet"/>
      <w:lvlText w:val="•"/>
      <w:lvlJc w:val="left"/>
      <w:pPr>
        <w:ind w:left="5190" w:hanging="226"/>
      </w:pPr>
      <w:rPr>
        <w:rFonts w:hint="default"/>
      </w:rPr>
    </w:lvl>
    <w:lvl w:ilvl="6" w:tplc="0A48BD0A">
      <w:numFmt w:val="bullet"/>
      <w:lvlText w:val="•"/>
      <w:lvlJc w:val="left"/>
      <w:pPr>
        <w:ind w:left="6112" w:hanging="226"/>
      </w:pPr>
      <w:rPr>
        <w:rFonts w:hint="default"/>
      </w:rPr>
    </w:lvl>
    <w:lvl w:ilvl="7" w:tplc="C69AA676">
      <w:numFmt w:val="bullet"/>
      <w:lvlText w:val="•"/>
      <w:lvlJc w:val="left"/>
      <w:pPr>
        <w:ind w:left="7034" w:hanging="226"/>
      </w:pPr>
      <w:rPr>
        <w:rFonts w:hint="default"/>
      </w:rPr>
    </w:lvl>
    <w:lvl w:ilvl="8" w:tplc="81505BA0">
      <w:numFmt w:val="bullet"/>
      <w:lvlText w:val="•"/>
      <w:lvlJc w:val="left"/>
      <w:pPr>
        <w:ind w:left="7956" w:hanging="22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F3"/>
    <w:rsid w:val="00080204"/>
    <w:rsid w:val="00342EF3"/>
    <w:rsid w:val="007F4959"/>
    <w:rsid w:val="00B01533"/>
    <w:rsid w:val="00EE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1CFC9A"/>
  <w15:docId w15:val="{244233BA-06C1-4F04-AB34-64B748F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E16D0"/>
    <w:pPr>
      <w:tabs>
        <w:tab w:val="center" w:pos="4680"/>
        <w:tab w:val="right" w:pos="9360"/>
      </w:tabs>
    </w:pPr>
  </w:style>
  <w:style w:type="character" w:customStyle="1" w:styleId="HeaderChar">
    <w:name w:val="Header Char"/>
    <w:basedOn w:val="DefaultParagraphFont"/>
    <w:link w:val="Header"/>
    <w:uiPriority w:val="99"/>
    <w:rsid w:val="00EE16D0"/>
    <w:rPr>
      <w:rFonts w:ascii="Times New Roman" w:eastAsia="Times New Roman" w:hAnsi="Times New Roman" w:cs="Times New Roman"/>
    </w:rPr>
  </w:style>
  <w:style w:type="paragraph" w:styleId="Footer">
    <w:name w:val="footer"/>
    <w:basedOn w:val="Normal"/>
    <w:link w:val="FooterChar"/>
    <w:uiPriority w:val="99"/>
    <w:unhideWhenUsed/>
    <w:rsid w:val="00EE16D0"/>
    <w:pPr>
      <w:tabs>
        <w:tab w:val="center" w:pos="4680"/>
        <w:tab w:val="right" w:pos="9360"/>
      </w:tabs>
    </w:pPr>
  </w:style>
  <w:style w:type="character" w:customStyle="1" w:styleId="FooterChar">
    <w:name w:val="Footer Char"/>
    <w:basedOn w:val="DefaultParagraphFont"/>
    <w:link w:val="Footer"/>
    <w:uiPriority w:val="99"/>
    <w:rsid w:val="00EE16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3BC7E-41DF-4124-9601-FAD55A97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34595-3744-483A-A231-599A1DF5E13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F54FA7-4B34-4197-BE3E-3374F33AA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TRACY D</dc:creator>
  <cp:lastModifiedBy>ROY, TRACY D</cp:lastModifiedBy>
  <cp:revision>2</cp:revision>
  <dcterms:created xsi:type="dcterms:W3CDTF">2020-03-17T00:25:00Z</dcterms:created>
  <dcterms:modified xsi:type="dcterms:W3CDTF">2020-03-17T00:25:00Z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pdftk 2.02 - www.pdftk.com</vt:lpwstr>
  </property>
  <property fmtid="{D5CDD505-2E9C-101B-9397-08002B2CF9AE}" pid="4" name="LastSaved">
    <vt:filetime>2020-03-13T00:00:00Z</vt:filetime>
  </property>
</Properties>
</file>