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E3AC3" w14:textId="77777777" w:rsidR="000C3175" w:rsidRPr="00C1245E" w:rsidRDefault="000C3175" w:rsidP="000C3175">
      <w:pPr>
        <w:pStyle w:val="Heading2"/>
        <w:shd w:val="clear" w:color="auto" w:fill="FFFFFF"/>
        <w:spacing w:before="0" w:after="0"/>
        <w:rPr>
          <w:rFonts w:asciiTheme="minorHAnsi" w:hAnsiTheme="minorHAnsi" w:cstheme="minorHAnsi"/>
          <w:i w:val="0"/>
          <w:iCs w:val="0"/>
          <w:color w:val="252F3E"/>
          <w:sz w:val="28"/>
        </w:rPr>
      </w:pPr>
      <w:bookmarkStart w:id="0" w:name="_Toc485179378"/>
      <w:r w:rsidRPr="00C1245E">
        <w:rPr>
          <w:rFonts w:asciiTheme="minorHAnsi" w:hAnsiTheme="minorHAnsi" w:cstheme="minorHAnsi"/>
          <w:i w:val="0"/>
          <w:iCs w:val="0"/>
          <w:color w:val="252F3E"/>
          <w:sz w:val="28"/>
        </w:rPr>
        <w:t>Vendor/Merchant Information</w:t>
      </w:r>
    </w:p>
    <w:p w14:paraId="1A77064E" w14:textId="2EF200C9" w:rsidR="005F1360" w:rsidRPr="00C1245E" w:rsidRDefault="000C3175">
      <w:pPr>
        <w:pStyle w:val="NormalWeb"/>
        <w:tabs>
          <w:tab w:val="right" w:pos="4680"/>
        </w:tabs>
        <w:rPr>
          <w:rFonts w:asciiTheme="minorHAnsi" w:hAnsiTheme="minorHAnsi" w:cstheme="minorHAnsi"/>
          <w:sz w:val="24"/>
        </w:rPr>
      </w:pPr>
      <w:r w:rsidRPr="00C1245E">
        <w:rPr>
          <w:rFonts w:asciiTheme="minorHAnsi" w:hAnsiTheme="minorHAnsi" w:cstheme="minorHAnsi"/>
          <w:sz w:val="24"/>
        </w:rPr>
        <w:t>Vendors should view the physical card to ensure that it states “U.S. Government Tax Exempt” on the front and may keep a copy of the front of the card ONLY</w:t>
      </w:r>
      <w:r w:rsidR="005F1360" w:rsidRPr="00C1245E">
        <w:rPr>
          <w:rFonts w:asciiTheme="minorHAnsi" w:hAnsiTheme="minorHAnsi" w:cstheme="minorHAnsi"/>
          <w:sz w:val="24"/>
        </w:rPr>
        <w:t xml:space="preserve"> (if needed to document sales tax exemption)</w:t>
      </w:r>
      <w:r w:rsidRPr="00C1245E">
        <w:rPr>
          <w:rFonts w:asciiTheme="minorHAnsi" w:hAnsiTheme="minorHAnsi" w:cstheme="minorHAnsi"/>
          <w:sz w:val="24"/>
        </w:rPr>
        <w:t>.</w:t>
      </w:r>
      <w:r w:rsidR="00CB4752" w:rsidRPr="00C1245E">
        <w:rPr>
          <w:rFonts w:asciiTheme="minorHAnsi" w:hAnsiTheme="minorHAnsi" w:cstheme="minorHAnsi"/>
          <w:sz w:val="24"/>
        </w:rPr>
        <w:t xml:space="preserve">  The Government Purchase Card is a Centrally Billed Account</w:t>
      </w:r>
      <w:r w:rsidR="00C1245E" w:rsidRPr="00C1245E">
        <w:rPr>
          <w:rFonts w:asciiTheme="minorHAnsi" w:hAnsiTheme="minorHAnsi" w:cstheme="minorHAnsi"/>
          <w:sz w:val="24"/>
        </w:rPr>
        <w:t>; therefor, so</w:t>
      </w:r>
      <w:r w:rsidR="005F1360" w:rsidRPr="00C1245E">
        <w:rPr>
          <w:rFonts w:asciiTheme="minorHAnsi" w:hAnsiTheme="minorHAnsi" w:cstheme="minorHAnsi"/>
          <w:sz w:val="24"/>
        </w:rPr>
        <w:t>me states may require a form to be completed by the cardholder and maintained in the vendor/merchant records to document the transaction support official U.S. Government business.</w:t>
      </w:r>
    </w:p>
    <w:p w14:paraId="63399110" w14:textId="77777777" w:rsidR="005F1360" w:rsidRPr="00C1245E" w:rsidRDefault="005F1360">
      <w:pPr>
        <w:pStyle w:val="NormalWeb"/>
        <w:tabs>
          <w:tab w:val="right" w:pos="4680"/>
        </w:tabs>
        <w:rPr>
          <w:rFonts w:asciiTheme="minorHAnsi" w:hAnsiTheme="minorHAnsi" w:cstheme="minorHAnsi"/>
          <w:sz w:val="24"/>
        </w:rPr>
      </w:pPr>
    </w:p>
    <w:p w14:paraId="327EEB87" w14:textId="77777777" w:rsidR="005F1360" w:rsidRPr="00C1245E" w:rsidRDefault="005F1360">
      <w:pPr>
        <w:pStyle w:val="NormalWeb"/>
        <w:tabs>
          <w:tab w:val="right" w:pos="4680"/>
        </w:tabs>
        <w:rPr>
          <w:rFonts w:asciiTheme="minorHAnsi" w:hAnsiTheme="minorHAnsi" w:cstheme="minorHAnsi"/>
          <w:sz w:val="24"/>
        </w:rPr>
      </w:pPr>
      <w:r w:rsidRPr="00C1245E">
        <w:rPr>
          <w:rFonts w:asciiTheme="minorHAnsi" w:hAnsiTheme="minorHAnsi" w:cstheme="minorHAnsi"/>
          <w:sz w:val="24"/>
        </w:rPr>
        <w:t>Some taxes may still be collected if required by local statute such as a wheel or tourism tax that cannot be exempted.</w:t>
      </w:r>
    </w:p>
    <w:p w14:paraId="4A1E7648" w14:textId="77777777" w:rsidR="00CB4752" w:rsidRPr="00C1245E" w:rsidRDefault="00CB4752">
      <w:pPr>
        <w:pStyle w:val="NormalWeb"/>
        <w:tabs>
          <w:tab w:val="right" w:pos="4680"/>
        </w:tabs>
        <w:rPr>
          <w:rFonts w:asciiTheme="minorHAnsi" w:hAnsiTheme="minorHAnsi" w:cstheme="minorHAnsi"/>
          <w:sz w:val="24"/>
        </w:rPr>
      </w:pPr>
    </w:p>
    <w:p w14:paraId="0DAC72A3" w14:textId="77777777" w:rsidR="00CB4752" w:rsidRPr="00C1245E" w:rsidRDefault="00CB4752">
      <w:pPr>
        <w:pStyle w:val="NormalWeb"/>
        <w:tabs>
          <w:tab w:val="right" w:pos="4680"/>
        </w:tabs>
        <w:rPr>
          <w:rFonts w:asciiTheme="minorHAnsi" w:hAnsiTheme="minorHAnsi" w:cstheme="minorHAnsi"/>
          <w:sz w:val="24"/>
        </w:rPr>
      </w:pPr>
      <w:r w:rsidRPr="00C1245E">
        <w:rPr>
          <w:rFonts w:asciiTheme="minorHAnsi" w:hAnsiTheme="minorHAnsi" w:cstheme="minorHAnsi"/>
          <w:sz w:val="24"/>
        </w:rPr>
        <w:t xml:space="preserve">Vendor/merchant resources from GSA are available at:  </w:t>
      </w:r>
      <w:hyperlink r:id="rId8" w:history="1">
        <w:r w:rsidRPr="00C1245E">
          <w:rPr>
            <w:rStyle w:val="Hyperlink"/>
            <w:rFonts w:asciiTheme="minorHAnsi" w:hAnsiTheme="minorHAnsi" w:cstheme="minorHAnsi"/>
            <w:sz w:val="24"/>
          </w:rPr>
          <w:t>https://smartpay.gsa.gov/merchants/</w:t>
        </w:r>
      </w:hyperlink>
      <w:r w:rsidRPr="00C1245E">
        <w:rPr>
          <w:rFonts w:asciiTheme="minorHAnsi" w:hAnsiTheme="minorHAnsi" w:cstheme="minorHAnsi"/>
          <w:sz w:val="24"/>
        </w:rPr>
        <w:t xml:space="preserve"> including a specific guide available at:  </w:t>
      </w:r>
      <w:hyperlink r:id="rId9" w:history="1">
        <w:r w:rsidRPr="00C1245E">
          <w:rPr>
            <w:rStyle w:val="Hyperlink"/>
            <w:rFonts w:asciiTheme="minorHAnsi" w:hAnsiTheme="minorHAnsi" w:cstheme="minorHAnsi"/>
            <w:sz w:val="24"/>
          </w:rPr>
          <w:t>https://smartpay.gsa.gov/files/smartpay-vendor-guide.pdf</w:t>
        </w:r>
      </w:hyperlink>
      <w:r w:rsidRPr="00C1245E">
        <w:rPr>
          <w:rFonts w:asciiTheme="minorHAnsi" w:hAnsiTheme="minorHAnsi" w:cstheme="minorHAnsi"/>
          <w:sz w:val="24"/>
        </w:rPr>
        <w:t>.</w:t>
      </w:r>
    </w:p>
    <w:p w14:paraId="2BB69FD2" w14:textId="77777777" w:rsidR="0023470A" w:rsidRPr="00C1245E" w:rsidRDefault="0023470A">
      <w:pPr>
        <w:pStyle w:val="NormalWeb"/>
        <w:tabs>
          <w:tab w:val="right" w:pos="4680"/>
        </w:tabs>
        <w:rPr>
          <w:rFonts w:asciiTheme="minorHAnsi" w:hAnsiTheme="minorHAnsi" w:cstheme="minorHAnsi"/>
        </w:rPr>
      </w:pPr>
    </w:p>
    <w:p w14:paraId="181E1581" w14:textId="77777777" w:rsidR="0023470A" w:rsidRPr="00C1245E" w:rsidRDefault="0023470A">
      <w:pPr>
        <w:pStyle w:val="NormalWeb"/>
        <w:tabs>
          <w:tab w:val="right" w:pos="4680"/>
        </w:tabs>
        <w:rPr>
          <w:rFonts w:asciiTheme="minorHAnsi" w:hAnsiTheme="minorHAnsi" w:cstheme="minorHAnsi"/>
        </w:rPr>
      </w:pPr>
    </w:p>
    <w:p w14:paraId="552BC403" w14:textId="77777777" w:rsidR="0023470A" w:rsidRPr="00C1245E" w:rsidRDefault="0023470A">
      <w:pPr>
        <w:pStyle w:val="NormalWeb"/>
        <w:tabs>
          <w:tab w:val="right" w:pos="4680"/>
        </w:tabs>
        <w:rPr>
          <w:rFonts w:asciiTheme="minorHAnsi" w:hAnsiTheme="minorHAnsi" w:cstheme="minorHAnsi"/>
        </w:rPr>
      </w:pPr>
    </w:p>
    <w:p w14:paraId="0B0B923E" w14:textId="77777777" w:rsidR="0023470A" w:rsidRPr="00C1245E" w:rsidRDefault="0023470A">
      <w:pPr>
        <w:pStyle w:val="NormalWeb"/>
        <w:tabs>
          <w:tab w:val="right" w:pos="4680"/>
        </w:tabs>
        <w:rPr>
          <w:rFonts w:asciiTheme="minorHAnsi" w:hAnsiTheme="minorHAnsi" w:cstheme="minorHAnsi"/>
        </w:rPr>
      </w:pPr>
    </w:p>
    <w:p w14:paraId="55F5FE42" w14:textId="77777777" w:rsidR="0023470A" w:rsidRPr="00C1245E" w:rsidRDefault="0023470A">
      <w:pPr>
        <w:pStyle w:val="NormalWeb"/>
        <w:tabs>
          <w:tab w:val="right" w:pos="4680"/>
        </w:tabs>
        <w:rPr>
          <w:rFonts w:asciiTheme="minorHAnsi" w:hAnsiTheme="minorHAnsi" w:cstheme="minorHAnsi"/>
        </w:rPr>
      </w:pPr>
    </w:p>
    <w:p w14:paraId="59280A7C" w14:textId="77777777" w:rsidR="0023470A" w:rsidRPr="00C1245E" w:rsidRDefault="0023470A">
      <w:pPr>
        <w:pStyle w:val="NormalWeb"/>
        <w:tabs>
          <w:tab w:val="right" w:pos="4680"/>
        </w:tabs>
        <w:rPr>
          <w:rFonts w:asciiTheme="minorHAnsi" w:hAnsiTheme="minorHAnsi" w:cstheme="minorHAnsi"/>
        </w:rPr>
      </w:pPr>
    </w:p>
    <w:p w14:paraId="70270F16" w14:textId="77777777" w:rsidR="0023470A" w:rsidRPr="00C1245E" w:rsidRDefault="0023470A">
      <w:pPr>
        <w:pStyle w:val="NormalWeb"/>
        <w:tabs>
          <w:tab w:val="right" w:pos="4680"/>
        </w:tabs>
        <w:rPr>
          <w:rFonts w:asciiTheme="minorHAnsi" w:hAnsiTheme="minorHAnsi" w:cstheme="minorHAnsi"/>
        </w:rPr>
      </w:pPr>
    </w:p>
    <w:p w14:paraId="257AA93E" w14:textId="77777777" w:rsidR="0023470A" w:rsidRPr="00C1245E" w:rsidRDefault="0023470A">
      <w:pPr>
        <w:pStyle w:val="NormalWeb"/>
        <w:tabs>
          <w:tab w:val="right" w:pos="4680"/>
        </w:tabs>
        <w:rPr>
          <w:rFonts w:asciiTheme="minorHAnsi" w:hAnsiTheme="minorHAnsi" w:cstheme="minorHAnsi"/>
        </w:rPr>
      </w:pPr>
    </w:p>
    <w:p w14:paraId="6DBB78E0" w14:textId="77777777" w:rsidR="0023470A" w:rsidRPr="00C1245E" w:rsidRDefault="0023470A">
      <w:pPr>
        <w:pStyle w:val="NormalWeb"/>
        <w:tabs>
          <w:tab w:val="right" w:pos="4680"/>
        </w:tabs>
        <w:rPr>
          <w:rFonts w:asciiTheme="minorHAnsi" w:hAnsiTheme="minorHAnsi" w:cstheme="minorHAnsi"/>
        </w:rPr>
      </w:pPr>
    </w:p>
    <w:p w14:paraId="4C1922E9" w14:textId="77777777" w:rsidR="0023470A" w:rsidRPr="00C1245E" w:rsidRDefault="0023470A">
      <w:pPr>
        <w:pStyle w:val="NormalWeb"/>
        <w:tabs>
          <w:tab w:val="right" w:pos="4680"/>
        </w:tabs>
        <w:rPr>
          <w:rFonts w:asciiTheme="minorHAnsi" w:hAnsiTheme="minorHAnsi" w:cstheme="minorHAnsi"/>
        </w:rPr>
      </w:pPr>
    </w:p>
    <w:p w14:paraId="7B5D1018" w14:textId="77777777" w:rsidR="0023470A" w:rsidRPr="00C1245E" w:rsidRDefault="0023470A">
      <w:pPr>
        <w:pStyle w:val="NormalWeb"/>
        <w:tabs>
          <w:tab w:val="right" w:pos="4680"/>
        </w:tabs>
        <w:rPr>
          <w:rFonts w:asciiTheme="minorHAnsi" w:hAnsiTheme="minorHAnsi" w:cstheme="minorHAnsi"/>
        </w:rPr>
      </w:pPr>
    </w:p>
    <w:p w14:paraId="3C3F658D" w14:textId="77777777" w:rsidR="0023470A" w:rsidRPr="00C1245E" w:rsidRDefault="0023470A">
      <w:pPr>
        <w:pStyle w:val="NormalWeb"/>
        <w:tabs>
          <w:tab w:val="right" w:pos="4680"/>
        </w:tabs>
        <w:rPr>
          <w:rFonts w:asciiTheme="minorHAnsi" w:hAnsiTheme="minorHAnsi" w:cstheme="minorHAnsi"/>
        </w:rPr>
      </w:pPr>
    </w:p>
    <w:p w14:paraId="67279D60" w14:textId="77777777" w:rsidR="0023470A" w:rsidRPr="00C1245E" w:rsidRDefault="0023470A">
      <w:pPr>
        <w:pStyle w:val="NormalWeb"/>
        <w:tabs>
          <w:tab w:val="right" w:pos="4680"/>
        </w:tabs>
        <w:rPr>
          <w:rFonts w:asciiTheme="minorHAnsi" w:hAnsiTheme="minorHAnsi" w:cstheme="minorHAnsi"/>
        </w:rPr>
      </w:pPr>
    </w:p>
    <w:p w14:paraId="75CD4CD4" w14:textId="77777777" w:rsidR="0023470A" w:rsidRPr="00C1245E" w:rsidRDefault="0023470A">
      <w:pPr>
        <w:pStyle w:val="NormalWeb"/>
        <w:tabs>
          <w:tab w:val="right" w:pos="4680"/>
        </w:tabs>
        <w:rPr>
          <w:rFonts w:asciiTheme="minorHAnsi" w:hAnsiTheme="minorHAnsi" w:cstheme="minorHAnsi"/>
        </w:rPr>
      </w:pPr>
    </w:p>
    <w:p w14:paraId="600962DD" w14:textId="77777777" w:rsidR="0023470A" w:rsidRPr="00C1245E" w:rsidRDefault="0023470A">
      <w:pPr>
        <w:pStyle w:val="NormalWeb"/>
        <w:tabs>
          <w:tab w:val="right" w:pos="4680"/>
        </w:tabs>
        <w:rPr>
          <w:rFonts w:asciiTheme="minorHAnsi" w:hAnsiTheme="minorHAnsi" w:cstheme="minorHAnsi"/>
        </w:rPr>
      </w:pPr>
    </w:p>
    <w:p w14:paraId="6322B03E" w14:textId="77777777" w:rsidR="0023470A" w:rsidRPr="00C1245E" w:rsidRDefault="0023470A">
      <w:pPr>
        <w:pStyle w:val="NormalWeb"/>
        <w:tabs>
          <w:tab w:val="right" w:pos="4680"/>
        </w:tabs>
        <w:rPr>
          <w:rFonts w:asciiTheme="minorHAnsi" w:hAnsiTheme="minorHAnsi" w:cstheme="minorHAnsi"/>
        </w:rPr>
      </w:pPr>
    </w:p>
    <w:p w14:paraId="44D0334F" w14:textId="77777777" w:rsidR="0023470A" w:rsidRPr="00C1245E" w:rsidRDefault="0023470A">
      <w:pPr>
        <w:pStyle w:val="NormalWeb"/>
        <w:tabs>
          <w:tab w:val="right" w:pos="4680"/>
        </w:tabs>
        <w:rPr>
          <w:rFonts w:asciiTheme="minorHAnsi" w:hAnsiTheme="minorHAnsi" w:cstheme="minorHAnsi"/>
        </w:rPr>
      </w:pPr>
    </w:p>
    <w:p w14:paraId="024D300D" w14:textId="77777777" w:rsidR="0023470A" w:rsidRPr="00C1245E" w:rsidRDefault="0023470A">
      <w:pPr>
        <w:pStyle w:val="NormalWeb"/>
        <w:tabs>
          <w:tab w:val="right" w:pos="4680"/>
        </w:tabs>
        <w:rPr>
          <w:rFonts w:asciiTheme="minorHAnsi" w:hAnsiTheme="minorHAnsi" w:cstheme="minorHAnsi"/>
        </w:rPr>
      </w:pPr>
    </w:p>
    <w:p w14:paraId="663907BC" w14:textId="77777777" w:rsidR="0023470A" w:rsidRPr="00C1245E" w:rsidRDefault="0023470A">
      <w:pPr>
        <w:pStyle w:val="NormalWeb"/>
        <w:tabs>
          <w:tab w:val="right" w:pos="4680"/>
        </w:tabs>
        <w:rPr>
          <w:rFonts w:asciiTheme="minorHAnsi" w:hAnsiTheme="minorHAnsi" w:cstheme="minorHAnsi"/>
        </w:rPr>
      </w:pPr>
    </w:p>
    <w:p w14:paraId="34EAAD2A" w14:textId="77777777" w:rsidR="0023470A" w:rsidRPr="00C1245E" w:rsidRDefault="0023470A">
      <w:pPr>
        <w:pStyle w:val="NormalWeb"/>
        <w:tabs>
          <w:tab w:val="right" w:pos="4680"/>
        </w:tabs>
        <w:rPr>
          <w:rFonts w:asciiTheme="minorHAnsi" w:hAnsiTheme="minorHAnsi" w:cstheme="minorHAnsi"/>
        </w:rPr>
      </w:pPr>
    </w:p>
    <w:p w14:paraId="2A01E406" w14:textId="77777777" w:rsidR="0023470A" w:rsidRPr="00C1245E" w:rsidRDefault="0023470A">
      <w:pPr>
        <w:pStyle w:val="NormalWeb"/>
        <w:tabs>
          <w:tab w:val="right" w:pos="4680"/>
        </w:tabs>
        <w:rPr>
          <w:rFonts w:asciiTheme="minorHAnsi" w:hAnsiTheme="minorHAnsi" w:cstheme="minorHAnsi"/>
        </w:rPr>
      </w:pPr>
    </w:p>
    <w:p w14:paraId="259583C3" w14:textId="77777777" w:rsidR="0023470A" w:rsidRDefault="0023470A">
      <w:pPr>
        <w:pStyle w:val="NormalWeb"/>
        <w:tabs>
          <w:tab w:val="right" w:pos="4680"/>
        </w:tabs>
        <w:rPr>
          <w:rFonts w:asciiTheme="minorHAnsi" w:hAnsiTheme="minorHAnsi" w:cstheme="minorHAnsi"/>
        </w:rPr>
      </w:pPr>
    </w:p>
    <w:p w14:paraId="39D80EE3" w14:textId="77777777" w:rsidR="00C1245E" w:rsidRPr="00C1245E" w:rsidRDefault="00C1245E">
      <w:pPr>
        <w:pStyle w:val="NormalWeb"/>
        <w:tabs>
          <w:tab w:val="right" w:pos="4680"/>
        </w:tabs>
        <w:rPr>
          <w:rFonts w:asciiTheme="minorHAnsi" w:hAnsiTheme="minorHAnsi" w:cstheme="minorHAnsi"/>
        </w:rPr>
      </w:pPr>
    </w:p>
    <w:p w14:paraId="73EC918D" w14:textId="77777777" w:rsidR="0023470A" w:rsidRPr="00C1245E" w:rsidRDefault="0023470A">
      <w:pPr>
        <w:pStyle w:val="NormalWeb"/>
        <w:tabs>
          <w:tab w:val="right" w:pos="4680"/>
        </w:tabs>
        <w:rPr>
          <w:rFonts w:asciiTheme="minorHAnsi" w:hAnsiTheme="minorHAnsi" w:cstheme="minorHAnsi"/>
        </w:rPr>
      </w:pPr>
    </w:p>
    <w:p w14:paraId="5598B386" w14:textId="77777777" w:rsidR="0023470A" w:rsidRPr="00C1245E" w:rsidRDefault="0023470A">
      <w:pPr>
        <w:pStyle w:val="NormalWeb"/>
        <w:tabs>
          <w:tab w:val="right" w:pos="4680"/>
        </w:tabs>
        <w:rPr>
          <w:rFonts w:asciiTheme="minorHAnsi" w:hAnsiTheme="minorHAnsi" w:cstheme="minorHAnsi"/>
        </w:rPr>
      </w:pPr>
    </w:p>
    <w:p w14:paraId="5E2C0BB2" w14:textId="77777777" w:rsidR="0023470A" w:rsidRPr="00C1245E" w:rsidRDefault="0023470A">
      <w:pPr>
        <w:pStyle w:val="NormalWeb"/>
        <w:tabs>
          <w:tab w:val="right" w:pos="4680"/>
        </w:tabs>
        <w:rPr>
          <w:rFonts w:asciiTheme="minorHAnsi" w:hAnsiTheme="minorHAnsi" w:cstheme="minorHAnsi"/>
        </w:rPr>
      </w:pPr>
    </w:p>
    <w:p w14:paraId="5AC99AB5" w14:textId="77777777" w:rsidR="0023470A" w:rsidRPr="00C1245E" w:rsidRDefault="0023470A">
      <w:pPr>
        <w:pStyle w:val="NormalWeb"/>
        <w:tabs>
          <w:tab w:val="right" w:pos="4680"/>
        </w:tabs>
        <w:rPr>
          <w:rFonts w:asciiTheme="minorHAnsi" w:hAnsiTheme="minorHAnsi" w:cstheme="minorHAnsi"/>
        </w:rPr>
      </w:pPr>
    </w:p>
    <w:p w14:paraId="0340F2F1" w14:textId="77777777" w:rsidR="0023470A" w:rsidRPr="00C1245E" w:rsidRDefault="0023470A">
      <w:pPr>
        <w:pStyle w:val="NormalWeb"/>
        <w:tabs>
          <w:tab w:val="right" w:pos="4680"/>
        </w:tabs>
        <w:rPr>
          <w:rFonts w:asciiTheme="minorHAnsi" w:hAnsiTheme="minorHAnsi" w:cstheme="minorHAnsi"/>
        </w:rPr>
      </w:pPr>
    </w:p>
    <w:p w14:paraId="6DB4AB37" w14:textId="77777777" w:rsidR="0023470A" w:rsidRPr="00C1245E" w:rsidRDefault="0023470A">
      <w:pPr>
        <w:pStyle w:val="NormalWeb"/>
        <w:tabs>
          <w:tab w:val="right" w:pos="4680"/>
        </w:tabs>
        <w:rPr>
          <w:rFonts w:asciiTheme="minorHAnsi" w:hAnsiTheme="minorHAnsi" w:cstheme="minorHAnsi"/>
        </w:rPr>
      </w:pPr>
    </w:p>
    <w:p w14:paraId="47194881" w14:textId="77777777" w:rsidR="0023470A" w:rsidRPr="00C1245E" w:rsidRDefault="0023470A">
      <w:pPr>
        <w:pStyle w:val="NormalWeb"/>
        <w:tabs>
          <w:tab w:val="right" w:pos="4680"/>
        </w:tabs>
        <w:rPr>
          <w:rFonts w:asciiTheme="minorHAnsi" w:hAnsiTheme="minorHAnsi" w:cstheme="minorHAnsi"/>
        </w:rPr>
      </w:pPr>
    </w:p>
    <w:p w14:paraId="2FFF6072" w14:textId="77777777" w:rsidR="0023470A" w:rsidRPr="00C1245E" w:rsidRDefault="0023470A">
      <w:pPr>
        <w:pStyle w:val="NormalWeb"/>
        <w:tabs>
          <w:tab w:val="right" w:pos="4680"/>
        </w:tabs>
        <w:rPr>
          <w:rFonts w:asciiTheme="minorHAnsi" w:hAnsiTheme="minorHAnsi" w:cstheme="minorHAnsi"/>
        </w:rPr>
      </w:pPr>
    </w:p>
    <w:p w14:paraId="7323B83F" w14:textId="77777777" w:rsidR="0023470A" w:rsidRDefault="0023470A">
      <w:pPr>
        <w:pStyle w:val="NormalWeb"/>
        <w:tabs>
          <w:tab w:val="right" w:pos="4680"/>
        </w:tabs>
        <w:rPr>
          <w:rFonts w:asciiTheme="minorHAnsi" w:hAnsiTheme="minorHAnsi" w:cstheme="minorHAnsi"/>
        </w:rPr>
      </w:pPr>
    </w:p>
    <w:p w14:paraId="0C10D653" w14:textId="77777777" w:rsidR="00C1245E" w:rsidRDefault="00C1245E">
      <w:pPr>
        <w:pStyle w:val="NormalWeb"/>
        <w:tabs>
          <w:tab w:val="right" w:pos="4680"/>
        </w:tabs>
        <w:rPr>
          <w:rFonts w:asciiTheme="minorHAnsi" w:hAnsiTheme="minorHAnsi" w:cstheme="minorHAnsi"/>
        </w:rPr>
      </w:pPr>
    </w:p>
    <w:p w14:paraId="425DB040" w14:textId="77777777" w:rsidR="00C1245E" w:rsidRPr="00C1245E" w:rsidRDefault="00C1245E">
      <w:pPr>
        <w:pStyle w:val="NormalWeb"/>
        <w:tabs>
          <w:tab w:val="right" w:pos="4680"/>
        </w:tabs>
        <w:rPr>
          <w:rFonts w:asciiTheme="minorHAnsi" w:hAnsiTheme="minorHAnsi" w:cstheme="minorHAnsi"/>
        </w:rPr>
      </w:pPr>
    </w:p>
    <w:p w14:paraId="3C6049FD" w14:textId="77777777" w:rsidR="0023470A" w:rsidRPr="00C1245E" w:rsidRDefault="0023470A">
      <w:pPr>
        <w:pStyle w:val="NormalWeb"/>
        <w:tabs>
          <w:tab w:val="right" w:pos="4680"/>
        </w:tabs>
        <w:rPr>
          <w:rFonts w:asciiTheme="minorHAnsi" w:hAnsiTheme="minorHAnsi" w:cstheme="minorHAnsi"/>
        </w:rPr>
      </w:pPr>
    </w:p>
    <w:p w14:paraId="5503478D" w14:textId="77777777" w:rsidR="0023470A" w:rsidRPr="00C1245E" w:rsidRDefault="0023470A">
      <w:pPr>
        <w:pStyle w:val="NormalWeb"/>
        <w:tabs>
          <w:tab w:val="right" w:pos="4680"/>
        </w:tabs>
        <w:rPr>
          <w:rFonts w:asciiTheme="minorHAnsi" w:hAnsiTheme="minorHAnsi" w:cstheme="minorHAnsi"/>
        </w:rPr>
      </w:pPr>
    </w:p>
    <w:p w14:paraId="79DCC17D" w14:textId="77777777" w:rsidR="0023470A" w:rsidRPr="00C1245E" w:rsidRDefault="0023470A">
      <w:pPr>
        <w:pStyle w:val="NormalWeb"/>
        <w:tabs>
          <w:tab w:val="right" w:pos="4680"/>
        </w:tabs>
        <w:rPr>
          <w:rFonts w:asciiTheme="minorHAnsi" w:hAnsiTheme="minorHAnsi" w:cstheme="minorHAnsi"/>
        </w:rPr>
      </w:pPr>
    </w:p>
    <w:p w14:paraId="24F7CD60" w14:textId="77777777" w:rsidR="0023470A" w:rsidRPr="00C1245E" w:rsidRDefault="0023470A">
      <w:pPr>
        <w:pStyle w:val="NormalWeb"/>
        <w:tabs>
          <w:tab w:val="right" w:pos="4680"/>
        </w:tabs>
        <w:rPr>
          <w:rFonts w:asciiTheme="minorHAnsi" w:hAnsiTheme="minorHAnsi" w:cstheme="minorHAnsi"/>
        </w:rPr>
      </w:pPr>
    </w:p>
    <w:p w14:paraId="518EA42E" w14:textId="77777777" w:rsidR="0023470A" w:rsidRPr="00C1245E" w:rsidRDefault="0023470A">
      <w:pPr>
        <w:pStyle w:val="NormalWeb"/>
        <w:tabs>
          <w:tab w:val="right" w:pos="4680"/>
        </w:tabs>
        <w:rPr>
          <w:rFonts w:asciiTheme="minorHAnsi" w:hAnsiTheme="minorHAnsi" w:cstheme="minorHAnsi"/>
        </w:rPr>
      </w:pPr>
    </w:p>
    <w:p w14:paraId="683D5D6A" w14:textId="77777777" w:rsidR="0023470A" w:rsidRPr="00C1245E" w:rsidRDefault="0023470A">
      <w:pPr>
        <w:pStyle w:val="NormalWeb"/>
        <w:tabs>
          <w:tab w:val="right" w:pos="4680"/>
        </w:tabs>
        <w:rPr>
          <w:rFonts w:asciiTheme="minorHAnsi" w:hAnsiTheme="minorHAnsi" w:cstheme="minorHAnsi"/>
        </w:rPr>
      </w:pPr>
    </w:p>
    <w:p w14:paraId="15358A25" w14:textId="77777777" w:rsidR="0023470A" w:rsidRPr="00C1245E" w:rsidRDefault="0023470A">
      <w:pPr>
        <w:pStyle w:val="NormalWeb"/>
        <w:tabs>
          <w:tab w:val="right" w:pos="4680"/>
        </w:tabs>
        <w:rPr>
          <w:rFonts w:asciiTheme="minorHAnsi" w:hAnsiTheme="minorHAnsi" w:cstheme="minorHAnsi"/>
        </w:rPr>
      </w:pPr>
    </w:p>
    <w:p w14:paraId="4C4E6DC1" w14:textId="77777777" w:rsidR="0023470A" w:rsidRDefault="0023470A">
      <w:pPr>
        <w:pStyle w:val="NormalWeb"/>
        <w:tabs>
          <w:tab w:val="right" w:pos="4680"/>
        </w:tabs>
        <w:rPr>
          <w:rFonts w:asciiTheme="minorHAnsi" w:hAnsiTheme="minorHAnsi" w:cstheme="minorHAnsi"/>
        </w:rPr>
      </w:pPr>
    </w:p>
    <w:p w14:paraId="616E75BC" w14:textId="77777777" w:rsidR="00C1245E" w:rsidRPr="00C1245E" w:rsidRDefault="00C1245E">
      <w:pPr>
        <w:pStyle w:val="NormalWeb"/>
        <w:tabs>
          <w:tab w:val="right" w:pos="4680"/>
        </w:tabs>
        <w:rPr>
          <w:rFonts w:asciiTheme="minorHAnsi" w:hAnsiTheme="minorHAnsi" w:cstheme="minorHAnsi"/>
        </w:rPr>
      </w:pPr>
    </w:p>
    <w:p w14:paraId="77D56B50" w14:textId="77777777" w:rsidR="0023470A" w:rsidRPr="00C1245E" w:rsidRDefault="0023470A">
      <w:pPr>
        <w:pStyle w:val="NormalWeb"/>
        <w:tabs>
          <w:tab w:val="right" w:pos="4680"/>
        </w:tabs>
        <w:rPr>
          <w:rFonts w:asciiTheme="minorHAnsi" w:hAnsiTheme="minorHAnsi" w:cstheme="minorHAnsi"/>
        </w:rPr>
      </w:pPr>
    </w:p>
    <w:p w14:paraId="5182D2F9" w14:textId="77777777" w:rsidR="0023470A" w:rsidRPr="00C1245E" w:rsidRDefault="0023470A">
      <w:pPr>
        <w:pStyle w:val="NormalWeb"/>
        <w:tabs>
          <w:tab w:val="right" w:pos="4680"/>
        </w:tabs>
        <w:rPr>
          <w:rFonts w:asciiTheme="minorHAnsi" w:hAnsiTheme="minorHAnsi" w:cstheme="minorHAnsi"/>
        </w:rPr>
      </w:pPr>
    </w:p>
    <w:p w14:paraId="22E47E7D" w14:textId="77777777" w:rsidR="0023470A" w:rsidRPr="00C1245E" w:rsidRDefault="0023470A">
      <w:pPr>
        <w:pStyle w:val="NormalWeb"/>
        <w:tabs>
          <w:tab w:val="right" w:pos="4680"/>
        </w:tabs>
        <w:rPr>
          <w:rFonts w:asciiTheme="minorHAnsi" w:hAnsiTheme="minorHAnsi" w:cstheme="minorHAnsi"/>
        </w:rPr>
      </w:pPr>
    </w:p>
    <w:p w14:paraId="32D547B2" w14:textId="77777777" w:rsidR="0023470A" w:rsidRPr="00C1245E" w:rsidRDefault="0023470A">
      <w:pPr>
        <w:pStyle w:val="NormalWeb"/>
        <w:tabs>
          <w:tab w:val="right" w:pos="4680"/>
        </w:tabs>
        <w:rPr>
          <w:rFonts w:asciiTheme="minorHAnsi" w:hAnsiTheme="minorHAnsi" w:cstheme="minorHAnsi"/>
        </w:rPr>
      </w:pPr>
    </w:p>
    <w:p w14:paraId="3B2C39AD" w14:textId="77777777" w:rsidR="0023470A" w:rsidRPr="00C1245E" w:rsidRDefault="0023470A">
      <w:pPr>
        <w:pStyle w:val="NormalWeb"/>
        <w:tabs>
          <w:tab w:val="right" w:pos="4680"/>
        </w:tabs>
        <w:rPr>
          <w:rFonts w:asciiTheme="minorHAnsi" w:hAnsiTheme="minorHAnsi" w:cstheme="minorHAnsi"/>
        </w:rPr>
      </w:pPr>
    </w:p>
    <w:p w14:paraId="2AAD7CAA" w14:textId="77777777" w:rsidR="0023470A" w:rsidRPr="00C1245E" w:rsidRDefault="0023470A">
      <w:pPr>
        <w:pStyle w:val="NormalWeb"/>
        <w:tabs>
          <w:tab w:val="right" w:pos="4680"/>
        </w:tabs>
        <w:rPr>
          <w:rFonts w:asciiTheme="minorHAnsi" w:hAnsiTheme="minorHAnsi" w:cstheme="minorHAnsi"/>
        </w:rPr>
      </w:pPr>
    </w:p>
    <w:p w14:paraId="5C943EED" w14:textId="77777777" w:rsidR="0023470A" w:rsidRPr="00C1245E" w:rsidRDefault="0023470A">
      <w:pPr>
        <w:pStyle w:val="NormalWeb"/>
        <w:tabs>
          <w:tab w:val="right" w:pos="4680"/>
        </w:tabs>
        <w:rPr>
          <w:rFonts w:asciiTheme="minorHAnsi" w:hAnsiTheme="minorHAnsi" w:cstheme="minorHAnsi"/>
        </w:rPr>
      </w:pPr>
    </w:p>
    <w:p w14:paraId="3E3EFAA4" w14:textId="77777777" w:rsidR="0023470A" w:rsidRPr="00C1245E" w:rsidRDefault="0023470A">
      <w:pPr>
        <w:pStyle w:val="NormalWeb"/>
        <w:tabs>
          <w:tab w:val="right" w:pos="4680"/>
        </w:tabs>
        <w:rPr>
          <w:rFonts w:asciiTheme="minorHAnsi" w:hAnsiTheme="minorHAnsi" w:cstheme="minorHAnsi"/>
        </w:rPr>
      </w:pPr>
    </w:p>
    <w:p w14:paraId="112238AD" w14:textId="77777777" w:rsidR="0023470A" w:rsidRPr="00C1245E" w:rsidRDefault="0023470A">
      <w:pPr>
        <w:pStyle w:val="NormalWeb"/>
        <w:tabs>
          <w:tab w:val="right" w:pos="4680"/>
        </w:tabs>
        <w:rPr>
          <w:rFonts w:asciiTheme="minorHAnsi" w:hAnsiTheme="minorHAnsi" w:cstheme="minorHAnsi"/>
        </w:rPr>
      </w:pPr>
    </w:p>
    <w:p w14:paraId="359E1CBA" w14:textId="42A3B3C5" w:rsidR="00522794" w:rsidRPr="00C1245E" w:rsidRDefault="00C1245E" w:rsidP="00B91139">
      <w:pPr>
        <w:pStyle w:val="BodyText2"/>
        <w:rPr>
          <w:rFonts w:asciiTheme="minorHAnsi" w:hAnsiTheme="minorHAnsi" w:cstheme="minorHAnsi"/>
          <w:sz w:val="44"/>
        </w:rPr>
      </w:pPr>
      <w:r w:rsidRPr="00C1245E">
        <w:rPr>
          <w:rFonts w:asciiTheme="minorHAnsi" w:hAnsiTheme="minorHAnsi" w:cstheme="minorHAnsi"/>
          <w:noProof/>
          <w:sz w:val="18"/>
        </w:rPr>
        <w:drawing>
          <wp:inline distT="0" distB="0" distL="0" distR="0" wp14:anchorId="69231C06" wp14:editId="738D9415">
            <wp:extent cx="2933700" cy="114300"/>
            <wp:effectExtent l="0" t="0" r="0" b="0"/>
            <wp:docPr id="1" name="Picture 2" descr="Decorative Ribb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Decorative Ribbo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33700" cy="114300"/>
                    </a:xfrm>
                    <a:prstGeom prst="rect">
                      <a:avLst/>
                    </a:prstGeom>
                    <a:noFill/>
                    <a:ln>
                      <a:noFill/>
                    </a:ln>
                  </pic:spPr>
                </pic:pic>
              </a:graphicData>
            </a:graphic>
          </wp:inline>
        </w:drawing>
      </w:r>
    </w:p>
    <w:p w14:paraId="25D00618" w14:textId="07F93E0A" w:rsidR="00C1245E" w:rsidRPr="00456C4F" w:rsidRDefault="00B91139" w:rsidP="00C1245E">
      <w:pPr>
        <w:pStyle w:val="BodyText2"/>
        <w:jc w:val="center"/>
        <w:rPr>
          <w:rFonts w:asciiTheme="minorHAnsi" w:hAnsiTheme="minorHAnsi" w:cstheme="minorHAnsi"/>
          <w:sz w:val="24"/>
        </w:rPr>
      </w:pPr>
      <w:r w:rsidRPr="00C1245E">
        <w:rPr>
          <w:rFonts w:asciiTheme="minorHAnsi" w:hAnsiTheme="minorHAnsi" w:cstheme="minorHAnsi"/>
          <w:szCs w:val="32"/>
        </w:rPr>
        <w:t xml:space="preserve">  </w:t>
      </w:r>
      <w:r w:rsidR="0023470A" w:rsidRPr="00456C4F">
        <w:rPr>
          <w:rFonts w:asciiTheme="minorHAnsi" w:hAnsiTheme="minorHAnsi" w:cstheme="minorHAnsi"/>
          <w:sz w:val="24"/>
        </w:rPr>
        <w:t xml:space="preserve">USDA Government Purchase Card </w:t>
      </w:r>
      <w:r w:rsidR="00C1245E" w:rsidRPr="00456C4F">
        <w:rPr>
          <w:rFonts w:asciiTheme="minorHAnsi" w:hAnsiTheme="minorHAnsi" w:cstheme="minorHAnsi"/>
          <w:sz w:val="24"/>
        </w:rPr>
        <w:t xml:space="preserve">(GPC) </w:t>
      </w:r>
    </w:p>
    <w:p w14:paraId="572001F4" w14:textId="1DFDD22A" w:rsidR="00C1245E" w:rsidRPr="00456C4F" w:rsidRDefault="0023470A" w:rsidP="0023470A">
      <w:pPr>
        <w:pStyle w:val="BodyText2"/>
        <w:jc w:val="center"/>
        <w:rPr>
          <w:rFonts w:asciiTheme="minorHAnsi" w:hAnsiTheme="minorHAnsi" w:cstheme="minorHAnsi"/>
          <w:sz w:val="24"/>
        </w:rPr>
      </w:pPr>
      <w:r w:rsidRPr="00456C4F">
        <w:rPr>
          <w:rFonts w:asciiTheme="minorHAnsi" w:hAnsiTheme="minorHAnsi" w:cstheme="minorHAnsi"/>
          <w:sz w:val="24"/>
        </w:rPr>
        <w:t>Sales Tax Exemption</w:t>
      </w:r>
      <w:r w:rsidR="00C54586" w:rsidRPr="00456C4F">
        <w:rPr>
          <w:rFonts w:asciiTheme="minorHAnsi" w:hAnsiTheme="minorHAnsi" w:cstheme="minorHAnsi"/>
          <w:sz w:val="24"/>
        </w:rPr>
        <w:t xml:space="preserve"> Guide</w:t>
      </w:r>
    </w:p>
    <w:p w14:paraId="3B226AD8" w14:textId="77777777" w:rsidR="00522794" w:rsidRPr="00C1245E" w:rsidRDefault="00522794">
      <w:pPr>
        <w:pStyle w:val="BodyText2"/>
        <w:jc w:val="center"/>
        <w:rPr>
          <w:rFonts w:asciiTheme="minorHAnsi" w:hAnsiTheme="minorHAnsi" w:cstheme="minorHAnsi"/>
          <w:sz w:val="16"/>
        </w:rPr>
      </w:pPr>
    </w:p>
    <w:p w14:paraId="3269B97C" w14:textId="77777777" w:rsidR="00522794" w:rsidRPr="00C1245E" w:rsidRDefault="00522794">
      <w:pPr>
        <w:rPr>
          <w:rFonts w:asciiTheme="minorHAnsi" w:hAnsiTheme="minorHAnsi" w:cstheme="minorHAnsi"/>
          <w:b/>
          <w:bCs/>
        </w:rPr>
      </w:pPr>
    </w:p>
    <w:p w14:paraId="5B934BE4" w14:textId="10FAF472" w:rsidR="00522794" w:rsidRPr="00C1245E" w:rsidRDefault="00C1245E" w:rsidP="00C1245E">
      <w:pPr>
        <w:jc w:val="center"/>
        <w:rPr>
          <w:rFonts w:asciiTheme="minorHAnsi" w:hAnsiTheme="minorHAnsi" w:cstheme="minorHAnsi"/>
          <w:b/>
          <w:bCs/>
          <w:sz w:val="20"/>
        </w:rPr>
      </w:pPr>
      <w:r w:rsidRPr="00FB792E">
        <w:rPr>
          <w:noProof/>
        </w:rPr>
        <w:drawing>
          <wp:inline distT="0" distB="0" distL="0" distR="0" wp14:anchorId="06DDE769" wp14:editId="436A6A95">
            <wp:extent cx="2012950" cy="1390650"/>
            <wp:effectExtent l="0" t="0" r="0" b="0"/>
            <wp:docPr id="15" name="Picture 56" descr="USDA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56" descr="USDA icon."/>
                    <pic:cNvPicPr>
                      <a:picLocks noChangeAspect="1" noChangeArrowheads="1"/>
                    </pic:cNvPicPr>
                  </pic:nvPicPr>
                  <pic:blipFill>
                    <a:blip r:embed="rId1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012950" cy="1390650"/>
                    </a:xfrm>
                    <a:prstGeom prst="rect">
                      <a:avLst/>
                    </a:prstGeom>
                    <a:noFill/>
                    <a:ln>
                      <a:noFill/>
                    </a:ln>
                  </pic:spPr>
                </pic:pic>
              </a:graphicData>
            </a:graphic>
          </wp:inline>
        </w:drawing>
      </w:r>
    </w:p>
    <w:p w14:paraId="3CD34910" w14:textId="77777777" w:rsidR="00916D2F" w:rsidRPr="00C1245E" w:rsidRDefault="00916D2F" w:rsidP="00916D2F">
      <w:pPr>
        <w:rPr>
          <w:rFonts w:asciiTheme="minorHAnsi" w:hAnsiTheme="minorHAnsi" w:cstheme="minorHAnsi"/>
        </w:rPr>
      </w:pPr>
    </w:p>
    <w:p w14:paraId="10A6BF7C" w14:textId="77777777" w:rsidR="00522794" w:rsidRPr="00B34126" w:rsidRDefault="0023470A">
      <w:pPr>
        <w:jc w:val="center"/>
        <w:rPr>
          <w:rFonts w:asciiTheme="minorHAnsi" w:hAnsiTheme="minorHAnsi" w:cstheme="minorHAnsi"/>
          <w:b/>
          <w:bCs/>
          <w:sz w:val="24"/>
        </w:rPr>
      </w:pPr>
      <w:r w:rsidRPr="00B34126">
        <w:rPr>
          <w:rFonts w:asciiTheme="minorHAnsi" w:hAnsiTheme="minorHAnsi" w:cstheme="minorHAnsi"/>
          <w:b/>
          <w:bCs/>
          <w:sz w:val="24"/>
        </w:rPr>
        <w:t>December 2023</w:t>
      </w:r>
    </w:p>
    <w:p w14:paraId="680CB543" w14:textId="77777777" w:rsidR="00522794" w:rsidRDefault="00522794">
      <w:pPr>
        <w:jc w:val="center"/>
        <w:rPr>
          <w:rFonts w:asciiTheme="minorHAnsi" w:hAnsiTheme="minorHAnsi" w:cstheme="minorHAnsi"/>
        </w:rPr>
      </w:pPr>
    </w:p>
    <w:p w14:paraId="4DE483DA" w14:textId="77777777" w:rsidR="00456C4F" w:rsidRPr="00C1245E" w:rsidRDefault="00456C4F">
      <w:pPr>
        <w:jc w:val="center"/>
        <w:rPr>
          <w:rFonts w:asciiTheme="minorHAnsi" w:hAnsiTheme="minorHAnsi" w:cstheme="minorHAnsi"/>
        </w:rPr>
      </w:pPr>
    </w:p>
    <w:p w14:paraId="4A92B48A" w14:textId="70926B17" w:rsidR="0072625B" w:rsidRPr="00C1245E" w:rsidRDefault="0072625B" w:rsidP="0072625B">
      <w:pPr>
        <w:tabs>
          <w:tab w:val="left" w:pos="9900"/>
          <w:tab w:val="left" w:pos="9990"/>
        </w:tabs>
        <w:ind w:left="360" w:right="180"/>
        <w:rPr>
          <w:rFonts w:asciiTheme="minorHAnsi" w:hAnsiTheme="minorHAnsi" w:cstheme="minorHAnsi"/>
          <w:color w:val="000000"/>
          <w:szCs w:val="18"/>
        </w:rPr>
      </w:pPr>
      <w:r w:rsidRPr="00C1245E">
        <w:rPr>
          <w:rFonts w:asciiTheme="minorHAnsi" w:hAnsiTheme="minorHAnsi" w:cstheme="minorHAnsi"/>
          <w:color w:val="000000"/>
          <w:szCs w:val="18"/>
        </w:rPr>
        <w:t>The US Department of Agriculture (USDA) prohibits discrimination in all its programs and</w:t>
      </w:r>
      <w:r w:rsidR="002570B0" w:rsidRPr="00C1245E">
        <w:rPr>
          <w:rFonts w:asciiTheme="minorHAnsi" w:hAnsiTheme="minorHAnsi" w:cstheme="minorHAnsi"/>
          <w:color w:val="000000"/>
          <w:szCs w:val="18"/>
        </w:rPr>
        <w:t xml:space="preserve"> </w:t>
      </w:r>
      <w:r w:rsidRPr="00C1245E">
        <w:rPr>
          <w:rFonts w:asciiTheme="minorHAnsi" w:hAnsiTheme="minorHAnsi" w:cstheme="minorHAnsi"/>
          <w:color w:val="000000"/>
          <w:szCs w:val="18"/>
        </w:rPr>
        <w:t xml:space="preserve">activities on the basis of race, color, national origin, age, disability, and where applicable, sex, marital status, familial status, parental status, religion, sexual orientation, genetic information, political beliefs, reprisal, or because all or a part of an individual's income is derived from any public assistance program. (Not all prohibited bases apply to all programs.) Persons with disabilities who require alternative means for communication of program information (Braille, large print, audiotape, etc.) should contact USDA's TARGET Center at (202) 720-2600 (voice and TDD). To file a complaint of </w:t>
      </w:r>
      <w:r w:rsidR="00504962" w:rsidRPr="00C1245E">
        <w:rPr>
          <w:rFonts w:asciiTheme="minorHAnsi" w:hAnsiTheme="minorHAnsi" w:cstheme="minorHAnsi"/>
          <w:color w:val="000000"/>
          <w:szCs w:val="18"/>
        </w:rPr>
        <w:t>discrimination,</w:t>
      </w:r>
      <w:r w:rsidRPr="00C1245E">
        <w:rPr>
          <w:rFonts w:asciiTheme="minorHAnsi" w:hAnsiTheme="minorHAnsi" w:cstheme="minorHAnsi"/>
          <w:color w:val="000000"/>
          <w:szCs w:val="18"/>
        </w:rPr>
        <w:t xml:space="preserve"> write to USDA, Director, Office of Civil Rights, 1400 Independence Avenue, S.W., Washington, D.C. </w:t>
      </w:r>
      <w:r w:rsidR="00C1245E" w:rsidRPr="00C1245E">
        <w:rPr>
          <w:rFonts w:asciiTheme="minorHAnsi" w:hAnsiTheme="minorHAnsi" w:cstheme="minorHAnsi"/>
          <w:color w:val="000000"/>
          <w:szCs w:val="18"/>
        </w:rPr>
        <w:t>20250-9410,</w:t>
      </w:r>
      <w:r w:rsidRPr="00C1245E">
        <w:rPr>
          <w:rFonts w:asciiTheme="minorHAnsi" w:hAnsiTheme="minorHAnsi" w:cstheme="minorHAnsi"/>
          <w:color w:val="000000"/>
          <w:szCs w:val="18"/>
        </w:rPr>
        <w:t xml:space="preserve"> or call (800) 795-3272 (voice) or (202) 720-6382 (TDD). USDA is an equal opportunity provider and employer. </w:t>
      </w:r>
    </w:p>
    <w:p w14:paraId="7924ECDE" w14:textId="029119AE" w:rsidR="00944ACB" w:rsidRPr="00C1245E" w:rsidRDefault="00C1245E">
      <w:pPr>
        <w:jc w:val="center"/>
        <w:rPr>
          <w:rFonts w:asciiTheme="minorHAnsi" w:hAnsiTheme="minorHAnsi" w:cstheme="minorHAnsi"/>
        </w:rPr>
      </w:pPr>
      <w:r w:rsidRPr="00C1245E">
        <w:rPr>
          <w:rFonts w:asciiTheme="minorHAnsi" w:hAnsiTheme="minorHAnsi" w:cstheme="minorHAnsi"/>
          <w:noProof/>
        </w:rPr>
        <w:drawing>
          <wp:inline distT="0" distB="0" distL="0" distR="0" wp14:anchorId="02F6EEF2" wp14:editId="074E9A82">
            <wp:extent cx="2933700" cy="114300"/>
            <wp:effectExtent l="0" t="0" r="0" b="0"/>
            <wp:docPr id="2" name="Picture 1" descr="Decorative ribb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Decorative ribbo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33700" cy="114300"/>
                    </a:xfrm>
                    <a:prstGeom prst="rect">
                      <a:avLst/>
                    </a:prstGeom>
                    <a:noFill/>
                    <a:ln>
                      <a:noFill/>
                    </a:ln>
                  </pic:spPr>
                </pic:pic>
              </a:graphicData>
            </a:graphic>
          </wp:inline>
        </w:drawing>
      </w:r>
    </w:p>
    <w:p w14:paraId="189FFF94" w14:textId="77777777" w:rsidR="0060407B" w:rsidRPr="00C1245E" w:rsidRDefault="00944ACB" w:rsidP="00944ACB">
      <w:pPr>
        <w:pStyle w:val="Heading2"/>
        <w:shd w:val="clear" w:color="auto" w:fill="FFFFFF"/>
        <w:spacing w:before="0" w:after="0"/>
        <w:rPr>
          <w:rFonts w:asciiTheme="minorHAnsi" w:hAnsiTheme="minorHAnsi" w:cstheme="minorHAnsi"/>
          <w:color w:val="252F3E"/>
          <w:sz w:val="28"/>
        </w:rPr>
      </w:pPr>
      <w:r w:rsidRPr="00C1245E">
        <w:rPr>
          <w:rFonts w:asciiTheme="minorHAnsi" w:hAnsiTheme="minorHAnsi" w:cstheme="minorHAnsi"/>
        </w:rPr>
        <w:br w:type="page"/>
      </w:r>
      <w:bookmarkEnd w:id="0"/>
      <w:r w:rsidR="0060407B" w:rsidRPr="00C1245E">
        <w:rPr>
          <w:rFonts w:asciiTheme="minorHAnsi" w:hAnsiTheme="minorHAnsi" w:cstheme="minorHAnsi"/>
          <w:color w:val="252F3E"/>
          <w:sz w:val="28"/>
        </w:rPr>
        <w:lastRenderedPageBreak/>
        <w:t>The U.S. Constitution</w:t>
      </w:r>
    </w:p>
    <w:p w14:paraId="4D1C9F37" w14:textId="77777777" w:rsidR="0020724A" w:rsidRPr="00C1245E" w:rsidRDefault="0060407B" w:rsidP="00C37243">
      <w:pPr>
        <w:pStyle w:val="NormalWeb"/>
        <w:shd w:val="clear" w:color="auto" w:fill="FFFFFF"/>
        <w:spacing w:after="0"/>
        <w:rPr>
          <w:rFonts w:asciiTheme="minorHAnsi" w:hAnsiTheme="minorHAnsi" w:cstheme="minorHAnsi"/>
          <w:color w:val="13171F"/>
          <w:sz w:val="24"/>
        </w:rPr>
      </w:pPr>
      <w:r w:rsidRPr="00C1245E">
        <w:rPr>
          <w:rFonts w:asciiTheme="minorHAnsi" w:hAnsiTheme="minorHAnsi" w:cstheme="minorHAnsi"/>
          <w:color w:val="13171F"/>
          <w:sz w:val="24"/>
        </w:rPr>
        <w:t>The </w:t>
      </w:r>
      <w:hyperlink r:id="rId12" w:history="1">
        <w:r w:rsidRPr="00C1245E">
          <w:rPr>
            <w:rStyle w:val="Hyperlink"/>
            <w:rFonts w:asciiTheme="minorHAnsi" w:hAnsiTheme="minorHAnsi" w:cstheme="minorHAnsi"/>
            <w:sz w:val="24"/>
            <w:shd w:val="clear" w:color="auto" w:fill="FFFFFF"/>
          </w:rPr>
          <w:t>Supremacy Clause of the U.S. Constitution</w:t>
        </w:r>
      </w:hyperlink>
      <w:r w:rsidRPr="00C1245E">
        <w:rPr>
          <w:rFonts w:asciiTheme="minorHAnsi" w:hAnsiTheme="minorHAnsi" w:cstheme="minorHAnsi"/>
          <w:color w:val="13171F"/>
          <w:sz w:val="24"/>
        </w:rPr>
        <w:t> establishes that the U.S. Constitution and federal laws are “the Supreme Law of the Land.” As such, states cannot impose sales tax on the federal government.</w:t>
      </w:r>
    </w:p>
    <w:p w14:paraId="5E14E1A3" w14:textId="77777777" w:rsidR="0060407B" w:rsidRPr="00C1245E" w:rsidRDefault="0060407B" w:rsidP="0060407B">
      <w:pPr>
        <w:pStyle w:val="Heading2"/>
        <w:shd w:val="clear" w:color="auto" w:fill="FFFFFF"/>
        <w:spacing w:before="360" w:after="0"/>
        <w:rPr>
          <w:rFonts w:asciiTheme="minorHAnsi" w:hAnsiTheme="minorHAnsi" w:cstheme="minorHAnsi"/>
          <w:i w:val="0"/>
          <w:iCs w:val="0"/>
          <w:color w:val="252F3E"/>
          <w:sz w:val="28"/>
        </w:rPr>
      </w:pPr>
      <w:r w:rsidRPr="00C1245E">
        <w:rPr>
          <w:rFonts w:asciiTheme="minorHAnsi" w:hAnsiTheme="minorHAnsi" w:cstheme="minorHAnsi"/>
          <w:i w:val="0"/>
          <w:iCs w:val="0"/>
          <w:color w:val="252F3E"/>
          <w:sz w:val="28"/>
        </w:rPr>
        <w:t>Supreme Court Decisions</w:t>
      </w:r>
    </w:p>
    <w:p w14:paraId="62211031" w14:textId="77777777" w:rsidR="0060407B" w:rsidRPr="00C1245E" w:rsidRDefault="0060407B" w:rsidP="0060407B">
      <w:pPr>
        <w:rPr>
          <w:rFonts w:asciiTheme="minorHAnsi" w:hAnsiTheme="minorHAnsi" w:cstheme="minorHAnsi"/>
          <w:sz w:val="24"/>
        </w:rPr>
      </w:pPr>
      <w:r w:rsidRPr="00C1245E">
        <w:rPr>
          <w:rFonts w:asciiTheme="minorHAnsi" w:hAnsiTheme="minorHAnsi" w:cstheme="minorHAnsi"/>
          <w:color w:val="13171F"/>
          <w:sz w:val="24"/>
          <w:shd w:val="clear" w:color="auto" w:fill="FFFFFF"/>
        </w:rPr>
        <w:t xml:space="preserve">The high court judicial rulings have established this legal precedent, in </w:t>
      </w:r>
      <w:hyperlink r:id="rId13" w:history="1">
        <w:r w:rsidRPr="00C1245E">
          <w:rPr>
            <w:rStyle w:val="Hyperlink"/>
            <w:rFonts w:asciiTheme="minorHAnsi" w:hAnsiTheme="minorHAnsi" w:cstheme="minorHAnsi"/>
            <w:sz w:val="24"/>
            <w:shd w:val="clear" w:color="auto" w:fill="FFFFFF"/>
          </w:rPr>
          <w:t>McCulloch v. Maryland, 17 U.S. 316 (1819)</w:t>
        </w:r>
      </w:hyperlink>
      <w:r w:rsidRPr="00C1245E">
        <w:rPr>
          <w:rFonts w:asciiTheme="minorHAnsi" w:hAnsiTheme="minorHAnsi" w:cstheme="minorHAnsi"/>
          <w:color w:val="13171F"/>
          <w:sz w:val="24"/>
          <w:shd w:val="clear" w:color="auto" w:fill="FFFFFF"/>
        </w:rPr>
        <w:t xml:space="preserve"> where they ruled that states cannot directly levy tax on the federal government.</w:t>
      </w:r>
    </w:p>
    <w:p w14:paraId="297709CF" w14:textId="77777777" w:rsidR="0060407B" w:rsidRPr="00C1245E" w:rsidRDefault="0060407B" w:rsidP="0060407B">
      <w:pPr>
        <w:pStyle w:val="Heading2"/>
        <w:shd w:val="clear" w:color="auto" w:fill="FFFFFF"/>
        <w:spacing w:before="360" w:after="0"/>
        <w:rPr>
          <w:rFonts w:asciiTheme="minorHAnsi" w:hAnsiTheme="minorHAnsi" w:cstheme="minorHAnsi"/>
          <w:i w:val="0"/>
          <w:iCs w:val="0"/>
          <w:color w:val="252F3E"/>
          <w:sz w:val="28"/>
        </w:rPr>
      </w:pPr>
      <w:r w:rsidRPr="00C1245E">
        <w:rPr>
          <w:rFonts w:asciiTheme="minorHAnsi" w:hAnsiTheme="minorHAnsi" w:cstheme="minorHAnsi"/>
          <w:i w:val="0"/>
          <w:iCs w:val="0"/>
          <w:color w:val="252F3E"/>
          <w:sz w:val="28"/>
        </w:rPr>
        <w:t>Payment Liability</w:t>
      </w:r>
    </w:p>
    <w:p w14:paraId="56C01427" w14:textId="77777777" w:rsidR="0060407B" w:rsidRPr="00C1245E" w:rsidRDefault="0060407B" w:rsidP="0060407B">
      <w:pPr>
        <w:spacing w:after="0"/>
        <w:rPr>
          <w:rFonts w:asciiTheme="minorHAnsi" w:hAnsiTheme="minorHAnsi" w:cstheme="minorHAnsi"/>
          <w:sz w:val="24"/>
        </w:rPr>
      </w:pPr>
      <w:r w:rsidRPr="00C1245E">
        <w:rPr>
          <w:rFonts w:asciiTheme="minorHAnsi" w:hAnsiTheme="minorHAnsi" w:cstheme="minorHAnsi"/>
          <w:color w:val="13171F"/>
          <w:sz w:val="24"/>
          <w:shd w:val="clear" w:color="auto" w:fill="FFFFFF"/>
        </w:rPr>
        <w:t xml:space="preserve">Centrally Billed Accounts (CBA): Accounts are issued at the agency, bureau, division, rather than to individuals (even if an individual’s name is on the card). The federal government is billed directly for the purchase of goods and services and should not be assessed sales or use tax. </w:t>
      </w:r>
    </w:p>
    <w:p w14:paraId="21D200B9" w14:textId="77777777" w:rsidR="00C37243" w:rsidRPr="00C1245E" w:rsidRDefault="00C37243" w:rsidP="00C37243">
      <w:pPr>
        <w:pStyle w:val="Heading2"/>
        <w:shd w:val="clear" w:color="auto" w:fill="FFFFFF"/>
        <w:spacing w:before="360" w:after="0"/>
        <w:rPr>
          <w:rFonts w:asciiTheme="minorHAnsi" w:hAnsiTheme="minorHAnsi" w:cstheme="minorHAnsi"/>
          <w:i w:val="0"/>
          <w:iCs w:val="0"/>
          <w:color w:val="252F3E"/>
          <w:sz w:val="28"/>
        </w:rPr>
      </w:pPr>
      <w:r w:rsidRPr="00C1245E">
        <w:rPr>
          <w:rFonts w:asciiTheme="minorHAnsi" w:hAnsiTheme="minorHAnsi" w:cstheme="minorHAnsi"/>
          <w:i w:val="0"/>
          <w:iCs w:val="0"/>
          <w:color w:val="252F3E"/>
          <w:sz w:val="28"/>
        </w:rPr>
        <w:t>USDA GPC Policy</w:t>
      </w:r>
    </w:p>
    <w:p w14:paraId="107289E8" w14:textId="77777777" w:rsidR="00C37243" w:rsidRPr="00C1245E" w:rsidRDefault="00C37243" w:rsidP="00C37243">
      <w:pPr>
        <w:rPr>
          <w:rFonts w:asciiTheme="minorHAnsi" w:hAnsiTheme="minorHAnsi" w:cstheme="minorHAnsi"/>
          <w:sz w:val="24"/>
        </w:rPr>
      </w:pPr>
      <w:r w:rsidRPr="00C1245E">
        <w:rPr>
          <w:rFonts w:asciiTheme="minorHAnsi" w:hAnsiTheme="minorHAnsi" w:cstheme="minorHAnsi"/>
          <w:sz w:val="24"/>
        </w:rPr>
        <w:t xml:space="preserve">All supplies and services purchased using the government purchase card (GPC) are tax exempt. If sales tax cannot be waived, the cardholder is required to make every effort to recover the sales taxes paid. The cardholder must document attempts made by notating the receipt or invoice that the sales tax was unavoidable or unrecoverable. The cardholder should </w:t>
      </w:r>
      <w:r w:rsidRPr="00C1245E">
        <w:rPr>
          <w:rFonts w:asciiTheme="minorHAnsi" w:hAnsiTheme="minorHAnsi" w:cstheme="minorHAnsi"/>
          <w:sz w:val="24"/>
        </w:rPr>
        <w:t>initial and date the receipt/invoice and retain with the purchase transactions supporting documentation. Cardholder may attach a separate Word document if more space is needed for the explanation.</w:t>
      </w:r>
    </w:p>
    <w:p w14:paraId="152154D0" w14:textId="77777777" w:rsidR="00C37243" w:rsidRPr="00C1245E" w:rsidRDefault="00C37243" w:rsidP="00C37243">
      <w:pPr>
        <w:pStyle w:val="Heading2"/>
        <w:shd w:val="clear" w:color="auto" w:fill="FFFFFF"/>
        <w:spacing w:before="360" w:after="0"/>
        <w:rPr>
          <w:rFonts w:asciiTheme="minorHAnsi" w:hAnsiTheme="minorHAnsi" w:cstheme="minorHAnsi"/>
          <w:i w:val="0"/>
          <w:iCs w:val="0"/>
          <w:color w:val="252F3E"/>
          <w:sz w:val="28"/>
        </w:rPr>
      </w:pPr>
      <w:r w:rsidRPr="00C1245E">
        <w:rPr>
          <w:rFonts w:asciiTheme="minorHAnsi" w:hAnsiTheme="minorHAnsi" w:cstheme="minorHAnsi"/>
          <w:i w:val="0"/>
          <w:iCs w:val="0"/>
          <w:color w:val="252F3E"/>
          <w:sz w:val="28"/>
        </w:rPr>
        <w:t>Purchase Card Design</w:t>
      </w:r>
    </w:p>
    <w:p w14:paraId="3ABF66A3" w14:textId="77777777" w:rsidR="00C37243" w:rsidRDefault="00C37243" w:rsidP="00C37243">
      <w:pPr>
        <w:rPr>
          <w:rFonts w:asciiTheme="minorHAnsi" w:hAnsiTheme="minorHAnsi" w:cstheme="minorHAnsi"/>
          <w:sz w:val="24"/>
        </w:rPr>
      </w:pPr>
      <w:r w:rsidRPr="00C1245E">
        <w:rPr>
          <w:rFonts w:asciiTheme="minorHAnsi" w:hAnsiTheme="minorHAnsi" w:cstheme="minorHAnsi"/>
          <w:sz w:val="24"/>
        </w:rPr>
        <w:t>All USDA Purchase Cards will have the following and carries the MasterCard logo</w:t>
      </w:r>
      <w:r w:rsidR="008C5DD8" w:rsidRPr="00C1245E">
        <w:rPr>
          <w:rFonts w:asciiTheme="minorHAnsi" w:hAnsiTheme="minorHAnsi" w:cstheme="minorHAnsi"/>
          <w:sz w:val="24"/>
        </w:rPr>
        <w:t xml:space="preserve"> with beginning digits of 5565 or 5568.</w:t>
      </w:r>
    </w:p>
    <w:p w14:paraId="5DC0C2B4" w14:textId="77777777" w:rsidR="00C1245E" w:rsidRPr="00C1245E" w:rsidRDefault="00C1245E" w:rsidP="00C37243">
      <w:pPr>
        <w:rPr>
          <w:rFonts w:asciiTheme="minorHAnsi" w:hAnsiTheme="minorHAnsi" w:cstheme="minorHAnsi"/>
          <w:sz w:val="24"/>
        </w:rPr>
      </w:pPr>
    </w:p>
    <w:p w14:paraId="5BD14218" w14:textId="0FF24E40" w:rsidR="00C37243" w:rsidRPr="00C1245E" w:rsidRDefault="00C37243" w:rsidP="007F71C4">
      <w:pPr>
        <w:jc w:val="center"/>
        <w:rPr>
          <w:rFonts w:asciiTheme="minorHAnsi" w:hAnsiTheme="minorHAnsi" w:cstheme="minorHAnsi"/>
          <w:sz w:val="24"/>
        </w:rPr>
      </w:pPr>
      <w:r w:rsidRPr="00C1245E">
        <w:rPr>
          <w:rFonts w:asciiTheme="minorHAnsi" w:hAnsiTheme="minorHAnsi" w:cstheme="minorHAnsi"/>
        </w:rPr>
        <w:fldChar w:fldCharType="begin"/>
      </w:r>
      <w:r w:rsidRPr="00C1245E">
        <w:rPr>
          <w:rFonts w:asciiTheme="minorHAnsi" w:hAnsiTheme="minorHAnsi" w:cstheme="minorHAnsi"/>
        </w:rPr>
        <w:instrText xml:space="preserve"> INCLUDEPICTURE "https://smartpay.gsa.gov/images/red-card.png" \* MERGEFORMATINET </w:instrText>
      </w:r>
      <w:r w:rsidRPr="00C1245E">
        <w:rPr>
          <w:rFonts w:asciiTheme="minorHAnsi" w:hAnsiTheme="minorHAnsi" w:cstheme="minorHAnsi"/>
        </w:rPr>
        <w:fldChar w:fldCharType="separate"/>
      </w:r>
      <w:r w:rsidR="00B34126">
        <w:rPr>
          <w:rFonts w:asciiTheme="minorHAnsi" w:hAnsiTheme="minorHAnsi" w:cstheme="minorHAnsi"/>
        </w:rPr>
        <w:fldChar w:fldCharType="begin"/>
      </w:r>
      <w:r w:rsidR="00B34126">
        <w:rPr>
          <w:rFonts w:asciiTheme="minorHAnsi" w:hAnsiTheme="minorHAnsi" w:cstheme="minorHAnsi"/>
        </w:rPr>
        <w:instrText xml:space="preserve"> INCLUDEPICTURE  "https://smartpay.gsa.gov/images/red-card.png" \* MERGEFORMATINET </w:instrText>
      </w:r>
      <w:r w:rsidR="00B34126">
        <w:rPr>
          <w:rFonts w:asciiTheme="minorHAnsi" w:hAnsiTheme="minorHAnsi" w:cstheme="minorHAnsi"/>
        </w:rPr>
        <w:fldChar w:fldCharType="separate"/>
      </w:r>
      <w:r w:rsidR="00456C4F">
        <w:rPr>
          <w:rFonts w:asciiTheme="minorHAnsi" w:hAnsiTheme="minorHAnsi" w:cstheme="minorHAnsi"/>
        </w:rPr>
        <w:fldChar w:fldCharType="begin"/>
      </w:r>
      <w:r w:rsidR="00456C4F">
        <w:rPr>
          <w:rFonts w:asciiTheme="minorHAnsi" w:hAnsiTheme="minorHAnsi" w:cstheme="minorHAnsi"/>
        </w:rPr>
        <w:instrText xml:space="preserve"> </w:instrText>
      </w:r>
      <w:r w:rsidR="00456C4F">
        <w:rPr>
          <w:rFonts w:asciiTheme="minorHAnsi" w:hAnsiTheme="minorHAnsi" w:cstheme="minorHAnsi"/>
        </w:rPr>
        <w:instrText>INCLUDEPICTURE  "https://smartpay.gsa.gov/images/red-card.png" \* MERGEFORMATINET</w:instrText>
      </w:r>
      <w:r w:rsidR="00456C4F">
        <w:rPr>
          <w:rFonts w:asciiTheme="minorHAnsi" w:hAnsiTheme="minorHAnsi" w:cstheme="minorHAnsi"/>
        </w:rPr>
        <w:instrText xml:space="preserve"> </w:instrText>
      </w:r>
      <w:r w:rsidR="00456C4F">
        <w:rPr>
          <w:rFonts w:asciiTheme="minorHAnsi" w:hAnsiTheme="minorHAnsi" w:cstheme="minorHAnsi"/>
        </w:rPr>
        <w:fldChar w:fldCharType="separate"/>
      </w:r>
      <w:r w:rsidR="00456C4F">
        <w:rPr>
          <w:rFonts w:asciiTheme="minorHAnsi" w:hAnsiTheme="minorHAnsi" w:cstheme="minorHAnsi"/>
        </w:rPr>
        <w:pict w14:anchorId="563968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Red charge card with the word Purchase and numbers 1234 5678 9012 3456 and the name John Smith, with a bird in the background" style="width:207.5pt;height:129pt">
            <v:imagedata r:id="rId14" r:href="rId15"/>
          </v:shape>
        </w:pict>
      </w:r>
      <w:r w:rsidR="00456C4F">
        <w:rPr>
          <w:rFonts w:asciiTheme="minorHAnsi" w:hAnsiTheme="minorHAnsi" w:cstheme="minorHAnsi"/>
        </w:rPr>
        <w:fldChar w:fldCharType="end"/>
      </w:r>
      <w:r w:rsidR="00B34126">
        <w:rPr>
          <w:rFonts w:asciiTheme="minorHAnsi" w:hAnsiTheme="minorHAnsi" w:cstheme="minorHAnsi"/>
        </w:rPr>
        <w:fldChar w:fldCharType="end"/>
      </w:r>
      <w:r w:rsidRPr="00C1245E">
        <w:rPr>
          <w:rFonts w:asciiTheme="minorHAnsi" w:hAnsiTheme="minorHAnsi" w:cstheme="minorHAnsi"/>
        </w:rPr>
        <w:fldChar w:fldCharType="end"/>
      </w:r>
    </w:p>
    <w:p w14:paraId="05E18C7B" w14:textId="4CA85F06" w:rsidR="00C37243" w:rsidRPr="00C1245E" w:rsidRDefault="00C1245E" w:rsidP="007F71C4">
      <w:pPr>
        <w:jc w:val="center"/>
        <w:rPr>
          <w:rFonts w:asciiTheme="minorHAnsi" w:hAnsiTheme="minorHAnsi" w:cstheme="minorHAnsi"/>
          <w:sz w:val="24"/>
        </w:rPr>
      </w:pPr>
      <w:r w:rsidRPr="00FB792E">
        <w:rPr>
          <w:noProof/>
        </w:rPr>
        <w:drawing>
          <wp:inline distT="0" distB="0" distL="0" distR="0" wp14:anchorId="5DB9500C" wp14:editId="4D455718">
            <wp:extent cx="1822450" cy="1123950"/>
            <wp:effectExtent l="0" t="0" r="0" b="0"/>
            <wp:docPr id="29" name="Picture 1" descr="Mastercar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1" descr="Mastercard ico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22450" cy="1123950"/>
                    </a:xfrm>
                    <a:prstGeom prst="rect">
                      <a:avLst/>
                    </a:prstGeom>
                    <a:noFill/>
                    <a:ln>
                      <a:noFill/>
                    </a:ln>
                  </pic:spPr>
                </pic:pic>
              </a:graphicData>
            </a:graphic>
          </wp:inline>
        </w:drawing>
      </w:r>
    </w:p>
    <w:p w14:paraId="38D70487" w14:textId="77777777" w:rsidR="00C37243" w:rsidRPr="00C1245E" w:rsidRDefault="00C37243" w:rsidP="00C37243">
      <w:pPr>
        <w:pStyle w:val="Heading2"/>
        <w:shd w:val="clear" w:color="auto" w:fill="FFFFFF"/>
        <w:spacing w:before="360" w:after="0"/>
        <w:rPr>
          <w:rFonts w:asciiTheme="minorHAnsi" w:hAnsiTheme="minorHAnsi" w:cstheme="minorHAnsi"/>
          <w:i w:val="0"/>
          <w:iCs w:val="0"/>
          <w:color w:val="252F3E"/>
          <w:sz w:val="28"/>
        </w:rPr>
      </w:pPr>
      <w:r w:rsidRPr="00C1245E">
        <w:rPr>
          <w:rFonts w:asciiTheme="minorHAnsi" w:hAnsiTheme="minorHAnsi" w:cstheme="minorHAnsi"/>
          <w:i w:val="0"/>
          <w:iCs w:val="0"/>
          <w:color w:val="252F3E"/>
          <w:sz w:val="28"/>
        </w:rPr>
        <w:t>GSA SmartTax</w:t>
      </w:r>
    </w:p>
    <w:p w14:paraId="2BD59193" w14:textId="77777777" w:rsidR="0060407B" w:rsidRPr="00C1245E" w:rsidRDefault="008C5DD8" w:rsidP="0060407B">
      <w:pPr>
        <w:rPr>
          <w:rFonts w:asciiTheme="minorHAnsi" w:hAnsiTheme="minorHAnsi" w:cstheme="minorHAnsi"/>
          <w:sz w:val="24"/>
        </w:rPr>
      </w:pPr>
      <w:r w:rsidRPr="00C1245E">
        <w:rPr>
          <w:rFonts w:asciiTheme="minorHAnsi" w:hAnsiTheme="minorHAnsi" w:cstheme="minorHAnsi"/>
          <w:sz w:val="24"/>
        </w:rPr>
        <w:t xml:space="preserve">Official GSA direction on taxes is located on their website including resources for each state.  States may require a validation form to be signed and on file with the merchant.  This information is found at:  </w:t>
      </w:r>
      <w:hyperlink r:id="rId17" w:history="1">
        <w:r w:rsidRPr="00C1245E">
          <w:rPr>
            <w:rStyle w:val="Hyperlink"/>
            <w:rFonts w:asciiTheme="minorHAnsi" w:hAnsiTheme="minorHAnsi" w:cstheme="minorHAnsi"/>
            <w:sz w:val="24"/>
          </w:rPr>
          <w:t>https://smartpay.gsa.gov/smarttax/</w:t>
        </w:r>
      </w:hyperlink>
      <w:r w:rsidRPr="00C1245E">
        <w:rPr>
          <w:rFonts w:asciiTheme="minorHAnsi" w:hAnsiTheme="minorHAnsi" w:cstheme="minorHAnsi"/>
          <w:sz w:val="24"/>
        </w:rPr>
        <w:t>.</w:t>
      </w:r>
    </w:p>
    <w:p w14:paraId="3B3E88C6" w14:textId="77777777" w:rsidR="00693253" w:rsidRPr="00C1245E" w:rsidRDefault="00693253" w:rsidP="0060407B">
      <w:pPr>
        <w:rPr>
          <w:rFonts w:asciiTheme="minorHAnsi" w:hAnsiTheme="minorHAnsi" w:cstheme="minorHAnsi"/>
          <w:sz w:val="24"/>
        </w:rPr>
      </w:pPr>
      <w:r w:rsidRPr="00C1245E">
        <w:rPr>
          <w:rFonts w:asciiTheme="minorHAnsi" w:hAnsiTheme="minorHAnsi" w:cstheme="minorHAnsi"/>
          <w:sz w:val="24"/>
        </w:rPr>
        <w:t xml:space="preserve">Frequently Asked Tax Questions can be found at:  </w:t>
      </w:r>
      <w:hyperlink r:id="rId18" w:anchor="purchase" w:history="1">
        <w:r w:rsidR="0023470A" w:rsidRPr="00C1245E">
          <w:rPr>
            <w:rStyle w:val="Hyperlink"/>
            <w:rFonts w:asciiTheme="minorHAnsi" w:hAnsiTheme="minorHAnsi" w:cstheme="minorHAnsi"/>
            <w:sz w:val="24"/>
          </w:rPr>
          <w:t>https://smartpay.gsa.gov/faq/#purchase</w:t>
        </w:r>
      </w:hyperlink>
      <w:r w:rsidRPr="00C1245E">
        <w:rPr>
          <w:rFonts w:asciiTheme="minorHAnsi" w:hAnsiTheme="minorHAnsi" w:cstheme="minorHAnsi"/>
        </w:rPr>
        <w:t>.</w:t>
      </w:r>
    </w:p>
    <w:p w14:paraId="6911DBA2" w14:textId="77777777" w:rsidR="008C5DD8" w:rsidRPr="00C1245E" w:rsidRDefault="008C5DD8" w:rsidP="008C5DD8">
      <w:pPr>
        <w:pStyle w:val="Heading2"/>
        <w:shd w:val="clear" w:color="auto" w:fill="FFFFFF"/>
        <w:spacing w:before="360" w:after="0"/>
        <w:rPr>
          <w:rFonts w:asciiTheme="minorHAnsi" w:hAnsiTheme="minorHAnsi" w:cstheme="minorHAnsi"/>
          <w:i w:val="0"/>
          <w:iCs w:val="0"/>
          <w:color w:val="252F3E"/>
          <w:sz w:val="28"/>
        </w:rPr>
      </w:pPr>
      <w:r w:rsidRPr="00C1245E">
        <w:rPr>
          <w:rFonts w:asciiTheme="minorHAnsi" w:hAnsiTheme="minorHAnsi" w:cstheme="minorHAnsi"/>
          <w:i w:val="0"/>
          <w:iCs w:val="0"/>
          <w:color w:val="252F3E"/>
          <w:sz w:val="28"/>
        </w:rPr>
        <w:t>Purchasing Resources</w:t>
      </w:r>
    </w:p>
    <w:p w14:paraId="6D23CF88" w14:textId="77777777" w:rsidR="008C5DD8" w:rsidRDefault="008C5DD8" w:rsidP="00944ACB">
      <w:pPr>
        <w:rPr>
          <w:rFonts w:ascii="Calibri" w:hAnsi="Calibri" w:cs="Calibri"/>
          <w:sz w:val="24"/>
        </w:rPr>
      </w:pPr>
      <w:r w:rsidRPr="008D6704">
        <w:rPr>
          <w:rFonts w:ascii="Calibri" w:hAnsi="Calibri" w:cs="Calibri"/>
          <w:sz w:val="24"/>
        </w:rPr>
        <w:t>The following platforms should offer automatic sales tax exemption as long as your account is part of the USDA group:</w:t>
      </w:r>
    </w:p>
    <w:p w14:paraId="58C357D9" w14:textId="77777777" w:rsidR="00C1245E" w:rsidRPr="008D6704" w:rsidRDefault="00C1245E" w:rsidP="00944ACB">
      <w:pPr>
        <w:rPr>
          <w:rFonts w:ascii="Calibri" w:hAnsi="Calibri" w:cs="Calibri"/>
          <w:sz w:val="24"/>
        </w:rPr>
      </w:pPr>
    </w:p>
    <w:p w14:paraId="11DD9403" w14:textId="09A40981" w:rsidR="008C5DD8" w:rsidRDefault="00C1245E" w:rsidP="00944ACB">
      <w:pPr>
        <w:jc w:val="center"/>
      </w:pPr>
      <w:r w:rsidRPr="0025454F">
        <w:rPr>
          <w:noProof/>
        </w:rPr>
        <w:drawing>
          <wp:inline distT="0" distB="0" distL="0" distR="0" wp14:anchorId="12230E9D" wp14:editId="7A7AE003">
            <wp:extent cx="1898650" cy="1162050"/>
            <wp:effectExtent l="0" t="0" r="0" b="0"/>
            <wp:docPr id="5" name="Picture 3" descr="AbilityOne – Logos Download">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bilityOne – Logos Download">
                      <a:hlinkClick r:id="rId19"/>
                    </pic:cNvP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98650" cy="1162050"/>
                    </a:xfrm>
                    <a:prstGeom prst="rect">
                      <a:avLst/>
                    </a:prstGeom>
                    <a:noFill/>
                    <a:ln>
                      <a:noFill/>
                    </a:ln>
                  </pic:spPr>
                </pic:pic>
              </a:graphicData>
            </a:graphic>
          </wp:inline>
        </w:drawing>
      </w:r>
    </w:p>
    <w:p w14:paraId="28D3D7C4" w14:textId="77777777" w:rsidR="00C1245E" w:rsidRDefault="00C1245E" w:rsidP="00944ACB">
      <w:pPr>
        <w:jc w:val="center"/>
      </w:pPr>
    </w:p>
    <w:p w14:paraId="7C83F773" w14:textId="629D7A2B" w:rsidR="006C4AF1" w:rsidRDefault="00C1245E" w:rsidP="00944ACB">
      <w:pPr>
        <w:jc w:val="center"/>
        <w:rPr>
          <w:rFonts w:ascii="Calibri" w:hAnsi="Calibri" w:cs="Calibri"/>
          <w:sz w:val="24"/>
        </w:rPr>
      </w:pPr>
      <w:r w:rsidRPr="008D6704">
        <w:rPr>
          <w:rFonts w:ascii="Calibri" w:hAnsi="Calibri" w:cs="Calibri"/>
          <w:noProof/>
          <w:sz w:val="24"/>
        </w:rPr>
        <w:drawing>
          <wp:inline distT="0" distB="0" distL="0" distR="0" wp14:anchorId="65F4499E" wp14:editId="71880BFA">
            <wp:extent cx="1746250" cy="565150"/>
            <wp:effectExtent l="0" t="0" r="0" b="0"/>
            <wp:docPr id="6" name="Picture 8" descr="Uncior icon.">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8" descr="Uncior icon.">
                      <a:hlinkClick r:id="rId21"/>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746250" cy="565150"/>
                    </a:xfrm>
                    <a:prstGeom prst="rect">
                      <a:avLst/>
                    </a:prstGeom>
                    <a:noFill/>
                    <a:ln>
                      <a:noFill/>
                    </a:ln>
                  </pic:spPr>
                </pic:pic>
              </a:graphicData>
            </a:graphic>
          </wp:inline>
        </w:drawing>
      </w:r>
    </w:p>
    <w:p w14:paraId="5DEB16E3" w14:textId="77777777" w:rsidR="00C1245E" w:rsidRPr="008D6704" w:rsidRDefault="00C1245E" w:rsidP="00944ACB">
      <w:pPr>
        <w:jc w:val="center"/>
        <w:rPr>
          <w:rFonts w:ascii="Calibri" w:hAnsi="Calibri" w:cs="Calibri"/>
          <w:sz w:val="24"/>
        </w:rPr>
      </w:pPr>
    </w:p>
    <w:p w14:paraId="6DB8F81A" w14:textId="3B1BE3E3" w:rsidR="008C5DD8" w:rsidRDefault="00C1245E" w:rsidP="00944ACB">
      <w:pPr>
        <w:jc w:val="center"/>
      </w:pPr>
      <w:r w:rsidRPr="0025454F">
        <w:rPr>
          <w:noProof/>
        </w:rPr>
        <w:drawing>
          <wp:inline distT="0" distB="0" distL="0" distR="0" wp14:anchorId="67B90F28" wp14:editId="5588C1AD">
            <wp:extent cx="1854200" cy="908050"/>
            <wp:effectExtent l="0" t="0" r="0" b="0"/>
            <wp:docPr id="7" name="Picture 2" descr="2016 GSA Per Diem Rates – Government Contracting Tips">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16 GSA Per Diem Rates – Government Contracting Tips">
                      <a:hlinkClick r:id="rId23"/>
                    </pic:cNvPr>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54200" cy="908050"/>
                    </a:xfrm>
                    <a:prstGeom prst="rect">
                      <a:avLst/>
                    </a:prstGeom>
                    <a:noFill/>
                    <a:ln>
                      <a:noFill/>
                    </a:ln>
                  </pic:spPr>
                </pic:pic>
              </a:graphicData>
            </a:graphic>
          </wp:inline>
        </w:drawing>
      </w:r>
    </w:p>
    <w:p w14:paraId="6C12EB10" w14:textId="0CB61209" w:rsidR="008C5DD8" w:rsidRDefault="00C1245E" w:rsidP="00944ACB">
      <w:pPr>
        <w:jc w:val="center"/>
      </w:pPr>
      <w:r w:rsidRPr="0025454F">
        <w:rPr>
          <w:noProof/>
        </w:rPr>
        <w:drawing>
          <wp:inline distT="0" distB="0" distL="0" distR="0" wp14:anchorId="41876CCA" wp14:editId="52A315D1">
            <wp:extent cx="1841500" cy="908050"/>
            <wp:effectExtent l="0" t="0" r="0" b="0"/>
            <wp:docPr id="8" name="Picture 5" descr="Amazon Business Account Review - What is Amazon Business - YouTube">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mazon Business Account Review - What is Amazon Business - YouTube">
                      <a:hlinkClick r:id="rId25"/>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41500" cy="908050"/>
                    </a:xfrm>
                    <a:prstGeom prst="rect">
                      <a:avLst/>
                    </a:prstGeom>
                    <a:noFill/>
                    <a:ln>
                      <a:noFill/>
                    </a:ln>
                  </pic:spPr>
                </pic:pic>
              </a:graphicData>
            </a:graphic>
          </wp:inline>
        </w:drawing>
      </w:r>
    </w:p>
    <w:p w14:paraId="1B92707A" w14:textId="1E86EA19" w:rsidR="00C1245E" w:rsidRDefault="00C1245E" w:rsidP="00C1245E">
      <w:pPr>
        <w:jc w:val="center"/>
      </w:pPr>
      <w:r w:rsidRPr="0025454F">
        <w:rPr>
          <w:noProof/>
        </w:rPr>
        <w:drawing>
          <wp:inline distT="0" distB="0" distL="0" distR="0" wp14:anchorId="03655382" wp14:editId="04507AE2">
            <wp:extent cx="1860550" cy="971550"/>
            <wp:effectExtent l="0" t="0" r="0" b="0"/>
            <wp:docPr id="880504393" name="Picture 8" descr="Fournisseurs | Approvisionnements et logistique | Université d'Ottawa">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ournisseurs | Approvisionnements et logistique | Université d'Ottawa">
                      <a:hlinkClick r:id="rId27"/>
                    </pic:cNvPr>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860550" cy="971550"/>
                    </a:xfrm>
                    <a:prstGeom prst="rect">
                      <a:avLst/>
                    </a:prstGeom>
                    <a:noFill/>
                    <a:ln>
                      <a:noFill/>
                    </a:ln>
                  </pic:spPr>
                </pic:pic>
              </a:graphicData>
            </a:graphic>
          </wp:inline>
        </w:drawing>
      </w:r>
    </w:p>
    <w:p w14:paraId="1A59B173" w14:textId="77777777" w:rsidR="00C1245E" w:rsidRPr="00C1245E" w:rsidRDefault="00C1245E" w:rsidP="00C1245E">
      <w:pPr>
        <w:jc w:val="center"/>
      </w:pPr>
    </w:p>
    <w:p w14:paraId="5EA78D45" w14:textId="6852C5EF" w:rsidR="008C5DD8" w:rsidRPr="008D6704" w:rsidRDefault="00C1245E" w:rsidP="00944ACB">
      <w:pPr>
        <w:jc w:val="center"/>
        <w:rPr>
          <w:rFonts w:ascii="Calibri" w:hAnsi="Calibri" w:cs="Calibri"/>
          <w:sz w:val="24"/>
        </w:rPr>
      </w:pPr>
      <w:r w:rsidRPr="0025454F">
        <w:rPr>
          <w:noProof/>
        </w:rPr>
        <w:drawing>
          <wp:inline distT="0" distB="0" distL="0" distR="0" wp14:anchorId="614158B3" wp14:editId="65D817B6">
            <wp:extent cx="1981200" cy="450850"/>
            <wp:effectExtent l="0" t="0" r="0" b="0"/>
            <wp:docPr id="10" name="Picture 6" descr="Overstock.com image.">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6" descr="Overstock.com image.">
                      <a:hlinkClick r:id="rId29"/>
                    </pic:cNvPr>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981200" cy="450850"/>
                    </a:xfrm>
                    <a:prstGeom prst="rect">
                      <a:avLst/>
                    </a:prstGeom>
                    <a:noFill/>
                    <a:ln>
                      <a:noFill/>
                    </a:ln>
                  </pic:spPr>
                </pic:pic>
              </a:graphicData>
            </a:graphic>
          </wp:inline>
        </w:drawing>
      </w:r>
    </w:p>
    <w:sectPr w:rsidR="008C5DD8" w:rsidRPr="008D6704" w:rsidSect="00C1245E">
      <w:headerReference w:type="default" r:id="rId31"/>
      <w:footerReference w:type="default" r:id="rId32"/>
      <w:pgSz w:w="15840" w:h="12240" w:orient="landscape" w:code="1"/>
      <w:pgMar w:top="720" w:right="630" w:bottom="432" w:left="547" w:header="0" w:footer="274" w:gutter="0"/>
      <w:cols w:num="3" w:space="720" w:equalWidth="0">
        <w:col w:w="4223" w:space="810"/>
        <w:col w:w="4905" w:space="405"/>
        <w:col w:w="432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DC2909" w14:textId="77777777" w:rsidR="008D6704" w:rsidRDefault="008D6704">
      <w:r>
        <w:separator/>
      </w:r>
    </w:p>
  </w:endnote>
  <w:endnote w:type="continuationSeparator" w:id="0">
    <w:p w14:paraId="3E3C5EAC" w14:textId="77777777" w:rsidR="008D6704" w:rsidRDefault="008D67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FC5E1" w14:textId="77777777" w:rsidR="00736A86" w:rsidRDefault="00736A86">
    <w:pPr>
      <w:pStyle w:val="Footer"/>
      <w:tabs>
        <w:tab w:val="clear" w:pos="4320"/>
        <w:tab w:val="clear" w:pos="8640"/>
        <w:tab w:val="left" w:pos="2160"/>
        <w:tab w:val="center" w:pos="7380"/>
        <w:tab w:val="right" w:pos="12780"/>
      </w:tabs>
      <w:spacing w:before="60" w:after="0"/>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543CE" w14:textId="77777777" w:rsidR="008D6704" w:rsidRDefault="008D6704">
      <w:r>
        <w:separator/>
      </w:r>
    </w:p>
  </w:footnote>
  <w:footnote w:type="continuationSeparator" w:id="0">
    <w:p w14:paraId="49EFA16D" w14:textId="77777777" w:rsidR="008D6704" w:rsidRDefault="008D67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5A3ED" w14:textId="77777777" w:rsidR="00736A86" w:rsidRDefault="00736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C89EE7EA"/>
    <w:lvl w:ilvl="0">
      <w:start w:val="1"/>
      <w:numFmt w:val="lowerLetter"/>
      <w:pStyle w:val="ListNumber4"/>
      <w:lvlText w:val="%1."/>
      <w:lvlJc w:val="left"/>
      <w:pPr>
        <w:tabs>
          <w:tab w:val="num" w:pos="720"/>
        </w:tabs>
        <w:ind w:left="720" w:hanging="360"/>
      </w:pPr>
    </w:lvl>
  </w:abstractNum>
  <w:abstractNum w:abstractNumId="1" w15:restartNumberingAfterBreak="0">
    <w:nsid w:val="FFFFFF7E"/>
    <w:multiLevelType w:val="singleLevel"/>
    <w:tmpl w:val="C22EE924"/>
    <w:lvl w:ilvl="0">
      <w:start w:val="1"/>
      <w:numFmt w:val="decimal"/>
      <w:pStyle w:val="ListNumber3"/>
      <w:lvlText w:val="%1."/>
      <w:lvlJc w:val="left"/>
      <w:pPr>
        <w:tabs>
          <w:tab w:val="num" w:pos="1080"/>
        </w:tabs>
        <w:ind w:left="1080" w:hanging="360"/>
      </w:pPr>
    </w:lvl>
  </w:abstractNum>
  <w:abstractNum w:abstractNumId="2" w15:restartNumberingAfterBreak="0">
    <w:nsid w:val="FFFFFF7F"/>
    <w:multiLevelType w:val="singleLevel"/>
    <w:tmpl w:val="12AEF422"/>
    <w:lvl w:ilvl="0">
      <w:start w:val="1"/>
      <w:numFmt w:val="decimal"/>
      <w:pStyle w:val="ListNumber2"/>
      <w:lvlText w:val="%1."/>
      <w:lvlJc w:val="left"/>
      <w:pPr>
        <w:tabs>
          <w:tab w:val="num" w:pos="720"/>
        </w:tabs>
        <w:ind w:left="720" w:hanging="360"/>
      </w:pPr>
    </w:lvl>
  </w:abstractNum>
  <w:abstractNum w:abstractNumId="3" w15:restartNumberingAfterBreak="0">
    <w:nsid w:val="FFFFFF82"/>
    <w:multiLevelType w:val="singleLevel"/>
    <w:tmpl w:val="7A6E3764"/>
    <w:lvl w:ilvl="0">
      <w:start w:val="1"/>
      <w:numFmt w:val="bullet"/>
      <w:pStyle w:val="ListBullet3"/>
      <w:lvlText w:val=""/>
      <w:lvlJc w:val="left"/>
      <w:pPr>
        <w:tabs>
          <w:tab w:val="num" w:pos="1080"/>
        </w:tabs>
        <w:ind w:left="1080" w:hanging="360"/>
      </w:pPr>
      <w:rPr>
        <w:rFonts w:ascii="Symbol" w:hAnsi="Symbol" w:hint="default"/>
      </w:rPr>
    </w:lvl>
  </w:abstractNum>
  <w:abstractNum w:abstractNumId="4" w15:restartNumberingAfterBreak="0">
    <w:nsid w:val="FFFFFF83"/>
    <w:multiLevelType w:val="singleLevel"/>
    <w:tmpl w:val="87322116"/>
    <w:lvl w:ilvl="0">
      <w:start w:val="1"/>
      <w:numFmt w:val="bullet"/>
      <w:pStyle w:val="ListBullet2"/>
      <w:lvlText w:val=""/>
      <w:lvlJc w:val="left"/>
      <w:pPr>
        <w:tabs>
          <w:tab w:val="num" w:pos="720"/>
        </w:tabs>
        <w:ind w:left="720" w:hanging="360"/>
      </w:pPr>
      <w:rPr>
        <w:rFonts w:ascii="Symbol" w:hAnsi="Symbol" w:hint="default"/>
      </w:rPr>
    </w:lvl>
  </w:abstractNum>
  <w:abstractNum w:abstractNumId="5" w15:restartNumberingAfterBreak="0">
    <w:nsid w:val="FFFFFF88"/>
    <w:multiLevelType w:val="singleLevel"/>
    <w:tmpl w:val="199CF4F6"/>
    <w:lvl w:ilvl="0">
      <w:start w:val="1"/>
      <w:numFmt w:val="decimal"/>
      <w:pStyle w:val="ListNumber"/>
      <w:lvlText w:val="%1."/>
      <w:lvlJc w:val="left"/>
      <w:pPr>
        <w:tabs>
          <w:tab w:val="num" w:pos="360"/>
        </w:tabs>
        <w:ind w:left="360" w:hanging="360"/>
      </w:pPr>
      <w:rPr>
        <w:rFonts w:hint="default"/>
        <w:sz w:val="18"/>
      </w:rPr>
    </w:lvl>
  </w:abstractNum>
  <w:abstractNum w:abstractNumId="6" w15:restartNumberingAfterBreak="0">
    <w:nsid w:val="FFFFFF89"/>
    <w:multiLevelType w:val="singleLevel"/>
    <w:tmpl w:val="C1AECE54"/>
    <w:lvl w:ilvl="0">
      <w:start w:val="1"/>
      <w:numFmt w:val="bullet"/>
      <w:pStyle w:val="ListBullet"/>
      <w:lvlText w:val=""/>
      <w:lvlJc w:val="left"/>
      <w:pPr>
        <w:tabs>
          <w:tab w:val="num" w:pos="360"/>
        </w:tabs>
        <w:ind w:left="360" w:hanging="360"/>
      </w:pPr>
      <w:rPr>
        <w:rFonts w:ascii="Symbol" w:hAnsi="Symbol" w:hint="default"/>
        <w:color w:val="auto"/>
      </w:rPr>
    </w:lvl>
  </w:abstractNum>
  <w:abstractNum w:abstractNumId="7" w15:restartNumberingAfterBreak="0">
    <w:nsid w:val="146232E4"/>
    <w:multiLevelType w:val="hybridMultilevel"/>
    <w:tmpl w:val="026EB10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4A51476"/>
    <w:multiLevelType w:val="multilevel"/>
    <w:tmpl w:val="3A204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D922393"/>
    <w:multiLevelType w:val="singleLevel"/>
    <w:tmpl w:val="4DD2C498"/>
    <w:lvl w:ilvl="0">
      <w:start w:val="1"/>
      <w:numFmt w:val="decimal"/>
      <w:pStyle w:val="ListContinue"/>
      <w:lvlText w:val="%1. "/>
      <w:lvlJc w:val="left"/>
      <w:pPr>
        <w:tabs>
          <w:tab w:val="num" w:pos="720"/>
        </w:tabs>
        <w:ind w:left="720" w:hanging="720"/>
      </w:pPr>
    </w:lvl>
  </w:abstractNum>
  <w:num w:numId="1" w16cid:durableId="414983492">
    <w:abstractNumId w:val="9"/>
  </w:num>
  <w:num w:numId="2" w16cid:durableId="1417510467">
    <w:abstractNumId w:val="6"/>
  </w:num>
  <w:num w:numId="3" w16cid:durableId="686828629">
    <w:abstractNumId w:val="2"/>
  </w:num>
  <w:num w:numId="4" w16cid:durableId="1740707096">
    <w:abstractNumId w:val="4"/>
  </w:num>
  <w:num w:numId="5" w16cid:durableId="1576666369">
    <w:abstractNumId w:val="3"/>
  </w:num>
  <w:num w:numId="6" w16cid:durableId="901793219">
    <w:abstractNumId w:val="5"/>
  </w:num>
  <w:num w:numId="7" w16cid:durableId="38356639">
    <w:abstractNumId w:val="1"/>
  </w:num>
  <w:num w:numId="8" w16cid:durableId="262811495">
    <w:abstractNumId w:val="0"/>
  </w:num>
  <w:num w:numId="9" w16cid:durableId="841437623">
    <w:abstractNumId w:val="7"/>
  </w:num>
  <w:num w:numId="10" w16cid:durableId="84089978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794"/>
    <w:rsid w:val="00003DF3"/>
    <w:rsid w:val="00072012"/>
    <w:rsid w:val="000774BB"/>
    <w:rsid w:val="00083BFF"/>
    <w:rsid w:val="000B2584"/>
    <w:rsid w:val="000C3175"/>
    <w:rsid w:val="000D407F"/>
    <w:rsid w:val="001043C1"/>
    <w:rsid w:val="001238CB"/>
    <w:rsid w:val="00164C2F"/>
    <w:rsid w:val="001C57F2"/>
    <w:rsid w:val="001E54F3"/>
    <w:rsid w:val="0020724A"/>
    <w:rsid w:val="0023470A"/>
    <w:rsid w:val="002570B0"/>
    <w:rsid w:val="002624BF"/>
    <w:rsid w:val="002A5B77"/>
    <w:rsid w:val="002D02A4"/>
    <w:rsid w:val="002F6CF5"/>
    <w:rsid w:val="002F791D"/>
    <w:rsid w:val="00377E3A"/>
    <w:rsid w:val="00381E53"/>
    <w:rsid w:val="00385699"/>
    <w:rsid w:val="003C317C"/>
    <w:rsid w:val="003D2DF5"/>
    <w:rsid w:val="003D70B8"/>
    <w:rsid w:val="004200DB"/>
    <w:rsid w:val="00447492"/>
    <w:rsid w:val="00451954"/>
    <w:rsid w:val="00456C4F"/>
    <w:rsid w:val="00464270"/>
    <w:rsid w:val="00487B4A"/>
    <w:rsid w:val="004E4EE5"/>
    <w:rsid w:val="004F1863"/>
    <w:rsid w:val="00504962"/>
    <w:rsid w:val="005105F1"/>
    <w:rsid w:val="00522794"/>
    <w:rsid w:val="005260E6"/>
    <w:rsid w:val="00583A17"/>
    <w:rsid w:val="005B23CA"/>
    <w:rsid w:val="005D7166"/>
    <w:rsid w:val="005F1360"/>
    <w:rsid w:val="0060407B"/>
    <w:rsid w:val="00605124"/>
    <w:rsid w:val="00606C71"/>
    <w:rsid w:val="0063207A"/>
    <w:rsid w:val="00641CD6"/>
    <w:rsid w:val="0065051D"/>
    <w:rsid w:val="0066567F"/>
    <w:rsid w:val="00667F75"/>
    <w:rsid w:val="00672990"/>
    <w:rsid w:val="00693253"/>
    <w:rsid w:val="006B5244"/>
    <w:rsid w:val="006C4AF1"/>
    <w:rsid w:val="006D7B7E"/>
    <w:rsid w:val="006E5DD1"/>
    <w:rsid w:val="007049E1"/>
    <w:rsid w:val="0071460E"/>
    <w:rsid w:val="0072625B"/>
    <w:rsid w:val="00736A86"/>
    <w:rsid w:val="00742E3E"/>
    <w:rsid w:val="007C119F"/>
    <w:rsid w:val="007E748D"/>
    <w:rsid w:val="007F2E9B"/>
    <w:rsid w:val="007F71C4"/>
    <w:rsid w:val="00891DDB"/>
    <w:rsid w:val="008B3D3B"/>
    <w:rsid w:val="008C5DD8"/>
    <w:rsid w:val="008D6704"/>
    <w:rsid w:val="008F6C4F"/>
    <w:rsid w:val="00916D2F"/>
    <w:rsid w:val="0094450C"/>
    <w:rsid w:val="00944ACB"/>
    <w:rsid w:val="00951222"/>
    <w:rsid w:val="009E03CD"/>
    <w:rsid w:val="00A26FDD"/>
    <w:rsid w:val="00A979D6"/>
    <w:rsid w:val="00B163E1"/>
    <w:rsid w:val="00B27D00"/>
    <w:rsid w:val="00B34126"/>
    <w:rsid w:val="00B8178D"/>
    <w:rsid w:val="00B91139"/>
    <w:rsid w:val="00BB0AB5"/>
    <w:rsid w:val="00BB6B59"/>
    <w:rsid w:val="00BC04F9"/>
    <w:rsid w:val="00BF17F3"/>
    <w:rsid w:val="00C1245E"/>
    <w:rsid w:val="00C321C9"/>
    <w:rsid w:val="00C3287C"/>
    <w:rsid w:val="00C3708B"/>
    <w:rsid w:val="00C37243"/>
    <w:rsid w:val="00C54586"/>
    <w:rsid w:val="00C57C0E"/>
    <w:rsid w:val="00CB4752"/>
    <w:rsid w:val="00CF7E40"/>
    <w:rsid w:val="00D313C0"/>
    <w:rsid w:val="00D82147"/>
    <w:rsid w:val="00D83F77"/>
    <w:rsid w:val="00DA569B"/>
    <w:rsid w:val="00DB6932"/>
    <w:rsid w:val="00DC37E5"/>
    <w:rsid w:val="00DF5CB6"/>
    <w:rsid w:val="00E47325"/>
    <w:rsid w:val="00E560B6"/>
    <w:rsid w:val="00EA7422"/>
    <w:rsid w:val="00F17EAF"/>
    <w:rsid w:val="00FE417F"/>
    <w:rsid w:val="00FE46B0"/>
    <w:rsid w:val="00FF08D8"/>
    <w:rsid w:val="00FF55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EFE3424"/>
  <w15:chartTrackingRefBased/>
  <w15:docId w15:val="{09A21D57-9262-463C-803D-AED6BD58D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60"/>
    </w:pPr>
    <w:rPr>
      <w:rFonts w:ascii="Tahoma" w:hAnsi="Tahoma"/>
      <w:sz w:val="18"/>
      <w:szCs w:val="24"/>
    </w:rPr>
  </w:style>
  <w:style w:type="paragraph" w:styleId="Heading1">
    <w:name w:val="heading 1"/>
    <w:basedOn w:val="Normal"/>
    <w:next w:val="Normal"/>
    <w:qFormat/>
    <w:pPr>
      <w:keepNext/>
      <w:spacing w:before="120"/>
      <w:outlineLvl w:val="0"/>
    </w:pPr>
    <w:rPr>
      <w:rFonts w:cs="Arial"/>
      <w:b/>
      <w:bCs/>
      <w:kern w:val="32"/>
      <w:sz w:val="28"/>
      <w:szCs w:val="32"/>
    </w:rPr>
  </w:style>
  <w:style w:type="paragraph" w:styleId="Heading2">
    <w:name w:val="heading 2"/>
    <w:basedOn w:val="Normal"/>
    <w:next w:val="Normal"/>
    <w:qFormat/>
    <w:pPr>
      <w:keepNext/>
      <w:spacing w:before="120"/>
      <w:outlineLvl w:val="1"/>
    </w:pPr>
    <w:rPr>
      <w:rFonts w:cs="Arial"/>
      <w:b/>
      <w:bCs/>
      <w:i/>
      <w:iCs/>
      <w:sz w:val="20"/>
      <w:szCs w:val="28"/>
    </w:rPr>
  </w:style>
  <w:style w:type="paragraph" w:styleId="Heading3">
    <w:name w:val="heading 3"/>
    <w:basedOn w:val="Normal"/>
    <w:next w:val="Normal"/>
    <w:qFormat/>
    <w:pPr>
      <w:keepNext/>
      <w:outlineLvl w:val="2"/>
    </w:pPr>
    <w:rPr>
      <w:u w:val="single"/>
    </w:rPr>
  </w:style>
  <w:style w:type="paragraph" w:styleId="Heading4">
    <w:name w:val="heading 4"/>
    <w:basedOn w:val="Normal"/>
    <w:next w:val="Normal"/>
    <w:qFormat/>
    <w:pPr>
      <w:keepNext/>
      <w:outlineLvl w:val="3"/>
    </w:pPr>
    <w:rPr>
      <w:bCs/>
      <w:i/>
      <w:sz w:val="26"/>
      <w:szCs w:val="28"/>
    </w:rPr>
  </w:style>
  <w:style w:type="paragraph" w:styleId="Heading5">
    <w:name w:val="heading 5"/>
    <w:basedOn w:val="Normal"/>
    <w:next w:val="Normal"/>
    <w:qFormat/>
    <w:pPr>
      <w:outlineLvl w:val="4"/>
    </w:pPr>
    <w:rPr>
      <w:bCs/>
      <w:i/>
      <w:iCs/>
      <w:sz w:val="26"/>
      <w:szCs w:val="26"/>
    </w:rPr>
  </w:style>
  <w:style w:type="paragraph" w:styleId="Heading6">
    <w:name w:val="heading 6"/>
    <w:basedOn w:val="Normal"/>
    <w:next w:val="Normal"/>
    <w:qFormat/>
    <w:pPr>
      <w:keepNext/>
      <w:outlineLvl w:val="5"/>
    </w:pPr>
    <w:rPr>
      <w:i/>
    </w:rPr>
  </w:style>
  <w:style w:type="paragraph" w:styleId="Heading7">
    <w:name w:val="heading 7"/>
    <w:basedOn w:val="Normal"/>
    <w:next w:val="Normal"/>
    <w:qFormat/>
    <w:pPr>
      <w:outlineLvl w:val="6"/>
    </w:pPr>
    <w:rPr>
      <w:i/>
    </w:rPr>
  </w:style>
  <w:style w:type="paragraph" w:styleId="Heading8">
    <w:name w:val="heading 8"/>
    <w:basedOn w:val="Normal"/>
    <w:next w:val="Normal"/>
    <w:qFormat/>
    <w:pPr>
      <w:outlineLvl w:val="7"/>
    </w:pPr>
    <w:rPr>
      <w:i/>
      <w:iCs/>
    </w:rPr>
  </w:style>
  <w:style w:type="paragraph" w:styleId="Heading9">
    <w:name w:val="heading 9"/>
    <w:basedOn w:val="Normal"/>
    <w:next w:val="Normal"/>
    <w:qFormat/>
    <w:pPr>
      <w:keepNext/>
      <w:jc w:val="center"/>
      <w:outlineLvl w:val="8"/>
    </w:pPr>
    <w:rPr>
      <w:rFonts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4">
    <w:name w:val="List Number 4"/>
    <w:basedOn w:val="Normal"/>
    <w:pPr>
      <w:widowControl w:val="0"/>
      <w:numPr>
        <w:numId w:val="8"/>
      </w:numPr>
      <w:tabs>
        <w:tab w:val="right" w:pos="9360"/>
      </w:tabs>
    </w:pPr>
    <w:rPr>
      <w:snapToGrid w:val="0"/>
    </w:rPr>
  </w:style>
  <w:style w:type="paragraph" w:styleId="ListContinue">
    <w:name w:val="List Continue"/>
    <w:basedOn w:val="Normal"/>
    <w:pPr>
      <w:widowControl w:val="0"/>
      <w:numPr>
        <w:numId w:val="1"/>
      </w:numPr>
      <w:spacing w:after="120"/>
    </w:pPr>
    <w:rPr>
      <w:snapToGrid w:val="0"/>
      <w:sz w:val="24"/>
    </w:rPr>
  </w:style>
  <w:style w:type="paragraph" w:styleId="BodyText">
    <w:name w:val="Body Text"/>
    <w:basedOn w:val="Normal"/>
    <w:rPr>
      <w:sz w:val="16"/>
    </w:rPr>
  </w:style>
  <w:style w:type="paragraph" w:styleId="ListBullet">
    <w:name w:val="List Bullet"/>
    <w:basedOn w:val="Normal"/>
    <w:pPr>
      <w:numPr>
        <w:numId w:val="2"/>
      </w:numPr>
    </w:pPr>
    <w:rPr>
      <w:sz w:val="16"/>
    </w:rPr>
  </w:style>
  <w:style w:type="paragraph" w:styleId="ListBullet2">
    <w:name w:val="List Bullet 2"/>
    <w:basedOn w:val="Normal"/>
    <w:pPr>
      <w:numPr>
        <w:numId w:val="4"/>
      </w:numPr>
    </w:pPr>
    <w:rPr>
      <w:sz w:val="16"/>
    </w:rPr>
  </w:style>
  <w:style w:type="paragraph" w:styleId="ListBullet3">
    <w:name w:val="List Bullet 3"/>
    <w:basedOn w:val="Normal"/>
    <w:autoRedefine/>
    <w:pPr>
      <w:numPr>
        <w:numId w:val="5"/>
      </w:numPr>
    </w:pPr>
  </w:style>
  <w:style w:type="paragraph" w:styleId="ListNumber2">
    <w:name w:val="List Number 2"/>
    <w:basedOn w:val="Normal"/>
    <w:pPr>
      <w:numPr>
        <w:numId w:val="3"/>
      </w:numPr>
    </w:pPr>
    <w:rPr>
      <w:sz w:val="20"/>
    </w:rPr>
  </w:style>
  <w:style w:type="paragraph" w:styleId="BodyTextIndent">
    <w:name w:val="Body Text Indent"/>
    <w:basedOn w:val="Normal"/>
    <w:pPr>
      <w:ind w:left="360"/>
    </w:pPr>
    <w:rPr>
      <w:sz w:val="20"/>
    </w:rPr>
  </w:style>
  <w:style w:type="paragraph" w:styleId="ListNumber">
    <w:name w:val="List Number"/>
    <w:basedOn w:val="Normal"/>
    <w:pPr>
      <w:numPr>
        <w:numId w:val="6"/>
      </w:numPr>
    </w:pPr>
  </w:style>
  <w:style w:type="paragraph" w:styleId="ListNumber3">
    <w:name w:val="List Number 3"/>
    <w:basedOn w:val="Normal"/>
    <w:pPr>
      <w:numPr>
        <w:numId w:val="7"/>
      </w:numPr>
    </w:pPr>
  </w:style>
  <w:style w:type="paragraph" w:styleId="NormalWeb">
    <w:name w:val="Normal (Web)"/>
    <w:basedOn w:val="Normal"/>
    <w:uiPriority w:val="99"/>
  </w:style>
  <w:style w:type="paragraph" w:styleId="Title">
    <w:name w:val="Title"/>
    <w:basedOn w:val="Normal"/>
    <w:qFormat/>
    <w:pPr>
      <w:jc w:val="center"/>
      <w:outlineLvl w:val="0"/>
    </w:pPr>
    <w:rPr>
      <w:rFonts w:ascii="Arial" w:hAnsi="Arial" w:cs="Arial"/>
      <w:b/>
      <w:bCs/>
      <w:kern w:val="28"/>
      <w:sz w:val="32"/>
      <w:szCs w:val="32"/>
    </w:rPr>
  </w:style>
  <w:style w:type="paragraph" w:styleId="BodyText2">
    <w:name w:val="Body Text 2"/>
    <w:basedOn w:val="Normal"/>
    <w:rPr>
      <w:b/>
      <w:bCs/>
      <w:sz w:val="3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character" w:styleId="FollowedHyperlink">
    <w:name w:val="FollowedHyperlink"/>
    <w:rPr>
      <w:color w:val="800080"/>
      <w:u w:val="single"/>
    </w:rPr>
  </w:style>
  <w:style w:type="paragraph" w:styleId="TOC7">
    <w:name w:val="toc 7"/>
    <w:basedOn w:val="Normal"/>
    <w:next w:val="Normal"/>
    <w:autoRedefine/>
    <w:semiHidden/>
    <w:pPr>
      <w:spacing w:after="0"/>
      <w:ind w:left="1320"/>
    </w:pPr>
    <w:rPr>
      <w:rFonts w:ascii="Times New Roman" w:hAnsi="Times New Roman"/>
      <w:szCs w:val="21"/>
    </w:rPr>
  </w:style>
  <w:style w:type="character" w:styleId="PageNumber">
    <w:name w:val="page number"/>
    <w:basedOn w:val="DefaultParagraphFont"/>
  </w:style>
  <w:style w:type="paragraph" w:styleId="TOC4">
    <w:name w:val="toc 4"/>
    <w:basedOn w:val="Normal"/>
    <w:next w:val="Normal"/>
    <w:autoRedefine/>
    <w:semiHidden/>
    <w:pPr>
      <w:spacing w:after="120"/>
      <w:ind w:left="720"/>
    </w:pPr>
    <w:rPr>
      <w:rFonts w:ascii="Times New Roman" w:hAnsi="Times New Roman"/>
    </w:rPr>
  </w:style>
  <w:style w:type="paragraph" w:customStyle="1" w:styleId="WW-NormalWeb">
    <w:name w:val="WW-Normal (Web)"/>
    <w:basedOn w:val="Normal"/>
    <w:rsid w:val="00D83F77"/>
    <w:pPr>
      <w:suppressAutoHyphens/>
      <w:overflowPunct w:val="0"/>
      <w:autoSpaceDE w:val="0"/>
      <w:autoSpaceDN w:val="0"/>
      <w:adjustRightInd w:val="0"/>
      <w:spacing w:before="75" w:after="75"/>
      <w:ind w:left="75" w:right="45"/>
      <w:textAlignment w:val="baseline"/>
    </w:pPr>
    <w:rPr>
      <w:rFonts w:ascii="Verdana" w:hAnsi="Verdana"/>
      <w:color w:val="000000"/>
      <w:sz w:val="17"/>
      <w:szCs w:val="20"/>
    </w:rPr>
  </w:style>
  <w:style w:type="character" w:styleId="Strong">
    <w:name w:val="Strong"/>
    <w:qFormat/>
    <w:rsid w:val="00667F75"/>
    <w:rPr>
      <w:b/>
    </w:rPr>
  </w:style>
  <w:style w:type="paragraph" w:customStyle="1" w:styleId="numbindentedheaders">
    <w:name w:val="numb indented headers"/>
    <w:basedOn w:val="Heading3"/>
    <w:rsid w:val="00667F75"/>
    <w:pPr>
      <w:tabs>
        <w:tab w:val="left" w:pos="1080"/>
      </w:tabs>
      <w:suppressAutoHyphens/>
      <w:overflowPunct w:val="0"/>
      <w:autoSpaceDE w:val="0"/>
      <w:autoSpaceDN w:val="0"/>
      <w:adjustRightInd w:val="0"/>
      <w:spacing w:after="120"/>
      <w:ind w:left="720"/>
      <w:textAlignment w:val="baseline"/>
    </w:pPr>
    <w:rPr>
      <w:rFonts w:ascii="Verdana" w:hAnsi="Verdana"/>
      <w:b/>
      <w:sz w:val="21"/>
      <w:szCs w:val="21"/>
      <w:u w:val="none"/>
    </w:rPr>
  </w:style>
  <w:style w:type="character" w:styleId="UnresolvedMention">
    <w:name w:val="Unresolved Mention"/>
    <w:uiPriority w:val="99"/>
    <w:semiHidden/>
    <w:unhideWhenUsed/>
    <w:rsid w:val="0060407B"/>
    <w:rPr>
      <w:color w:val="605E5C"/>
      <w:shd w:val="clear" w:color="auto" w:fill="E1DFDD"/>
    </w:rPr>
  </w:style>
  <w:style w:type="character" w:styleId="CommentReference">
    <w:name w:val="annotation reference"/>
    <w:basedOn w:val="DefaultParagraphFont"/>
    <w:uiPriority w:val="99"/>
    <w:semiHidden/>
    <w:unhideWhenUsed/>
    <w:rsid w:val="00C1245E"/>
    <w:rPr>
      <w:sz w:val="16"/>
      <w:szCs w:val="16"/>
    </w:rPr>
  </w:style>
  <w:style w:type="paragraph" w:styleId="CommentText">
    <w:name w:val="annotation text"/>
    <w:basedOn w:val="Normal"/>
    <w:link w:val="CommentTextChar"/>
    <w:uiPriority w:val="99"/>
    <w:unhideWhenUsed/>
    <w:rsid w:val="00C1245E"/>
    <w:rPr>
      <w:sz w:val="20"/>
      <w:szCs w:val="20"/>
    </w:rPr>
  </w:style>
  <w:style w:type="character" w:customStyle="1" w:styleId="CommentTextChar">
    <w:name w:val="Comment Text Char"/>
    <w:basedOn w:val="DefaultParagraphFont"/>
    <w:link w:val="CommentText"/>
    <w:uiPriority w:val="99"/>
    <w:rsid w:val="00C1245E"/>
    <w:rPr>
      <w:rFonts w:ascii="Tahoma" w:hAnsi="Tahoma"/>
    </w:rPr>
  </w:style>
  <w:style w:type="paragraph" w:styleId="CommentSubject">
    <w:name w:val="annotation subject"/>
    <w:basedOn w:val="CommentText"/>
    <w:next w:val="CommentText"/>
    <w:link w:val="CommentSubjectChar"/>
    <w:uiPriority w:val="99"/>
    <w:semiHidden/>
    <w:unhideWhenUsed/>
    <w:rsid w:val="00C1245E"/>
    <w:rPr>
      <w:b/>
      <w:bCs/>
    </w:rPr>
  </w:style>
  <w:style w:type="character" w:customStyle="1" w:styleId="CommentSubjectChar">
    <w:name w:val="Comment Subject Char"/>
    <w:basedOn w:val="CommentTextChar"/>
    <w:link w:val="CommentSubject"/>
    <w:uiPriority w:val="99"/>
    <w:semiHidden/>
    <w:rsid w:val="00C1245E"/>
    <w:rPr>
      <w:rFonts w:ascii="Tahoma" w:hAnsi="Tahoma"/>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771746">
      <w:bodyDiv w:val="1"/>
      <w:marLeft w:val="0"/>
      <w:marRight w:val="0"/>
      <w:marTop w:val="0"/>
      <w:marBottom w:val="0"/>
      <w:divBdr>
        <w:top w:val="none" w:sz="0" w:space="0" w:color="auto"/>
        <w:left w:val="none" w:sz="0" w:space="0" w:color="auto"/>
        <w:bottom w:val="none" w:sz="0" w:space="0" w:color="auto"/>
        <w:right w:val="none" w:sz="0" w:space="0" w:color="auto"/>
      </w:divBdr>
      <w:divsChild>
        <w:div w:id="954794615">
          <w:marLeft w:val="0"/>
          <w:marRight w:val="0"/>
          <w:marTop w:val="0"/>
          <w:marBottom w:val="0"/>
          <w:divBdr>
            <w:top w:val="none" w:sz="0" w:space="0" w:color="auto"/>
            <w:left w:val="none" w:sz="0" w:space="0" w:color="auto"/>
            <w:bottom w:val="none" w:sz="0" w:space="0" w:color="auto"/>
            <w:right w:val="none" w:sz="0" w:space="0" w:color="auto"/>
          </w:divBdr>
          <w:divsChild>
            <w:div w:id="208762698">
              <w:marLeft w:val="0"/>
              <w:marRight w:val="0"/>
              <w:marTop w:val="0"/>
              <w:marBottom w:val="0"/>
              <w:divBdr>
                <w:top w:val="none" w:sz="0" w:space="0" w:color="auto"/>
                <w:left w:val="none" w:sz="0" w:space="0" w:color="auto"/>
                <w:bottom w:val="none" w:sz="0" w:space="0" w:color="auto"/>
                <w:right w:val="none" w:sz="0" w:space="0" w:color="auto"/>
              </w:divBdr>
            </w:div>
            <w:div w:id="551035857">
              <w:marLeft w:val="0"/>
              <w:marRight w:val="0"/>
              <w:marTop w:val="0"/>
              <w:marBottom w:val="0"/>
              <w:divBdr>
                <w:top w:val="none" w:sz="0" w:space="0" w:color="auto"/>
                <w:left w:val="none" w:sz="0" w:space="0" w:color="auto"/>
                <w:bottom w:val="none" w:sz="0" w:space="0" w:color="auto"/>
                <w:right w:val="none" w:sz="0" w:space="0" w:color="auto"/>
              </w:divBdr>
            </w:div>
            <w:div w:id="746269567">
              <w:marLeft w:val="0"/>
              <w:marRight w:val="0"/>
              <w:marTop w:val="0"/>
              <w:marBottom w:val="0"/>
              <w:divBdr>
                <w:top w:val="none" w:sz="0" w:space="0" w:color="auto"/>
                <w:left w:val="none" w:sz="0" w:space="0" w:color="auto"/>
                <w:bottom w:val="none" w:sz="0" w:space="0" w:color="auto"/>
                <w:right w:val="none" w:sz="0" w:space="0" w:color="auto"/>
              </w:divBdr>
            </w:div>
            <w:div w:id="1049454313">
              <w:marLeft w:val="0"/>
              <w:marRight w:val="0"/>
              <w:marTop w:val="0"/>
              <w:marBottom w:val="0"/>
              <w:divBdr>
                <w:top w:val="none" w:sz="0" w:space="0" w:color="auto"/>
                <w:left w:val="none" w:sz="0" w:space="0" w:color="auto"/>
                <w:bottom w:val="none" w:sz="0" w:space="0" w:color="auto"/>
                <w:right w:val="none" w:sz="0" w:space="0" w:color="auto"/>
              </w:divBdr>
            </w:div>
            <w:div w:id="188313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080861">
      <w:bodyDiv w:val="1"/>
      <w:marLeft w:val="0"/>
      <w:marRight w:val="0"/>
      <w:marTop w:val="0"/>
      <w:marBottom w:val="0"/>
      <w:divBdr>
        <w:top w:val="none" w:sz="0" w:space="0" w:color="auto"/>
        <w:left w:val="none" w:sz="0" w:space="0" w:color="auto"/>
        <w:bottom w:val="none" w:sz="0" w:space="0" w:color="auto"/>
        <w:right w:val="none" w:sz="0" w:space="0" w:color="auto"/>
      </w:divBdr>
    </w:div>
    <w:div w:id="1296448564">
      <w:bodyDiv w:val="1"/>
      <w:marLeft w:val="0"/>
      <w:marRight w:val="0"/>
      <w:marTop w:val="0"/>
      <w:marBottom w:val="0"/>
      <w:divBdr>
        <w:top w:val="none" w:sz="0" w:space="0" w:color="auto"/>
        <w:left w:val="none" w:sz="0" w:space="0" w:color="auto"/>
        <w:bottom w:val="none" w:sz="0" w:space="0" w:color="auto"/>
        <w:right w:val="none" w:sz="0" w:space="0" w:color="auto"/>
      </w:divBdr>
    </w:div>
    <w:div w:id="1444574459">
      <w:bodyDiv w:val="1"/>
      <w:marLeft w:val="0"/>
      <w:marRight w:val="0"/>
      <w:marTop w:val="0"/>
      <w:marBottom w:val="0"/>
      <w:divBdr>
        <w:top w:val="none" w:sz="0" w:space="0" w:color="auto"/>
        <w:left w:val="none" w:sz="0" w:space="0" w:color="auto"/>
        <w:bottom w:val="none" w:sz="0" w:space="0" w:color="auto"/>
        <w:right w:val="none" w:sz="0" w:space="0" w:color="auto"/>
      </w:divBdr>
    </w:div>
    <w:div w:id="2033264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archives.gov/milestone-documents/mcculloch-v-maryland" TargetMode="External"/><Relationship Id="rId18" Type="http://schemas.openxmlformats.org/officeDocument/2006/relationships/hyperlink" Target="https://smartpay.gsa.gov/faq/" TargetMode="External"/><Relationship Id="rId26"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hyperlink" Target="https://www.unicor.gov/FederalCustomers.aspx"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archives.gov/founding-docs/constitution-transcript" TargetMode="External"/><Relationship Id="rId17" Type="http://schemas.openxmlformats.org/officeDocument/2006/relationships/hyperlink" Target="https://smartpay.gsa.gov/smarttax/" TargetMode="External"/><Relationship Id="rId25" Type="http://schemas.openxmlformats.org/officeDocument/2006/relationships/hyperlink" Target="https://www.amazon.com/businessprime"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5.jpeg"/><Relationship Id="rId29" Type="http://schemas.openxmlformats.org/officeDocument/2006/relationships/hyperlink" Target="https://www.overstockgovernment.com/hom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7.jpeg"/><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https://smartpay.gsa.gov/images/red-card.png" TargetMode="External"/><Relationship Id="rId23" Type="http://schemas.openxmlformats.org/officeDocument/2006/relationships/hyperlink" Target="https://www.gsa.gov/" TargetMode="External"/><Relationship Id="rId28" Type="http://schemas.openxmlformats.org/officeDocument/2006/relationships/image" Target="media/image9.jpeg"/><Relationship Id="rId10" Type="http://schemas.openxmlformats.org/officeDocument/2006/relationships/image" Target="media/image1.wmf"/><Relationship Id="rId19" Type="http://schemas.openxmlformats.org/officeDocument/2006/relationships/hyperlink" Target="https://www.abilityone.gov/"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martpay.gsa.gov/files/smartpay-vendor-guide.pdf" TargetMode="External"/><Relationship Id="rId14" Type="http://schemas.openxmlformats.org/officeDocument/2006/relationships/image" Target="media/image3.png"/><Relationship Id="rId22" Type="http://schemas.openxmlformats.org/officeDocument/2006/relationships/image" Target="media/image6.png"/><Relationship Id="rId27" Type="http://schemas.openxmlformats.org/officeDocument/2006/relationships/hyperlink" Target="https://www.fishersci.com/us/en/scientific-products/industries/government-resource-center.html" TargetMode="External"/><Relationship Id="rId30" Type="http://schemas.openxmlformats.org/officeDocument/2006/relationships/image" Target="media/image10.jpeg"/><Relationship Id="rId8" Type="http://schemas.openxmlformats.org/officeDocument/2006/relationships/hyperlink" Target="https://smartpay.gsa.gov/merchant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y%20Documents\USDA%20Docs\Fleet%20Guides\TR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D3EE44-BCE9-44EF-8A8F-FE27D09D46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TRI</Template>
  <TotalTime>2</TotalTime>
  <Pages>2</Pages>
  <Words>556</Words>
  <Characters>3932</Characters>
  <Application>Microsoft Office Word</Application>
  <DocSecurity>0</DocSecurity>
  <Lines>32</Lines>
  <Paragraphs>8</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4480</CharactersWithSpaces>
  <SharedDoc>false</SharedDoc>
  <HLinks>
    <vt:vector size="108" baseType="variant">
      <vt:variant>
        <vt:i4>6225987</vt:i4>
      </vt:variant>
      <vt:variant>
        <vt:i4>36</vt:i4>
      </vt:variant>
      <vt:variant>
        <vt:i4>0</vt:i4>
      </vt:variant>
      <vt:variant>
        <vt:i4>5</vt:i4>
      </vt:variant>
      <vt:variant>
        <vt:lpwstr>https://www.overstockgovernment.com/home</vt:lpwstr>
      </vt:variant>
      <vt:variant>
        <vt:lpwstr/>
      </vt:variant>
      <vt:variant>
        <vt:i4>3276832</vt:i4>
      </vt:variant>
      <vt:variant>
        <vt:i4>33</vt:i4>
      </vt:variant>
      <vt:variant>
        <vt:i4>0</vt:i4>
      </vt:variant>
      <vt:variant>
        <vt:i4>5</vt:i4>
      </vt:variant>
      <vt:variant>
        <vt:lpwstr>https://www.fishersci.com/us/en/scientific-products/industries/government-resource-center.html</vt:lpwstr>
      </vt:variant>
      <vt:variant>
        <vt:lpwstr/>
      </vt:variant>
      <vt:variant>
        <vt:i4>5505147</vt:i4>
      </vt:variant>
      <vt:variant>
        <vt:i4>30</vt:i4>
      </vt:variant>
      <vt:variant>
        <vt:i4>0</vt:i4>
      </vt:variant>
      <vt:variant>
        <vt:i4>5</vt:i4>
      </vt:variant>
      <vt:variant>
        <vt:lpwstr>https://www.amazon.com/bb/feature/sso/action/start?domain_hint=bde4f0cf-a0ab-49ff-9c9b-d9713e579c6a&amp;ref_=b2b_sso_dl_atv</vt:lpwstr>
      </vt:variant>
      <vt:variant>
        <vt:lpwstr/>
      </vt:variant>
      <vt:variant>
        <vt:i4>5701649</vt:i4>
      </vt:variant>
      <vt:variant>
        <vt:i4>27</vt:i4>
      </vt:variant>
      <vt:variant>
        <vt:i4>0</vt:i4>
      </vt:variant>
      <vt:variant>
        <vt:i4>5</vt:i4>
      </vt:variant>
      <vt:variant>
        <vt:lpwstr>https://www.gsaadvantage.gov/</vt:lpwstr>
      </vt:variant>
      <vt:variant>
        <vt:lpwstr/>
      </vt:variant>
      <vt:variant>
        <vt:i4>65604</vt:i4>
      </vt:variant>
      <vt:variant>
        <vt:i4>24</vt:i4>
      </vt:variant>
      <vt:variant>
        <vt:i4>0</vt:i4>
      </vt:variant>
      <vt:variant>
        <vt:i4>5</vt:i4>
      </vt:variant>
      <vt:variant>
        <vt:lpwstr>https://www.unicor.gov/FederalCustomers.aspx</vt:lpwstr>
      </vt:variant>
      <vt:variant>
        <vt:lpwstr/>
      </vt:variant>
      <vt:variant>
        <vt:i4>2687095</vt:i4>
      </vt:variant>
      <vt:variant>
        <vt:i4>21</vt:i4>
      </vt:variant>
      <vt:variant>
        <vt:i4>0</vt:i4>
      </vt:variant>
      <vt:variant>
        <vt:i4>5</vt:i4>
      </vt:variant>
      <vt:variant>
        <vt:lpwstr>https://www.abilityone.gov/</vt:lpwstr>
      </vt:variant>
      <vt:variant>
        <vt:lpwstr/>
      </vt:variant>
      <vt:variant>
        <vt:i4>1376268</vt:i4>
      </vt:variant>
      <vt:variant>
        <vt:i4>18</vt:i4>
      </vt:variant>
      <vt:variant>
        <vt:i4>0</vt:i4>
      </vt:variant>
      <vt:variant>
        <vt:i4>5</vt:i4>
      </vt:variant>
      <vt:variant>
        <vt:lpwstr>https://smartpay.gsa.gov/faq/</vt:lpwstr>
      </vt:variant>
      <vt:variant>
        <vt:lpwstr>purchase</vt:lpwstr>
      </vt:variant>
      <vt:variant>
        <vt:i4>3670119</vt:i4>
      </vt:variant>
      <vt:variant>
        <vt:i4>15</vt:i4>
      </vt:variant>
      <vt:variant>
        <vt:i4>0</vt:i4>
      </vt:variant>
      <vt:variant>
        <vt:i4>5</vt:i4>
      </vt:variant>
      <vt:variant>
        <vt:lpwstr>https://smartpay.gsa.gov/smarttax/</vt:lpwstr>
      </vt:variant>
      <vt:variant>
        <vt:lpwstr/>
      </vt:variant>
      <vt:variant>
        <vt:i4>4653151</vt:i4>
      </vt:variant>
      <vt:variant>
        <vt:i4>9</vt:i4>
      </vt:variant>
      <vt:variant>
        <vt:i4>0</vt:i4>
      </vt:variant>
      <vt:variant>
        <vt:i4>5</vt:i4>
      </vt:variant>
      <vt:variant>
        <vt:lpwstr>https://www.archives.gov/milestone-documents/mcculloch-v-maryland</vt:lpwstr>
      </vt:variant>
      <vt:variant>
        <vt:lpwstr/>
      </vt:variant>
      <vt:variant>
        <vt:i4>3604580</vt:i4>
      </vt:variant>
      <vt:variant>
        <vt:i4>6</vt:i4>
      </vt:variant>
      <vt:variant>
        <vt:i4>0</vt:i4>
      </vt:variant>
      <vt:variant>
        <vt:i4>5</vt:i4>
      </vt:variant>
      <vt:variant>
        <vt:lpwstr>https://www.archives.gov/founding-docs/constitution-transcript</vt:lpwstr>
      </vt:variant>
      <vt:variant>
        <vt:lpwstr/>
      </vt:variant>
      <vt:variant>
        <vt:i4>5046336</vt:i4>
      </vt:variant>
      <vt:variant>
        <vt:i4>3</vt:i4>
      </vt:variant>
      <vt:variant>
        <vt:i4>0</vt:i4>
      </vt:variant>
      <vt:variant>
        <vt:i4>5</vt:i4>
      </vt:variant>
      <vt:variant>
        <vt:lpwstr>https://smartpay.gsa.gov/files/smartpay-vendor-guide.pdf</vt:lpwstr>
      </vt:variant>
      <vt:variant>
        <vt:lpwstr/>
      </vt:variant>
      <vt:variant>
        <vt:i4>7995495</vt:i4>
      </vt:variant>
      <vt:variant>
        <vt:i4>0</vt:i4>
      </vt:variant>
      <vt:variant>
        <vt:i4>0</vt:i4>
      </vt:variant>
      <vt:variant>
        <vt:i4>5</vt:i4>
      </vt:variant>
      <vt:variant>
        <vt:lpwstr>https://smartpay.gsa.gov/merchants/</vt:lpwstr>
      </vt:variant>
      <vt:variant>
        <vt:lpwstr/>
      </vt:variant>
      <vt:variant>
        <vt:i4>2687095</vt:i4>
      </vt:variant>
      <vt:variant>
        <vt:i4>6389</vt:i4>
      </vt:variant>
      <vt:variant>
        <vt:i4>1043</vt:i4>
      </vt:variant>
      <vt:variant>
        <vt:i4>4</vt:i4>
      </vt:variant>
      <vt:variant>
        <vt:lpwstr>https://www.abilityone.gov/</vt:lpwstr>
      </vt:variant>
      <vt:variant>
        <vt:lpwstr/>
      </vt:variant>
      <vt:variant>
        <vt:i4>65604</vt:i4>
      </vt:variant>
      <vt:variant>
        <vt:i4>6450</vt:i4>
      </vt:variant>
      <vt:variant>
        <vt:i4>1154</vt:i4>
      </vt:variant>
      <vt:variant>
        <vt:i4>4</vt:i4>
      </vt:variant>
      <vt:variant>
        <vt:lpwstr>https://www.unicor.gov/FederalCustomers.aspx</vt:lpwstr>
      </vt:variant>
      <vt:variant>
        <vt:lpwstr/>
      </vt:variant>
      <vt:variant>
        <vt:i4>5570647</vt:i4>
      </vt:variant>
      <vt:variant>
        <vt:i4>6497</vt:i4>
      </vt:variant>
      <vt:variant>
        <vt:i4>1047</vt:i4>
      </vt:variant>
      <vt:variant>
        <vt:i4>4</vt:i4>
      </vt:variant>
      <vt:variant>
        <vt:lpwstr>https://www.gsa.gov/</vt:lpwstr>
      </vt:variant>
      <vt:variant>
        <vt:lpwstr/>
      </vt:variant>
      <vt:variant>
        <vt:i4>5177428</vt:i4>
      </vt:variant>
      <vt:variant>
        <vt:i4>6634</vt:i4>
      </vt:variant>
      <vt:variant>
        <vt:i4>1056</vt:i4>
      </vt:variant>
      <vt:variant>
        <vt:i4>4</vt:i4>
      </vt:variant>
      <vt:variant>
        <vt:lpwstr>https://www.amazon.com/businessprime</vt:lpwstr>
      </vt:variant>
      <vt:variant>
        <vt:lpwstr/>
      </vt:variant>
      <vt:variant>
        <vt:i4>3276832</vt:i4>
      </vt:variant>
      <vt:variant>
        <vt:i4>6745</vt:i4>
      </vt:variant>
      <vt:variant>
        <vt:i4>1060</vt:i4>
      </vt:variant>
      <vt:variant>
        <vt:i4>4</vt:i4>
      </vt:variant>
      <vt:variant>
        <vt:lpwstr>https://www.fishersci.com/us/en/scientific-products/industries/government-resource-center.html</vt:lpwstr>
      </vt:variant>
      <vt:variant>
        <vt:lpwstr/>
      </vt:variant>
      <vt:variant>
        <vt:i4>6225987</vt:i4>
      </vt:variant>
      <vt:variant>
        <vt:i4>6802</vt:i4>
      </vt:variant>
      <vt:variant>
        <vt:i4>1074</vt:i4>
      </vt:variant>
      <vt:variant>
        <vt:i4>4</vt:i4>
      </vt:variant>
      <vt:variant>
        <vt:lpwstr>https://www.overstockgovernment.com/home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Sandra Smith</dc:creator>
  <cp:keywords/>
  <dc:description/>
  <cp:lastModifiedBy>Koeppe, Kelly - OCP, NM</cp:lastModifiedBy>
  <cp:revision>8</cp:revision>
  <cp:lastPrinted>2008-11-19T21:22:00Z</cp:lastPrinted>
  <dcterms:created xsi:type="dcterms:W3CDTF">2023-12-20T23:07:00Z</dcterms:created>
  <dcterms:modified xsi:type="dcterms:W3CDTF">2024-01-09T20:29:00Z</dcterms:modified>
</cp:coreProperties>
</file>