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6116A" w14:textId="77777777" w:rsidR="00E70AFA" w:rsidRDefault="00E70AFA" w:rsidP="00E70AFA">
      <w:pPr>
        <w:tabs>
          <w:tab w:val="num" w:pos="720"/>
        </w:tabs>
        <w:ind w:left="720" w:hanging="360"/>
        <w:jc w:val="center"/>
        <w:rPr>
          <w:b/>
          <w:bCs/>
          <w:u w:val="single"/>
        </w:rPr>
      </w:pPr>
      <w:r w:rsidRPr="00925EEE">
        <w:rPr>
          <w:b/>
          <w:bCs/>
          <w:u w:val="single"/>
        </w:rPr>
        <w:t>Reopening Parks, Playgrounds, Pavilions and Sport Courts</w:t>
      </w:r>
    </w:p>
    <w:p w14:paraId="5AA6D0B2" w14:textId="77777777" w:rsidR="00E70AFA" w:rsidRPr="00925EEE" w:rsidRDefault="00E70AFA" w:rsidP="00E70AFA">
      <w:pPr>
        <w:tabs>
          <w:tab w:val="num" w:pos="720"/>
        </w:tabs>
        <w:ind w:left="720" w:hanging="360"/>
        <w:jc w:val="center"/>
        <w:rPr>
          <w:b/>
          <w:bCs/>
          <w:u w:val="single"/>
        </w:rPr>
      </w:pPr>
      <w:r>
        <w:rPr>
          <w:b/>
          <w:bCs/>
          <w:u w:val="single"/>
        </w:rPr>
        <w:t>Report to ULCT April 27, 2020</w:t>
      </w:r>
    </w:p>
    <w:p w14:paraId="4CA1178D" w14:textId="77777777" w:rsidR="00E70AFA" w:rsidRDefault="00E70AFA" w:rsidP="00E70AFA">
      <w:pPr>
        <w:tabs>
          <w:tab w:val="num" w:pos="720"/>
        </w:tabs>
        <w:ind w:left="720" w:hanging="360"/>
        <w:jc w:val="center"/>
      </w:pPr>
    </w:p>
    <w:p w14:paraId="13B23E50" w14:textId="41AC5324" w:rsidR="000A1EB1" w:rsidRDefault="000A1EB1" w:rsidP="00E70AFA">
      <w:pPr>
        <w:rPr>
          <w:rFonts w:ascii="Calibri" w:eastAsia="Times New Roman" w:hAnsi="Calibri" w:cs="Calibri"/>
          <w:b/>
          <w:bCs/>
          <w:color w:val="201F1E"/>
          <w:sz w:val="22"/>
          <w:szCs w:val="22"/>
        </w:rPr>
      </w:pPr>
      <w:r>
        <w:rPr>
          <w:rFonts w:ascii="Calibri" w:eastAsia="Times New Roman" w:hAnsi="Calibri" w:cs="Calibri"/>
          <w:b/>
          <w:bCs/>
          <w:color w:val="201F1E"/>
          <w:sz w:val="22"/>
          <w:szCs w:val="22"/>
        </w:rPr>
        <w:t>Recommendations</w:t>
      </w:r>
    </w:p>
    <w:p w14:paraId="0AFE6638" w14:textId="2A0705D5" w:rsidR="000A1EB1" w:rsidRPr="000A1EB1" w:rsidRDefault="000A1EB1" w:rsidP="000A1EB1">
      <w:pPr>
        <w:pStyle w:val="ListParagraph"/>
        <w:numPr>
          <w:ilvl w:val="0"/>
          <w:numId w:val="1"/>
        </w:numPr>
        <w:rPr>
          <w:rFonts w:ascii="Calibri" w:eastAsia="Times New Roman" w:hAnsi="Calibri" w:cs="Calibri"/>
          <w:b/>
          <w:bCs/>
          <w:color w:val="201F1E"/>
          <w:sz w:val="22"/>
          <w:szCs w:val="22"/>
        </w:rPr>
      </w:pPr>
      <w:r>
        <w:rPr>
          <w:rFonts w:ascii="Calibri" w:eastAsia="Times New Roman" w:hAnsi="Calibri" w:cs="Calibri"/>
          <w:color w:val="201F1E"/>
          <w:sz w:val="22"/>
          <w:szCs w:val="22"/>
        </w:rPr>
        <w:t>Provide all employees with training regarding a</w:t>
      </w:r>
      <w:r w:rsidR="003F6452">
        <w:rPr>
          <w:rFonts w:ascii="Calibri" w:eastAsia="Times New Roman" w:hAnsi="Calibri" w:cs="Calibri"/>
          <w:color w:val="201F1E"/>
          <w:sz w:val="22"/>
          <w:szCs w:val="22"/>
        </w:rPr>
        <w:t>ll</w:t>
      </w:r>
      <w:r>
        <w:rPr>
          <w:rFonts w:ascii="Calibri" w:eastAsia="Times New Roman" w:hAnsi="Calibri" w:cs="Calibri"/>
          <w:color w:val="201F1E"/>
          <w:sz w:val="22"/>
          <w:szCs w:val="22"/>
        </w:rPr>
        <w:t xml:space="preserve"> equipment or chemical</w:t>
      </w:r>
      <w:r w:rsidR="003F6452">
        <w:rPr>
          <w:rFonts w:ascii="Calibri" w:eastAsia="Times New Roman" w:hAnsi="Calibri" w:cs="Calibri"/>
          <w:color w:val="201F1E"/>
          <w:sz w:val="22"/>
          <w:szCs w:val="22"/>
        </w:rPr>
        <w:t>s</w:t>
      </w:r>
      <w:r>
        <w:rPr>
          <w:rFonts w:ascii="Calibri" w:eastAsia="Times New Roman" w:hAnsi="Calibri" w:cs="Calibri"/>
          <w:color w:val="201F1E"/>
          <w:sz w:val="22"/>
          <w:szCs w:val="22"/>
        </w:rPr>
        <w:t xml:space="preserve"> that </w:t>
      </w:r>
      <w:r w:rsidR="003F6452">
        <w:rPr>
          <w:rFonts w:ascii="Calibri" w:eastAsia="Times New Roman" w:hAnsi="Calibri" w:cs="Calibri"/>
          <w:color w:val="201F1E"/>
          <w:sz w:val="22"/>
          <w:szCs w:val="22"/>
        </w:rPr>
        <w:t>are</w:t>
      </w:r>
      <w:r>
        <w:rPr>
          <w:rFonts w:ascii="Calibri" w:eastAsia="Times New Roman" w:hAnsi="Calibri" w:cs="Calibri"/>
          <w:color w:val="201F1E"/>
          <w:sz w:val="22"/>
          <w:szCs w:val="22"/>
        </w:rPr>
        <w:t xml:space="preserve"> new to them including but not limited to PPEs, cleaning products, new signage, responses to frequently asked questions. </w:t>
      </w:r>
    </w:p>
    <w:p w14:paraId="686B0ADB" w14:textId="6D4CDFAF" w:rsidR="000A1EB1" w:rsidRPr="002F5055" w:rsidRDefault="000A1EB1" w:rsidP="000A1EB1">
      <w:pPr>
        <w:pStyle w:val="ListParagraph"/>
        <w:numPr>
          <w:ilvl w:val="0"/>
          <w:numId w:val="1"/>
        </w:numPr>
        <w:rPr>
          <w:rFonts w:ascii="Calibri" w:eastAsia="Times New Roman" w:hAnsi="Calibri" w:cs="Calibri"/>
          <w:b/>
          <w:bCs/>
          <w:color w:val="201F1E"/>
          <w:sz w:val="22"/>
          <w:szCs w:val="22"/>
        </w:rPr>
      </w:pPr>
      <w:r>
        <w:rPr>
          <w:rFonts w:ascii="Calibri" w:eastAsia="Times New Roman" w:hAnsi="Calibri" w:cs="Calibri"/>
          <w:color w:val="201F1E"/>
          <w:sz w:val="22"/>
          <w:szCs w:val="22"/>
        </w:rPr>
        <w:t>Special equipment needed for cleaning may include, chemicals and chemical applicators of various types including sprayers, power washers and other materials.   There is concern regarding the availability, long term viability, environmental impacts and other issues</w:t>
      </w:r>
      <w:r w:rsidR="003F6452">
        <w:rPr>
          <w:rFonts w:ascii="Calibri" w:eastAsia="Times New Roman" w:hAnsi="Calibri" w:cs="Calibri"/>
          <w:color w:val="201F1E"/>
          <w:sz w:val="22"/>
          <w:szCs w:val="22"/>
        </w:rPr>
        <w:t xml:space="preserve"> of cleaning supplies and chemicals. </w:t>
      </w:r>
      <w:r>
        <w:rPr>
          <w:rFonts w:ascii="Calibri" w:eastAsia="Times New Roman" w:hAnsi="Calibri" w:cs="Calibri"/>
          <w:color w:val="201F1E"/>
          <w:sz w:val="22"/>
          <w:szCs w:val="22"/>
        </w:rPr>
        <w:t xml:space="preserve">   Some other ideas include setting a specific cleaning hour and posting what that is so that visitors will have reasonable expectations of cleanliness and an understanding of status. </w:t>
      </w:r>
    </w:p>
    <w:p w14:paraId="392E2074" w14:textId="7851C5B9" w:rsidR="002F5055" w:rsidRPr="002F5055" w:rsidRDefault="002F5055" w:rsidP="000A1EB1">
      <w:pPr>
        <w:pStyle w:val="ListParagraph"/>
        <w:numPr>
          <w:ilvl w:val="0"/>
          <w:numId w:val="1"/>
        </w:numPr>
        <w:rPr>
          <w:rFonts w:ascii="Calibri" w:eastAsia="Times New Roman" w:hAnsi="Calibri" w:cs="Calibri"/>
          <w:b/>
          <w:bCs/>
          <w:color w:val="201F1E"/>
          <w:sz w:val="22"/>
          <w:szCs w:val="22"/>
        </w:rPr>
      </w:pPr>
      <w:r w:rsidRPr="002F5055">
        <w:rPr>
          <w:rFonts w:cs="Calibri Light"/>
          <w:color w:val="000000" w:themeColor="text1"/>
          <w:sz w:val="22"/>
          <w:szCs w:val="22"/>
        </w:rPr>
        <w:t>Maintain signage that encourages social distancing guidelines to be met at all times</w:t>
      </w:r>
      <w:r w:rsidRPr="002F5055">
        <w:rPr>
          <w:rFonts w:cs="Calibri Light"/>
          <w:color w:val="000000" w:themeColor="text1"/>
          <w:sz w:val="22"/>
          <w:szCs w:val="22"/>
        </w:rPr>
        <w:t>.</w:t>
      </w:r>
    </w:p>
    <w:p w14:paraId="28570D06" w14:textId="7C02E4EA" w:rsidR="000A1EB1" w:rsidRPr="000A1EB1" w:rsidRDefault="000A1EB1" w:rsidP="00E70AFA">
      <w:pPr>
        <w:pStyle w:val="ListParagraph"/>
        <w:numPr>
          <w:ilvl w:val="0"/>
          <w:numId w:val="1"/>
        </w:numPr>
        <w:rPr>
          <w:rFonts w:ascii="Calibri" w:eastAsia="Times New Roman" w:hAnsi="Calibri" w:cs="Calibri"/>
          <w:b/>
          <w:bCs/>
          <w:color w:val="201F1E"/>
          <w:sz w:val="22"/>
          <w:szCs w:val="22"/>
        </w:rPr>
      </w:pPr>
      <w:r>
        <w:rPr>
          <w:rFonts w:ascii="Calibri" w:eastAsia="Times New Roman" w:hAnsi="Calibri" w:cs="Calibri"/>
          <w:color w:val="201F1E"/>
          <w:sz w:val="22"/>
          <w:szCs w:val="22"/>
        </w:rPr>
        <w:t xml:space="preserve">Rules for activities and programs will likely need to be modified.  This should be handled on a case by case basis and based on data specific to an area and type.    Monitoring areas like skate parks and popular play </w:t>
      </w:r>
      <w:r w:rsidR="003F6452">
        <w:rPr>
          <w:rFonts w:ascii="Calibri" w:eastAsia="Times New Roman" w:hAnsi="Calibri" w:cs="Calibri"/>
          <w:color w:val="201F1E"/>
          <w:sz w:val="22"/>
          <w:szCs w:val="22"/>
        </w:rPr>
        <w:t>areas</w:t>
      </w:r>
      <w:r>
        <w:rPr>
          <w:rFonts w:ascii="Calibri" w:eastAsia="Times New Roman" w:hAnsi="Calibri" w:cs="Calibri"/>
          <w:color w:val="201F1E"/>
          <w:sz w:val="22"/>
          <w:szCs w:val="22"/>
        </w:rPr>
        <w:t xml:space="preserve"> as well as splash pads so that social distancing and visitor numbers are controlled.  </w:t>
      </w:r>
      <w:r w:rsidR="00DF1476">
        <w:rPr>
          <w:rFonts w:ascii="Calibri" w:eastAsia="Times New Roman" w:hAnsi="Calibri" w:cs="Calibri"/>
          <w:color w:val="201F1E"/>
          <w:sz w:val="22"/>
          <w:szCs w:val="22"/>
        </w:rPr>
        <w:t>Outdoor sports courts such as basketball, tennis and pickleball shall be limited as outlined in the report on organized sports and recreation centers.</w:t>
      </w:r>
      <w:r>
        <w:rPr>
          <w:rFonts w:ascii="Calibri" w:eastAsia="Times New Roman" w:hAnsi="Calibri" w:cs="Calibri"/>
          <w:color w:val="201F1E"/>
          <w:sz w:val="22"/>
          <w:szCs w:val="22"/>
        </w:rPr>
        <w:t xml:space="preserve"> </w:t>
      </w:r>
    </w:p>
    <w:p w14:paraId="155A9F0D" w14:textId="5920F651" w:rsidR="000A1EB1" w:rsidRPr="000A7577" w:rsidRDefault="000A1EB1" w:rsidP="00E70AFA">
      <w:pPr>
        <w:pStyle w:val="ListParagraph"/>
        <w:numPr>
          <w:ilvl w:val="0"/>
          <w:numId w:val="1"/>
        </w:numPr>
        <w:rPr>
          <w:rFonts w:ascii="Calibri" w:eastAsia="Times New Roman" w:hAnsi="Calibri" w:cs="Calibri"/>
          <w:b/>
          <w:bCs/>
          <w:color w:val="201F1E"/>
          <w:sz w:val="22"/>
          <w:szCs w:val="22"/>
        </w:rPr>
      </w:pPr>
      <w:r>
        <w:rPr>
          <w:rFonts w:ascii="Calibri" w:eastAsia="Times New Roman" w:hAnsi="Calibri" w:cs="Calibri"/>
          <w:color w:val="201F1E"/>
          <w:sz w:val="22"/>
          <w:szCs w:val="22"/>
        </w:rPr>
        <w:t xml:space="preserve">Additional modifications </w:t>
      </w:r>
      <w:r w:rsidR="00DF1476">
        <w:rPr>
          <w:rFonts w:ascii="Calibri" w:eastAsia="Times New Roman" w:hAnsi="Calibri" w:cs="Calibri"/>
          <w:color w:val="201F1E"/>
          <w:sz w:val="22"/>
          <w:szCs w:val="22"/>
        </w:rPr>
        <w:t xml:space="preserve">should </w:t>
      </w:r>
      <w:r>
        <w:rPr>
          <w:rFonts w:ascii="Calibri" w:eastAsia="Times New Roman" w:hAnsi="Calibri" w:cs="Calibri"/>
          <w:color w:val="201F1E"/>
          <w:sz w:val="22"/>
          <w:szCs w:val="22"/>
        </w:rPr>
        <w:t xml:space="preserve">include changes to reservations for pavilions, potentially take reservations but limit the total number.  </w:t>
      </w:r>
    </w:p>
    <w:p w14:paraId="4CEA76A9" w14:textId="290597E9" w:rsidR="00DF1476" w:rsidRPr="000A7577" w:rsidRDefault="00DF1476" w:rsidP="00E70AFA">
      <w:pPr>
        <w:pStyle w:val="ListParagraph"/>
        <w:numPr>
          <w:ilvl w:val="0"/>
          <w:numId w:val="1"/>
        </w:numPr>
        <w:rPr>
          <w:rFonts w:ascii="Calibri" w:eastAsia="Times New Roman" w:hAnsi="Calibri" w:cs="Calibri"/>
          <w:b/>
          <w:bCs/>
          <w:color w:val="201F1E"/>
          <w:sz w:val="22"/>
          <w:szCs w:val="22"/>
        </w:rPr>
      </w:pPr>
      <w:r>
        <w:rPr>
          <w:rFonts w:ascii="Calibri" w:eastAsia="Times New Roman" w:hAnsi="Calibri" w:cs="Calibri"/>
          <w:color w:val="201F1E"/>
          <w:sz w:val="22"/>
          <w:szCs w:val="22"/>
        </w:rPr>
        <w:t xml:space="preserve">Restrooms should be cleaned and disinfected at least once per day with </w:t>
      </w:r>
      <w:bookmarkStart w:id="0" w:name="_Hlk39480673"/>
      <w:r>
        <w:rPr>
          <w:rFonts w:ascii="Calibri" w:eastAsia="Times New Roman" w:hAnsi="Calibri" w:cs="Calibri"/>
          <w:color w:val="201F1E"/>
          <w:sz w:val="22"/>
          <w:szCs w:val="22"/>
        </w:rPr>
        <w:t xml:space="preserve">high volume public restrooms cleaned and disinfected more often on an as needed basis.  </w:t>
      </w:r>
    </w:p>
    <w:bookmarkEnd w:id="0"/>
    <w:p w14:paraId="56A19C1C" w14:textId="2A19C91B" w:rsidR="00DF1476" w:rsidRPr="002F5055" w:rsidRDefault="00DF1476" w:rsidP="00DF1476">
      <w:pPr>
        <w:pStyle w:val="ListParagraph"/>
        <w:numPr>
          <w:ilvl w:val="0"/>
          <w:numId w:val="1"/>
        </w:numPr>
        <w:rPr>
          <w:rFonts w:ascii="Calibri" w:eastAsia="Times New Roman" w:hAnsi="Calibri" w:cs="Calibri"/>
          <w:b/>
          <w:bCs/>
          <w:color w:val="201F1E"/>
          <w:sz w:val="22"/>
          <w:szCs w:val="22"/>
        </w:rPr>
      </w:pPr>
      <w:r w:rsidRPr="00DF1476">
        <w:rPr>
          <w:rFonts w:ascii="Calibri" w:eastAsia="Times New Roman" w:hAnsi="Calibri" w:cs="Calibri"/>
          <w:color w:val="201F1E"/>
          <w:sz w:val="22"/>
          <w:szCs w:val="22"/>
        </w:rPr>
        <w:t>Playg</w:t>
      </w:r>
      <w:r w:rsidRPr="000A7577">
        <w:rPr>
          <w:rFonts w:ascii="Calibri" w:eastAsia="Times New Roman" w:hAnsi="Calibri" w:cs="Calibri"/>
          <w:color w:val="201F1E"/>
          <w:sz w:val="22"/>
          <w:szCs w:val="22"/>
        </w:rPr>
        <w:t>round surfaces shall be cleaned and disinfected at least weekly with high volume playgrounds cleaned and disinfected more often on an as needed basis.</w:t>
      </w:r>
    </w:p>
    <w:p w14:paraId="3A44DAC3" w14:textId="5935B19F" w:rsidR="002F5055" w:rsidRPr="002F5055" w:rsidRDefault="002F5055" w:rsidP="002F5055">
      <w:pPr>
        <w:pStyle w:val="NoSpacing"/>
        <w:numPr>
          <w:ilvl w:val="0"/>
          <w:numId w:val="1"/>
        </w:numPr>
        <w:rPr>
          <w:rFonts w:asciiTheme="minorHAnsi" w:eastAsia="Times New Roman" w:hAnsiTheme="minorHAnsi" w:cstheme="minorHAnsi"/>
        </w:rPr>
      </w:pPr>
      <w:r w:rsidRPr="002F5055">
        <w:rPr>
          <w:rFonts w:asciiTheme="minorHAnsi" w:eastAsia="Times New Roman" w:hAnsiTheme="minorHAnsi" w:cstheme="minorHAnsi"/>
        </w:rPr>
        <w:t>Limit child interaction with other children in public spaces (e.g. playground equipment); a 6-foot distance should be maintained</w:t>
      </w:r>
    </w:p>
    <w:p w14:paraId="3D697807" w14:textId="3B610026" w:rsidR="000A1EB1" w:rsidRPr="003F6452" w:rsidRDefault="000A1EB1" w:rsidP="00E70AFA">
      <w:pPr>
        <w:pStyle w:val="ListParagraph"/>
        <w:numPr>
          <w:ilvl w:val="0"/>
          <w:numId w:val="1"/>
        </w:numPr>
        <w:rPr>
          <w:rFonts w:ascii="Calibri" w:eastAsia="Times New Roman" w:hAnsi="Calibri" w:cs="Calibri"/>
          <w:b/>
          <w:bCs/>
          <w:color w:val="201F1E"/>
          <w:sz w:val="22"/>
          <w:szCs w:val="22"/>
        </w:rPr>
      </w:pPr>
      <w:r>
        <w:rPr>
          <w:rFonts w:ascii="Calibri" w:eastAsia="Times New Roman" w:hAnsi="Calibri" w:cs="Calibri"/>
          <w:color w:val="201F1E"/>
          <w:sz w:val="22"/>
          <w:szCs w:val="22"/>
        </w:rPr>
        <w:t xml:space="preserve">Of note, it was discussed that there is a significant element of personal responsibility that comes with park use and that even if disinfected once per day, it will almost immediately become something less than </w:t>
      </w:r>
      <w:r w:rsidR="003F6452">
        <w:rPr>
          <w:rFonts w:ascii="Calibri" w:eastAsia="Times New Roman" w:hAnsi="Calibri" w:cs="Calibri"/>
          <w:color w:val="201F1E"/>
          <w:sz w:val="22"/>
          <w:szCs w:val="22"/>
        </w:rPr>
        <w:t xml:space="preserve">disinfected </w:t>
      </w:r>
      <w:r>
        <w:rPr>
          <w:rFonts w:ascii="Calibri" w:eastAsia="Times New Roman" w:hAnsi="Calibri" w:cs="Calibri"/>
          <w:color w:val="201F1E"/>
          <w:sz w:val="22"/>
          <w:szCs w:val="22"/>
        </w:rPr>
        <w:t xml:space="preserve">upon </w:t>
      </w:r>
      <w:r w:rsidR="003F6452">
        <w:rPr>
          <w:rFonts w:ascii="Calibri" w:eastAsia="Times New Roman" w:hAnsi="Calibri" w:cs="Calibri"/>
          <w:color w:val="201F1E"/>
          <w:sz w:val="22"/>
          <w:szCs w:val="22"/>
        </w:rPr>
        <w:t xml:space="preserve">first </w:t>
      </w:r>
      <w:r>
        <w:rPr>
          <w:rFonts w:ascii="Calibri" w:eastAsia="Times New Roman" w:hAnsi="Calibri" w:cs="Calibri"/>
          <w:color w:val="201F1E"/>
          <w:sz w:val="22"/>
          <w:szCs w:val="22"/>
        </w:rPr>
        <w:t xml:space="preserve">use.  Additionally, recognition that monitoring park areas and potentially enforcing ongoing </w:t>
      </w:r>
      <w:r w:rsidR="003F6452">
        <w:rPr>
          <w:rFonts w:ascii="Calibri" w:eastAsia="Times New Roman" w:hAnsi="Calibri" w:cs="Calibri"/>
          <w:color w:val="201F1E"/>
          <w:sz w:val="22"/>
          <w:szCs w:val="22"/>
        </w:rPr>
        <w:t xml:space="preserve">limitation is nearly impossible and therefore does require a high level of personal responsibility. </w:t>
      </w:r>
    </w:p>
    <w:p w14:paraId="3800BC90" w14:textId="3BBCAFE1" w:rsidR="003F6452" w:rsidRPr="000A1EB1" w:rsidRDefault="003F6452" w:rsidP="00E70AFA">
      <w:pPr>
        <w:pStyle w:val="ListParagraph"/>
        <w:numPr>
          <w:ilvl w:val="0"/>
          <w:numId w:val="1"/>
        </w:numPr>
        <w:rPr>
          <w:rFonts w:ascii="Calibri" w:eastAsia="Times New Roman" w:hAnsi="Calibri" w:cs="Calibri"/>
          <w:b/>
          <w:bCs/>
          <w:color w:val="201F1E"/>
          <w:sz w:val="22"/>
          <w:szCs w:val="22"/>
        </w:rPr>
      </w:pPr>
      <w:r>
        <w:rPr>
          <w:rFonts w:ascii="Calibri" w:eastAsia="Times New Roman" w:hAnsi="Calibri" w:cs="Calibri"/>
          <w:color w:val="201F1E"/>
          <w:sz w:val="22"/>
          <w:szCs w:val="22"/>
        </w:rPr>
        <w:t xml:space="preserve">The most significant recommendation was to maintain good communication with the public so that they are aware of the rules, efforts being taken and the changes that will undoubtedly be ongoing.  Communication allows the public to understand and assess the various risks and proceed as they desire.  </w:t>
      </w:r>
    </w:p>
    <w:p w14:paraId="5490A4ED" w14:textId="77777777" w:rsidR="00E70AFA" w:rsidRPr="00925EEE" w:rsidRDefault="00E70AFA" w:rsidP="00E70AFA">
      <w:pPr>
        <w:ind w:left="720"/>
        <w:rPr>
          <w:rFonts w:ascii="Calibri" w:eastAsia="Times New Roman" w:hAnsi="Calibri" w:cs="Calibri"/>
          <w:color w:val="201F1E"/>
          <w:sz w:val="22"/>
          <w:szCs w:val="22"/>
        </w:rPr>
      </w:pPr>
    </w:p>
    <w:p w14:paraId="10EB4998" w14:textId="77777777" w:rsidR="00E70AFA" w:rsidRDefault="00E70AFA" w:rsidP="00E70AFA">
      <w:pPr>
        <w:pStyle w:val="ListParagraph"/>
        <w:rPr>
          <w:rFonts w:ascii="Calibri" w:eastAsia="Times New Roman" w:hAnsi="Calibri" w:cs="Calibri"/>
          <w:color w:val="201F1E"/>
          <w:sz w:val="22"/>
          <w:szCs w:val="22"/>
        </w:rPr>
      </w:pPr>
    </w:p>
    <w:p w14:paraId="321B2691" w14:textId="77777777" w:rsidR="00E70AFA" w:rsidRDefault="00E70AFA" w:rsidP="00E70AFA">
      <w:pPr>
        <w:rPr>
          <w:rFonts w:ascii="Calibri" w:eastAsia="Times New Roman" w:hAnsi="Calibri" w:cs="Calibri"/>
          <w:color w:val="201F1E"/>
          <w:sz w:val="22"/>
          <w:szCs w:val="22"/>
        </w:rPr>
      </w:pPr>
    </w:p>
    <w:p w14:paraId="539A240C" w14:textId="77777777" w:rsidR="00E70AFA" w:rsidRDefault="00E70AFA" w:rsidP="00E70AFA">
      <w:pPr>
        <w:rPr>
          <w:rFonts w:ascii="Calibri" w:eastAsia="Times New Roman" w:hAnsi="Calibri" w:cs="Calibri"/>
          <w:color w:val="201F1E"/>
          <w:sz w:val="22"/>
          <w:szCs w:val="22"/>
        </w:rPr>
      </w:pPr>
    </w:p>
    <w:p w14:paraId="37055EC1" w14:textId="77777777" w:rsidR="00E70AFA" w:rsidRPr="00925EEE" w:rsidRDefault="00E70AFA" w:rsidP="00E70AFA">
      <w:pPr>
        <w:ind w:left="720"/>
        <w:rPr>
          <w:rFonts w:ascii="Calibri" w:eastAsia="Times New Roman" w:hAnsi="Calibri" w:cs="Calibri"/>
          <w:color w:val="201F1E"/>
          <w:sz w:val="22"/>
          <w:szCs w:val="22"/>
        </w:rPr>
      </w:pPr>
    </w:p>
    <w:p w14:paraId="6410D745" w14:textId="77777777" w:rsidR="00E70AFA" w:rsidRDefault="00E70AFA" w:rsidP="00E70AFA">
      <w:pPr>
        <w:rPr>
          <w:rFonts w:ascii="Calibri" w:eastAsia="Times New Roman" w:hAnsi="Calibri" w:cs="Calibri"/>
          <w:color w:val="201F1E"/>
          <w:sz w:val="22"/>
          <w:szCs w:val="22"/>
        </w:rPr>
      </w:pPr>
    </w:p>
    <w:p w14:paraId="751F6501" w14:textId="12F73540" w:rsidR="00E70AFA" w:rsidRPr="00925EEE" w:rsidRDefault="00E70AFA" w:rsidP="00E70AFA">
      <w:pPr>
        <w:rPr>
          <w:rFonts w:ascii="Calibri" w:eastAsia="Times New Roman" w:hAnsi="Calibri" w:cs="Calibri"/>
          <w:color w:val="201F1E"/>
          <w:sz w:val="22"/>
          <w:szCs w:val="22"/>
        </w:rPr>
      </w:pPr>
      <w:r>
        <w:rPr>
          <w:rFonts w:ascii="Calibri" w:eastAsia="Times New Roman" w:hAnsi="Calibri" w:cs="Calibri"/>
          <w:color w:val="201F1E"/>
          <w:sz w:val="22"/>
          <w:szCs w:val="22"/>
        </w:rPr>
        <w:t xml:space="preserve">. </w:t>
      </w:r>
    </w:p>
    <w:p w14:paraId="400C2FB0" w14:textId="77777777" w:rsidR="00E70AFA" w:rsidRDefault="00E70AFA"/>
    <w:sectPr w:rsidR="00E70AFA" w:rsidSect="006F4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820CA"/>
    <w:multiLevelType w:val="hybridMultilevel"/>
    <w:tmpl w:val="FD22C6AC"/>
    <w:lvl w:ilvl="0" w:tplc="8530158C">
      <w:numFmt w:val="bullet"/>
      <w:lvlText w:val=""/>
      <w:lvlJc w:val="left"/>
      <w:pPr>
        <w:ind w:left="360" w:hanging="360"/>
      </w:pPr>
      <w:rPr>
        <w:rFonts w:ascii="Symbol" w:eastAsia="Calibri" w:hAnsi="Symbol" w:cs="Times New Roman"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A3233F"/>
    <w:multiLevelType w:val="hybridMultilevel"/>
    <w:tmpl w:val="BD4C9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FA"/>
    <w:rsid w:val="000A1EB1"/>
    <w:rsid w:val="000A7577"/>
    <w:rsid w:val="002F5055"/>
    <w:rsid w:val="003F6452"/>
    <w:rsid w:val="006F4E40"/>
    <w:rsid w:val="00891DCD"/>
    <w:rsid w:val="00B11FE4"/>
    <w:rsid w:val="00B55BE9"/>
    <w:rsid w:val="00DF1476"/>
    <w:rsid w:val="00E7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5ADE"/>
  <w15:chartTrackingRefBased/>
  <w15:docId w15:val="{D6EFC12B-8B2D-4637-8E1D-15289407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F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AFA"/>
    <w:pPr>
      <w:ind w:left="720"/>
      <w:contextualSpacing/>
    </w:pPr>
  </w:style>
  <w:style w:type="paragraph" w:styleId="BalloonText">
    <w:name w:val="Balloon Text"/>
    <w:basedOn w:val="Normal"/>
    <w:link w:val="BalloonTextChar"/>
    <w:uiPriority w:val="99"/>
    <w:semiHidden/>
    <w:unhideWhenUsed/>
    <w:rsid w:val="00DF1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476"/>
    <w:rPr>
      <w:rFonts w:ascii="Segoe UI" w:hAnsi="Segoe UI" w:cs="Segoe UI"/>
      <w:sz w:val="18"/>
      <w:szCs w:val="18"/>
    </w:rPr>
  </w:style>
  <w:style w:type="paragraph" w:styleId="NoSpacing">
    <w:name w:val="No Spacing"/>
    <w:uiPriority w:val="1"/>
    <w:qFormat/>
    <w:rsid w:val="002F5055"/>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Park</dc:creator>
  <cp:keywords/>
  <dc:description/>
  <cp:lastModifiedBy>John Park</cp:lastModifiedBy>
  <cp:revision>2</cp:revision>
  <dcterms:created xsi:type="dcterms:W3CDTF">2020-05-06T20:36:00Z</dcterms:created>
  <dcterms:modified xsi:type="dcterms:W3CDTF">2020-05-06T20:36:00Z</dcterms:modified>
</cp:coreProperties>
</file>