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E47E" w14:textId="66FD5147" w:rsidR="00E27D3E" w:rsidRPr="005527DD" w:rsidRDefault="00E27D3E" w:rsidP="00E27D3E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Hlk74912390"/>
      <w:r w:rsidRPr="005527DD">
        <w:rPr>
          <w:rFonts w:ascii="Arial" w:hAnsi="Arial" w:cs="Arial"/>
          <w:b/>
          <w:sz w:val="36"/>
          <w:szCs w:val="36"/>
        </w:rPr>
        <w:t>Service Level Agreement</w:t>
      </w:r>
      <w:r w:rsidR="00260D3C" w:rsidRPr="005527DD">
        <w:rPr>
          <w:rFonts w:ascii="Arial" w:hAnsi="Arial" w:cs="Arial"/>
          <w:b/>
          <w:sz w:val="36"/>
          <w:szCs w:val="36"/>
        </w:rPr>
        <w:t xml:space="preserve"> 2</w:t>
      </w:r>
      <w:r w:rsidR="00264B42" w:rsidRPr="005527DD">
        <w:rPr>
          <w:rFonts w:ascii="Arial" w:hAnsi="Arial" w:cs="Arial"/>
          <w:b/>
          <w:sz w:val="36"/>
          <w:szCs w:val="36"/>
        </w:rPr>
        <w:t>026/27</w:t>
      </w:r>
    </w:p>
    <w:p w14:paraId="10344089" w14:textId="77777777" w:rsidR="00E27D3E" w:rsidRPr="00B56827" w:rsidRDefault="00E27D3E" w:rsidP="00E27D3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E27D3E" w:rsidRPr="005527DD" w14:paraId="4B243184" w14:textId="77777777" w:rsidTr="00E27D3E">
        <w:tc>
          <w:tcPr>
            <w:tcW w:w="9782" w:type="dxa"/>
          </w:tcPr>
          <w:p w14:paraId="7CF8BCD6" w14:textId="77777777" w:rsidR="00721CCC" w:rsidRPr="00DF44F2" w:rsidRDefault="00264B42" w:rsidP="000B6EE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DF44F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MATi Outreach Services aims to:</w:t>
            </w:r>
          </w:p>
          <w:p w14:paraId="796597C8" w14:textId="32E0DD9E" w:rsidR="00E27D3E" w:rsidRPr="005527DD" w:rsidRDefault="00E27D3E" w:rsidP="00CF31A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5527DD">
              <w:rPr>
                <w:rFonts w:ascii="Arial" w:hAnsi="Arial" w:cs="Arial"/>
                <w:lang w:val="en-GB"/>
              </w:rPr>
              <w:t xml:space="preserve">provide a </w:t>
            </w:r>
            <w:r w:rsidR="00035D82" w:rsidRPr="005527DD">
              <w:rPr>
                <w:rFonts w:ascii="Arial" w:hAnsi="Arial" w:cs="Arial"/>
                <w:lang w:val="en-GB"/>
              </w:rPr>
              <w:t>responsive</w:t>
            </w:r>
            <w:r w:rsidRPr="005527DD">
              <w:rPr>
                <w:rFonts w:ascii="Arial" w:hAnsi="Arial" w:cs="Arial"/>
                <w:lang w:val="en-GB"/>
              </w:rPr>
              <w:t>, and where possible, proactive</w:t>
            </w:r>
            <w:r w:rsidR="00721CCC" w:rsidRPr="005527DD">
              <w:rPr>
                <w:rFonts w:ascii="Arial" w:hAnsi="Arial" w:cs="Arial"/>
                <w:lang w:val="en-GB"/>
              </w:rPr>
              <w:t xml:space="preserve"> outreach</w:t>
            </w:r>
            <w:r w:rsidRPr="005527DD">
              <w:rPr>
                <w:rFonts w:ascii="Arial" w:hAnsi="Arial" w:cs="Arial"/>
                <w:lang w:val="en-GB"/>
              </w:rPr>
              <w:t xml:space="preserve"> service </w:t>
            </w:r>
            <w:r w:rsidR="00721CCC" w:rsidRPr="005527DD">
              <w:rPr>
                <w:rFonts w:ascii="Arial" w:hAnsi="Arial" w:cs="Arial"/>
                <w:lang w:val="en-GB"/>
              </w:rPr>
              <w:t>enabling</w:t>
            </w:r>
            <w:r w:rsidRPr="005527DD">
              <w:rPr>
                <w:rFonts w:ascii="Arial" w:hAnsi="Arial" w:cs="Arial"/>
                <w:lang w:val="en-GB"/>
              </w:rPr>
              <w:t xml:space="preserve"> mainstream schools and colleges to effectively include young people with a wide range of Special Educational Needs</w:t>
            </w:r>
            <w:r w:rsidR="008A082E" w:rsidRPr="005527DD">
              <w:rPr>
                <w:rFonts w:ascii="Arial" w:hAnsi="Arial" w:cs="Arial"/>
                <w:lang w:val="en-GB"/>
              </w:rPr>
              <w:t xml:space="preserve"> and D</w:t>
            </w:r>
            <w:r w:rsidR="0023088A" w:rsidRPr="005527DD">
              <w:rPr>
                <w:rFonts w:ascii="Arial" w:hAnsi="Arial" w:cs="Arial"/>
                <w:lang w:val="en-GB"/>
              </w:rPr>
              <w:t>i</w:t>
            </w:r>
            <w:r w:rsidR="008A082E" w:rsidRPr="005527DD">
              <w:rPr>
                <w:rFonts w:ascii="Arial" w:hAnsi="Arial" w:cs="Arial"/>
                <w:lang w:val="en-GB"/>
              </w:rPr>
              <w:t>sabilities</w:t>
            </w:r>
            <w:r w:rsidR="0023088A" w:rsidRPr="005527DD">
              <w:rPr>
                <w:rFonts w:ascii="Arial" w:hAnsi="Arial" w:cs="Arial"/>
                <w:lang w:val="en-GB"/>
              </w:rPr>
              <w:t xml:space="preserve"> that may require Special Educational Provision within the Children and Families Act (2014); Equality Act (2010); Teachers Standards (2012); SEND Code of Practice (2015)</w:t>
            </w:r>
            <w:r w:rsidR="00B347BC" w:rsidRPr="005527DD">
              <w:rPr>
                <w:rFonts w:ascii="Arial" w:hAnsi="Arial" w:cs="Arial"/>
                <w:lang w:val="en-GB"/>
              </w:rPr>
              <w:t>.</w:t>
            </w:r>
          </w:p>
          <w:p w14:paraId="497CC206" w14:textId="77777777" w:rsidR="00E27D3E" w:rsidRPr="005527DD" w:rsidRDefault="00E27D3E" w:rsidP="00CF31A9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522C4F73" w14:textId="0904505B" w:rsidR="00E27D3E" w:rsidRPr="005527DD" w:rsidRDefault="00E27D3E" w:rsidP="00CF31A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5527DD">
              <w:rPr>
                <w:rFonts w:ascii="Arial" w:hAnsi="Arial" w:cs="Arial"/>
                <w:lang w:val="en-GB"/>
              </w:rPr>
              <w:t xml:space="preserve">work in partnership with school/college staff, </w:t>
            </w:r>
            <w:r w:rsidR="00586D58" w:rsidRPr="005527DD">
              <w:rPr>
                <w:rFonts w:ascii="Arial" w:hAnsi="Arial" w:cs="Arial"/>
                <w:lang w:val="en-GB"/>
              </w:rPr>
              <w:t xml:space="preserve">children and </w:t>
            </w:r>
            <w:r w:rsidRPr="005527DD">
              <w:rPr>
                <w:rFonts w:ascii="Arial" w:hAnsi="Arial" w:cs="Arial"/>
                <w:lang w:val="en-GB"/>
              </w:rPr>
              <w:t xml:space="preserve">young people, parents/carers and other </w:t>
            </w:r>
            <w:r w:rsidR="00707E1B" w:rsidRPr="005527DD">
              <w:rPr>
                <w:rFonts w:ascii="Arial" w:hAnsi="Arial" w:cs="Arial"/>
                <w:lang w:val="en-GB"/>
              </w:rPr>
              <w:t xml:space="preserve">relevant professionals to ensure a coordinated and evidence-based approach to SEND support. </w:t>
            </w:r>
          </w:p>
          <w:p w14:paraId="0F4FCA91" w14:textId="77777777" w:rsidR="00910FB0" w:rsidRPr="005527DD" w:rsidRDefault="00910FB0" w:rsidP="00CF31A9">
            <w:pPr>
              <w:pStyle w:val="ListParagraph"/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16C91888" w14:textId="22AC7DA1" w:rsidR="00E27D3E" w:rsidRPr="005527DD" w:rsidRDefault="0031440D" w:rsidP="00CF31A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5527DD">
              <w:rPr>
                <w:rFonts w:ascii="Arial" w:hAnsi="Arial" w:cs="Arial"/>
                <w:lang w:val="en-GB"/>
              </w:rPr>
              <w:t>d</w:t>
            </w:r>
            <w:r w:rsidR="00707E1B" w:rsidRPr="005527DD">
              <w:rPr>
                <w:rFonts w:ascii="Arial" w:hAnsi="Arial" w:cs="Arial"/>
                <w:lang w:val="en-GB"/>
              </w:rPr>
              <w:t xml:space="preserve">eliver high quality assessment, advice, intervention and training to develop staff confidence, knowledge and inclusive practice. </w:t>
            </w:r>
          </w:p>
          <w:p w14:paraId="3BBEDFB1" w14:textId="77777777" w:rsidR="00E27D3E" w:rsidRPr="005527DD" w:rsidRDefault="00E27D3E" w:rsidP="00CF31A9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6BEBE93B" w14:textId="77777777" w:rsidR="00E27D3E" w:rsidRDefault="00970F69" w:rsidP="00CF31A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5527DD">
              <w:rPr>
                <w:rFonts w:ascii="Arial" w:hAnsi="Arial" w:cs="Arial"/>
                <w:lang w:val="en-GB"/>
              </w:rPr>
              <w:t>empower children and</w:t>
            </w:r>
            <w:r w:rsidR="00E27D3E" w:rsidRPr="005527DD">
              <w:rPr>
                <w:rFonts w:ascii="Arial" w:hAnsi="Arial" w:cs="Arial"/>
                <w:lang w:val="en-GB"/>
              </w:rPr>
              <w:t xml:space="preserve"> young people </w:t>
            </w:r>
            <w:r w:rsidR="008B0C0D" w:rsidRPr="005527DD">
              <w:rPr>
                <w:rFonts w:ascii="Arial" w:hAnsi="Arial" w:cs="Arial"/>
                <w:lang w:val="en-GB"/>
              </w:rPr>
              <w:t xml:space="preserve">to access </w:t>
            </w:r>
            <w:r w:rsidR="00341FC5" w:rsidRPr="005527DD">
              <w:rPr>
                <w:rFonts w:ascii="Arial" w:hAnsi="Arial" w:cs="Arial"/>
                <w:lang w:val="en-GB"/>
              </w:rPr>
              <w:t>learning</w:t>
            </w:r>
            <w:r w:rsidR="00D44152" w:rsidRPr="005527DD">
              <w:rPr>
                <w:rFonts w:ascii="Arial" w:hAnsi="Arial" w:cs="Arial"/>
                <w:lang w:val="en-GB"/>
              </w:rPr>
              <w:t xml:space="preserve"> </w:t>
            </w:r>
            <w:r w:rsidR="00D25708" w:rsidRPr="005527DD">
              <w:rPr>
                <w:rFonts w:ascii="Arial" w:hAnsi="Arial" w:cs="Arial"/>
                <w:lang w:val="en-GB"/>
              </w:rPr>
              <w:t xml:space="preserve">and social opportunities </w:t>
            </w:r>
            <w:r w:rsidR="00851B64" w:rsidRPr="005527DD">
              <w:rPr>
                <w:rFonts w:ascii="Arial" w:hAnsi="Arial" w:cs="Arial"/>
                <w:lang w:val="en-GB"/>
              </w:rPr>
              <w:t xml:space="preserve">integral to their </w:t>
            </w:r>
            <w:r w:rsidR="00660081" w:rsidRPr="005527DD">
              <w:rPr>
                <w:rFonts w:ascii="Arial" w:hAnsi="Arial" w:cs="Arial"/>
                <w:lang w:val="en-GB"/>
              </w:rPr>
              <w:t>social, emotional</w:t>
            </w:r>
            <w:r w:rsidR="006E1FB4" w:rsidRPr="005527DD">
              <w:rPr>
                <w:rFonts w:ascii="Arial" w:hAnsi="Arial" w:cs="Arial"/>
                <w:lang w:val="en-GB"/>
              </w:rPr>
              <w:t xml:space="preserve"> and individual </w:t>
            </w:r>
            <w:r w:rsidR="00680476" w:rsidRPr="005527DD">
              <w:rPr>
                <w:rFonts w:ascii="Arial" w:hAnsi="Arial" w:cs="Arial"/>
                <w:lang w:val="en-GB"/>
              </w:rPr>
              <w:t xml:space="preserve">development </w:t>
            </w:r>
            <w:r w:rsidR="00E27D3E" w:rsidRPr="005527DD">
              <w:rPr>
                <w:rFonts w:ascii="Arial" w:hAnsi="Arial" w:cs="Arial"/>
                <w:lang w:val="en-GB"/>
              </w:rPr>
              <w:t xml:space="preserve">in </w:t>
            </w:r>
            <w:r w:rsidR="00B60F1E" w:rsidRPr="005527DD">
              <w:rPr>
                <w:rFonts w:ascii="Arial" w:hAnsi="Arial" w:cs="Arial"/>
                <w:lang w:val="en-GB"/>
              </w:rPr>
              <w:t xml:space="preserve">preparation for the next stages of education and adulthood. </w:t>
            </w:r>
          </w:p>
          <w:p w14:paraId="28973049" w14:textId="1E0AA9D3" w:rsidR="000B6EE4" w:rsidRPr="000B6EE4" w:rsidRDefault="000B6EE4" w:rsidP="000B6EE4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652110" w:rsidRPr="005527DD" w14:paraId="480BD3B8" w14:textId="77777777" w:rsidTr="00E27D3E">
        <w:tc>
          <w:tcPr>
            <w:tcW w:w="9782" w:type="dxa"/>
          </w:tcPr>
          <w:p w14:paraId="7F833602" w14:textId="77777777" w:rsidR="00652110" w:rsidRPr="005527DD" w:rsidRDefault="00652110" w:rsidP="000B6EE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527D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MATi Outreach Services will:</w:t>
            </w:r>
          </w:p>
          <w:p w14:paraId="67BBEC93" w14:textId="77777777" w:rsidR="00652110" w:rsidRPr="005527DD" w:rsidRDefault="00652110" w:rsidP="00CF31A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5527DD">
              <w:rPr>
                <w:rFonts w:ascii="Arial" w:hAnsi="Arial" w:cs="Arial"/>
                <w:lang w:val="en-GB"/>
              </w:rPr>
              <w:t>Deploy highly experienced and appropriately qualified professionals with up-to-date knowledge of SEND practice, assessment and intervention.  Professional qualifications and memberships will be appropriate to the level and type of support delivered.</w:t>
            </w:r>
          </w:p>
          <w:p w14:paraId="2F6FBB5D" w14:textId="77777777" w:rsidR="00652110" w:rsidRPr="005527DD" w:rsidRDefault="00652110" w:rsidP="00CF31A9">
            <w:pPr>
              <w:pStyle w:val="ListParagraph"/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6C73B134" w14:textId="77777777" w:rsidR="00652110" w:rsidRPr="005527DD" w:rsidRDefault="00652110" w:rsidP="00CF31A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5527DD">
              <w:rPr>
                <w:rFonts w:ascii="Arial" w:hAnsi="Arial" w:cs="Arial"/>
                <w:lang w:val="en-GB"/>
              </w:rPr>
              <w:t>Ensure all staff are subject to enhanced DBS checks.  Schools/colleges will receive confirmation of all DBS numbers on an annual basis.</w:t>
            </w:r>
          </w:p>
          <w:p w14:paraId="2D62109A" w14:textId="77777777" w:rsidR="00652110" w:rsidRPr="005527DD" w:rsidRDefault="00652110" w:rsidP="00CF31A9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2623AF66" w14:textId="77777777" w:rsidR="00652110" w:rsidRPr="005527DD" w:rsidRDefault="00652110" w:rsidP="00CF31A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5527DD">
              <w:rPr>
                <w:rFonts w:ascii="Arial" w:hAnsi="Arial" w:cs="Arial"/>
                <w:lang w:val="en-GB"/>
              </w:rPr>
              <w:t xml:space="preserve">Maintain timely communication with schools regarding scheduling, changes, delays or cancellations. </w:t>
            </w:r>
          </w:p>
          <w:p w14:paraId="420CB286" w14:textId="77777777" w:rsidR="00652110" w:rsidRPr="005527DD" w:rsidRDefault="00652110" w:rsidP="00CF31A9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3B990719" w14:textId="77777777" w:rsidR="00652110" w:rsidRPr="000B6EE4" w:rsidRDefault="00652110" w:rsidP="00CF31A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lang w:val="en-GB"/>
              </w:rPr>
            </w:pPr>
            <w:r w:rsidRPr="005527DD">
              <w:rPr>
                <w:rFonts w:ascii="Arial" w:hAnsi="Arial" w:cs="Arial"/>
                <w:lang w:val="en-GB"/>
              </w:rPr>
              <w:t xml:space="preserve">Provide written reports or records of visits (where applicable and agreed) within 15 working days of the assessment or support session, using GDPR compliant encrypted email systems. </w:t>
            </w:r>
          </w:p>
          <w:p w14:paraId="66B85117" w14:textId="6794ACA5" w:rsidR="000B6EE4" w:rsidRPr="000B6EE4" w:rsidRDefault="000B6EE4" w:rsidP="000B6EE4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652110" w:rsidRPr="005527DD" w14:paraId="72D3D15A" w14:textId="77777777" w:rsidTr="00E27D3E">
        <w:tc>
          <w:tcPr>
            <w:tcW w:w="9782" w:type="dxa"/>
          </w:tcPr>
          <w:p w14:paraId="08B4173C" w14:textId="459DFE9F" w:rsidR="004A224F" w:rsidRPr="005527DD" w:rsidRDefault="004A224F" w:rsidP="00CF31A9">
            <w:pPr>
              <w:pStyle w:val="ListParagraph"/>
              <w:spacing w:line="276" w:lineRule="auto"/>
              <w:ind w:left="-109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5527DD">
              <w:rPr>
                <w:rFonts w:ascii="Arial" w:hAnsi="Arial" w:cs="Arial"/>
                <w:b/>
                <w:sz w:val="24"/>
                <w:szCs w:val="24"/>
                <w:lang w:val="en-GB"/>
              </w:rPr>
              <w:t>Service Packages and Pricing 2026-27</w:t>
            </w:r>
          </w:p>
          <w:p w14:paraId="7FEC1077" w14:textId="77777777" w:rsidR="004A224F" w:rsidRPr="005527DD" w:rsidRDefault="004A224F" w:rsidP="00CF31A9">
            <w:pPr>
              <w:pStyle w:val="ListParagraph"/>
              <w:spacing w:line="276" w:lineRule="auto"/>
              <w:ind w:left="-109"/>
              <w:rPr>
                <w:rFonts w:ascii="Arial" w:hAnsi="Arial" w:cs="Arial"/>
                <w:b/>
                <w:lang w:val="en-GB"/>
              </w:rPr>
            </w:pPr>
          </w:p>
          <w:p w14:paraId="1E40A3DD" w14:textId="1EEEAE36" w:rsidR="004A224F" w:rsidRPr="005527DD" w:rsidRDefault="004A224F" w:rsidP="00CF31A9">
            <w:pPr>
              <w:spacing w:line="276" w:lineRule="auto"/>
              <w:rPr>
                <w:rFonts w:ascii="Arial" w:hAnsi="Arial" w:cs="Arial"/>
                <w:bCs/>
                <w:lang w:val="en-GB"/>
              </w:rPr>
            </w:pPr>
            <w:r w:rsidRPr="005527DD">
              <w:rPr>
                <w:rFonts w:ascii="Arial" w:hAnsi="Arial" w:cs="Arial"/>
                <w:bCs/>
                <w:lang w:val="en-GB"/>
              </w:rPr>
              <w:t xml:space="preserve">Support is available via session-based </w:t>
            </w:r>
            <w:r w:rsidR="00D42E09" w:rsidRPr="005527DD">
              <w:rPr>
                <w:rFonts w:ascii="Arial" w:hAnsi="Arial" w:cs="Arial"/>
                <w:bCs/>
                <w:lang w:val="en-GB"/>
              </w:rPr>
              <w:t>purchasing</w:t>
            </w:r>
            <w:r w:rsidRPr="005527DD">
              <w:rPr>
                <w:rFonts w:ascii="Arial" w:hAnsi="Arial" w:cs="Arial"/>
                <w:bCs/>
                <w:lang w:val="en-GB"/>
              </w:rPr>
              <w:t xml:space="preserve">, as outlined in the MATi Outreach Services Brochure 2026-27 and Purchase Option Form 2026-27. </w:t>
            </w:r>
            <w:r w:rsidR="003A5D19" w:rsidRPr="005527DD">
              <w:rPr>
                <w:rFonts w:ascii="Arial" w:hAnsi="Arial" w:cs="Arial"/>
                <w:bCs/>
                <w:lang w:val="en-GB"/>
              </w:rPr>
              <w:t xml:space="preserve"> </w:t>
            </w:r>
          </w:p>
          <w:p w14:paraId="11C34174" w14:textId="77777777" w:rsidR="00CF31A9" w:rsidRDefault="00CF31A9" w:rsidP="00CF31A9">
            <w:pPr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</w:p>
          <w:p w14:paraId="4AE97685" w14:textId="77777777" w:rsidR="00652110" w:rsidRDefault="00D82DC2" w:rsidP="00244EEA">
            <w:pPr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All packages and session purchases relate to the academic year </w:t>
            </w: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t xml:space="preserve">1 September 2026 – 31 </w:t>
            </w:r>
            <w:r w:rsidR="00FF6E94"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t>July</w:t>
            </w: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t xml:space="preserve"> 2027</w:t>
            </w: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 and are subject to the terms below.</w:t>
            </w:r>
          </w:p>
          <w:p w14:paraId="326F4C6D" w14:textId="339FE6CE" w:rsidR="000B6EE4" w:rsidRPr="00244EEA" w:rsidRDefault="000B6EE4" w:rsidP="00244EEA">
            <w:pPr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</w:p>
        </w:tc>
      </w:tr>
      <w:tr w:rsidR="00652110" w:rsidRPr="005527DD" w14:paraId="7D1F54AC" w14:textId="77777777" w:rsidTr="00E27D3E">
        <w:tc>
          <w:tcPr>
            <w:tcW w:w="9782" w:type="dxa"/>
          </w:tcPr>
          <w:p w14:paraId="78008E3D" w14:textId="77777777" w:rsidR="007C6C29" w:rsidRPr="005527DD" w:rsidRDefault="007C6C29" w:rsidP="00CF31A9">
            <w:pPr>
              <w:spacing w:line="276" w:lineRule="auto"/>
              <w:jc w:val="center"/>
              <w:outlineLvl w:val="1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4"/>
                <w:lang w:val="en-GB" w:eastAsia="en-GB"/>
              </w:rPr>
            </w:pP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4"/>
                <w:lang w:val="en-GB" w:eastAsia="en-GB"/>
              </w:rPr>
              <w:t>Responsibilities of the School / College / Education Setting</w:t>
            </w:r>
          </w:p>
          <w:p w14:paraId="62A06637" w14:textId="77777777" w:rsidR="00B06495" w:rsidRDefault="00B06495" w:rsidP="00CF31A9">
            <w:p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</w:p>
          <w:p w14:paraId="485DAE4D" w14:textId="15D334E1" w:rsidR="007C6C29" w:rsidRPr="005527DD" w:rsidRDefault="007C6C29" w:rsidP="00CF31A9">
            <w:p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Schools and colleges agree to:</w:t>
            </w:r>
          </w:p>
          <w:p w14:paraId="4CF4886E" w14:textId="77777777" w:rsidR="007C6C29" w:rsidRPr="005527DD" w:rsidRDefault="007C6C29" w:rsidP="00CF31A9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Submit fully completed, </w:t>
            </w: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t>GDPR</w:t>
            </w: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noBreakHyphen/>
              <w:t>compliant referral forms</w:t>
            </w: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, including evidence of parental/carer consent (from an individual with parental responsibility), before support can be allocated.</w:t>
            </w:r>
          </w:p>
          <w:p w14:paraId="5C22B03D" w14:textId="77777777" w:rsidR="007C6C29" w:rsidRPr="005527DD" w:rsidRDefault="007C6C29" w:rsidP="00CF31A9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lastRenderedPageBreak/>
              <w:t>Ensure referrals align with purchased packages or sessions.</w:t>
            </w:r>
          </w:p>
          <w:p w14:paraId="39CFEA8E" w14:textId="77777777" w:rsidR="007C6C29" w:rsidRPr="005527DD" w:rsidRDefault="007C6C29" w:rsidP="00CF31A9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Submit referrals </w:t>
            </w: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t>in a timely and proportionate way across the academic year</w:t>
            </w: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, rather than holding all referrals for a single term.</w:t>
            </w:r>
          </w:p>
          <w:p w14:paraId="4E7C68F4" w14:textId="77777777" w:rsidR="00B06495" w:rsidRDefault="00B06495" w:rsidP="00CF31A9">
            <w:pPr>
              <w:spacing w:line="276" w:lineRule="auto"/>
              <w:outlineLvl w:val="2"/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</w:pPr>
          </w:p>
          <w:p w14:paraId="78660D9E" w14:textId="72BCC271" w:rsidR="007C6C29" w:rsidRDefault="007C6C29" w:rsidP="00CF31A9">
            <w:pPr>
              <w:spacing w:line="276" w:lineRule="auto"/>
              <w:outlineLvl w:val="2"/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t>Referral Deadlines and Capacity Management</w:t>
            </w:r>
          </w:p>
          <w:p w14:paraId="234CE409" w14:textId="77777777" w:rsidR="00B06495" w:rsidRPr="005527DD" w:rsidRDefault="00B06495" w:rsidP="00CF31A9">
            <w:pPr>
              <w:spacing w:line="276" w:lineRule="auto"/>
              <w:outlineLvl w:val="2"/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</w:pPr>
          </w:p>
          <w:p w14:paraId="7E2563E6" w14:textId="77777777" w:rsidR="007C6C29" w:rsidRPr="005527DD" w:rsidRDefault="007C6C29" w:rsidP="00CF31A9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All referrals for Summer Term 2027</w:t>
            </w: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t xml:space="preserve"> </w:t>
            </w: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support must be received by</w:t>
            </w: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t xml:space="preserve"> Thursday 25 March 2027</w:t>
            </w: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.</w:t>
            </w:r>
          </w:p>
          <w:p w14:paraId="7B767858" w14:textId="77777777" w:rsidR="007C6C29" w:rsidRPr="005527DD" w:rsidRDefault="007C6C29" w:rsidP="00CF31A9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Referrals submitted after this date </w:t>
            </w:r>
            <w:r w:rsidRPr="005527DD">
              <w:rPr>
                <w:rFonts w:ascii="Arial" w:hAnsi="Arial" w:cs="Arial"/>
                <w:b/>
                <w:bCs/>
                <w:i/>
                <w:iCs/>
                <w:color w:val="auto"/>
                <w:kern w:val="0"/>
                <w:lang w:val="en-GB" w:eastAsia="en-GB"/>
              </w:rPr>
              <w:t>may not be accommodated</w:t>
            </w: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 due to capacity limitations.</w:t>
            </w:r>
          </w:p>
          <w:p w14:paraId="0AF3C9AC" w14:textId="77777777" w:rsidR="007C6C29" w:rsidRPr="005527DD" w:rsidRDefault="007C6C29" w:rsidP="00CF31A9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Schools must not hold their full allocation for use solely in the Summer Term. Where referrals are not spread across the year, MATi Outreach Services </w:t>
            </w: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t>cannot guarantee capacity</w:t>
            </w: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 to deliver all purchased sessions.</w:t>
            </w:r>
          </w:p>
          <w:p w14:paraId="458C8F25" w14:textId="77777777" w:rsidR="007C6C29" w:rsidRPr="005527DD" w:rsidRDefault="007C6C29" w:rsidP="00CF31A9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Unused sessions resulting from late, incomplete or uneven referral submission </w:t>
            </w: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t>may be forfeited</w:t>
            </w: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.</w:t>
            </w:r>
          </w:p>
          <w:p w14:paraId="0BA8567F" w14:textId="77777777" w:rsidR="00B06495" w:rsidRDefault="00B06495" w:rsidP="00CF31A9">
            <w:pPr>
              <w:spacing w:line="276" w:lineRule="auto"/>
              <w:outlineLvl w:val="2"/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</w:pPr>
          </w:p>
          <w:p w14:paraId="3C5C591B" w14:textId="3E7E3AF3" w:rsidR="007C6C29" w:rsidRPr="005527DD" w:rsidRDefault="007C6C29" w:rsidP="00CF31A9">
            <w:pPr>
              <w:spacing w:line="276" w:lineRule="auto"/>
              <w:outlineLvl w:val="2"/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t>Additional Requirements</w:t>
            </w:r>
          </w:p>
          <w:p w14:paraId="425661E2" w14:textId="77777777" w:rsidR="00B06495" w:rsidRDefault="00B06495" w:rsidP="00CF31A9">
            <w:p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</w:p>
          <w:p w14:paraId="3DD33268" w14:textId="540AEDEC" w:rsidR="007C6C29" w:rsidRPr="005527DD" w:rsidRDefault="007C6C29" w:rsidP="00CF31A9">
            <w:p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Schools must also ensure that:</w:t>
            </w:r>
          </w:p>
          <w:p w14:paraId="6A419233" w14:textId="77777777" w:rsidR="007C6C29" w:rsidRPr="005527DD" w:rsidRDefault="007C6C29" w:rsidP="00CF31A9">
            <w:pPr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Sessions purchased for 2026–27 are used within that academic year and </w:t>
            </w: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t>cannot be carried forward</w:t>
            </w: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.</w:t>
            </w:r>
          </w:p>
          <w:p w14:paraId="7092A73C" w14:textId="77777777" w:rsidR="007C6C29" w:rsidRPr="005527DD" w:rsidRDefault="007C6C29" w:rsidP="00CF31A9">
            <w:pPr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Appropriate space is provided that is quiet and confidential, with Wi</w:t>
            </w: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noBreakHyphen/>
              <w:t>Fi access.</w:t>
            </w:r>
          </w:p>
          <w:p w14:paraId="45269A8A" w14:textId="77777777" w:rsidR="007C6C29" w:rsidRPr="005527DD" w:rsidRDefault="007C6C29" w:rsidP="00CF31A9">
            <w:pPr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A relevant member of staff is available during sessions to support liaison and receive verbal feedback.</w:t>
            </w:r>
          </w:p>
          <w:p w14:paraId="75036FC7" w14:textId="77777777" w:rsidR="007C6C29" w:rsidRPr="005527DD" w:rsidRDefault="007C6C29" w:rsidP="00CF31A9">
            <w:pPr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MATi Outreach Services is informed in advance if a child or young person is absent. Failure to provide notice where reasonably possible may result in the session being charged without an alternative date.</w:t>
            </w:r>
          </w:p>
          <w:p w14:paraId="1FE428B8" w14:textId="77777777" w:rsidR="007C6C29" w:rsidRPr="005527DD" w:rsidRDefault="007C6C29" w:rsidP="00CF31A9">
            <w:pPr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Reports are shared with parents/carers within </w:t>
            </w: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t>five working days</w:t>
            </w: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 of receipt by the school.</w:t>
            </w:r>
          </w:p>
          <w:p w14:paraId="0EFAE567" w14:textId="77777777" w:rsidR="007C6C29" w:rsidRPr="005527DD" w:rsidRDefault="007C6C29" w:rsidP="00CF31A9">
            <w:pPr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Training venues and IT arrangements are organised by the school, with access provided in advance of sessions.</w:t>
            </w:r>
          </w:p>
          <w:p w14:paraId="5B9BA53F" w14:textId="77777777" w:rsidR="00652110" w:rsidRPr="005527DD" w:rsidRDefault="00652110" w:rsidP="00CF31A9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652110" w:rsidRPr="005527DD" w14:paraId="6B07E99F" w14:textId="77777777" w:rsidTr="00E27D3E">
        <w:tc>
          <w:tcPr>
            <w:tcW w:w="9782" w:type="dxa"/>
          </w:tcPr>
          <w:p w14:paraId="443C20E0" w14:textId="77777777" w:rsidR="00B85A31" w:rsidRDefault="00B85A31" w:rsidP="00CF31A9">
            <w:pPr>
              <w:spacing w:line="276" w:lineRule="auto"/>
              <w:jc w:val="center"/>
              <w:outlineLvl w:val="1"/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val="en-GB" w:eastAsia="en-GB"/>
              </w:rPr>
            </w:pP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val="en-GB" w:eastAsia="en-GB"/>
              </w:rPr>
              <w:lastRenderedPageBreak/>
              <w:t>Session Structure</w:t>
            </w:r>
          </w:p>
          <w:p w14:paraId="7FCB42BE" w14:textId="77777777" w:rsidR="00511C4F" w:rsidRPr="005527DD" w:rsidRDefault="00511C4F" w:rsidP="00CF31A9">
            <w:pPr>
              <w:spacing w:line="276" w:lineRule="auto"/>
              <w:jc w:val="center"/>
              <w:outlineLvl w:val="1"/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val="en-GB" w:eastAsia="en-GB"/>
              </w:rPr>
            </w:pPr>
          </w:p>
          <w:p w14:paraId="51C5FBDA" w14:textId="77777777" w:rsidR="00B85A31" w:rsidRPr="005527DD" w:rsidRDefault="00B85A31" w:rsidP="00CF31A9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Standard sessions are </w:t>
            </w: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t>three hours</w:t>
            </w: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 in duration.</w:t>
            </w:r>
          </w:p>
          <w:p w14:paraId="335BC92A" w14:textId="77777777" w:rsidR="00B85A31" w:rsidRPr="005527DD" w:rsidRDefault="00B85A31" w:rsidP="00CF31A9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Typically, sessions run between </w:t>
            </w: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t>09:00–12:00</w:t>
            </w: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 or </w:t>
            </w: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t>13:00–16:00</w:t>
            </w: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, unless otherwise agreed.</w:t>
            </w:r>
          </w:p>
          <w:p w14:paraId="37867A54" w14:textId="77777777" w:rsidR="00652110" w:rsidRDefault="00B85A31" w:rsidP="00CF31A9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A session usually includes both direct work and associated preparation, analysis and reporting time</w:t>
            </w:r>
          </w:p>
          <w:p w14:paraId="45D08194" w14:textId="760842BE" w:rsidR="006A2539" w:rsidRPr="00511C4F" w:rsidRDefault="006A2539" w:rsidP="006A2539">
            <w:pPr>
              <w:spacing w:line="276" w:lineRule="auto"/>
              <w:ind w:left="720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</w:p>
        </w:tc>
      </w:tr>
      <w:tr w:rsidR="00B85A31" w:rsidRPr="005527DD" w14:paraId="6620E931" w14:textId="77777777" w:rsidTr="00E27D3E">
        <w:tc>
          <w:tcPr>
            <w:tcW w:w="9782" w:type="dxa"/>
          </w:tcPr>
          <w:p w14:paraId="0DDB9B5B" w14:textId="77777777" w:rsidR="003A1664" w:rsidRDefault="003A1664" w:rsidP="00CF31A9">
            <w:pPr>
              <w:spacing w:line="276" w:lineRule="auto"/>
              <w:jc w:val="center"/>
              <w:outlineLvl w:val="1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4"/>
                <w:lang w:val="en-GB" w:eastAsia="en-GB"/>
              </w:rPr>
            </w:pP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4"/>
                <w:lang w:val="en-GB" w:eastAsia="en-GB"/>
              </w:rPr>
              <w:t>Ordering, Invoicing and Payment</w:t>
            </w:r>
          </w:p>
          <w:p w14:paraId="243E2AA6" w14:textId="77777777" w:rsidR="00511C4F" w:rsidRPr="005527DD" w:rsidRDefault="00511C4F" w:rsidP="00CF31A9">
            <w:pPr>
              <w:spacing w:line="276" w:lineRule="auto"/>
              <w:jc w:val="center"/>
              <w:outlineLvl w:val="1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4"/>
                <w:lang w:val="en-GB" w:eastAsia="en-GB"/>
              </w:rPr>
            </w:pPr>
          </w:p>
          <w:p w14:paraId="3CE3A8AF" w14:textId="006F132E" w:rsidR="003A1664" w:rsidRPr="005527DD" w:rsidRDefault="003A1664" w:rsidP="00CF31A9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All services must be commissioned via the official purchase option </w:t>
            </w:r>
            <w:r w:rsidR="00ED25E8"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form.</w:t>
            </w:r>
          </w:p>
          <w:p w14:paraId="04CB0503" w14:textId="40AFF026" w:rsidR="003A1664" w:rsidRPr="005527DD" w:rsidRDefault="003A1664" w:rsidP="00CF31A9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Submission of a purchase</w:t>
            </w:r>
            <w:r w:rsidR="00ED25E8"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 option</w:t>
            </w: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 form constitutes a </w:t>
            </w: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t>contractually binding agreement</w:t>
            </w: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 to pay for services.</w:t>
            </w:r>
          </w:p>
          <w:p w14:paraId="7B8C09D8" w14:textId="77777777" w:rsidR="003A1664" w:rsidRPr="005527DD" w:rsidRDefault="003A1664" w:rsidP="00CF31A9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Invoices are payable within </w:t>
            </w: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  <w:t>30 days</w:t>
            </w: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 xml:space="preserve"> of receipt.</w:t>
            </w:r>
          </w:p>
          <w:p w14:paraId="4662A7CB" w14:textId="77777777" w:rsidR="003A1664" w:rsidRPr="005527DD" w:rsidRDefault="003A1664" w:rsidP="00CF31A9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color w:val="auto"/>
                <w:kern w:val="0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MATi Outreach Services will use all reasonable endeavours to deliver commissioned services within the academic year.</w:t>
            </w:r>
          </w:p>
          <w:p w14:paraId="761A32EF" w14:textId="77777777" w:rsidR="00B85A31" w:rsidRPr="00511C4F" w:rsidRDefault="00B85A31" w:rsidP="00CF31A9">
            <w:pPr>
              <w:spacing w:line="276" w:lineRule="auto"/>
              <w:outlineLvl w:val="1"/>
              <w:rPr>
                <w:rFonts w:ascii="Arial" w:hAnsi="Arial" w:cs="Arial"/>
                <w:b/>
                <w:bCs/>
                <w:color w:val="auto"/>
                <w:kern w:val="0"/>
                <w:lang w:val="en-GB" w:eastAsia="en-GB"/>
              </w:rPr>
            </w:pPr>
          </w:p>
        </w:tc>
      </w:tr>
      <w:tr w:rsidR="00D901F1" w:rsidRPr="005527DD" w14:paraId="44ECB065" w14:textId="77777777" w:rsidTr="00E27D3E">
        <w:tc>
          <w:tcPr>
            <w:tcW w:w="9782" w:type="dxa"/>
          </w:tcPr>
          <w:p w14:paraId="615366BF" w14:textId="77777777" w:rsidR="008B717A" w:rsidRDefault="008B717A" w:rsidP="00CF31A9">
            <w:pPr>
              <w:spacing w:line="276" w:lineRule="auto"/>
              <w:jc w:val="center"/>
              <w:outlineLvl w:val="1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4"/>
                <w:lang w:val="en-GB" w:eastAsia="en-GB"/>
              </w:rPr>
            </w:pPr>
            <w:r w:rsidRPr="005527DD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4"/>
                <w:lang w:val="en-GB" w:eastAsia="en-GB"/>
              </w:rPr>
              <w:t>Acceptance of Terms</w:t>
            </w:r>
          </w:p>
          <w:p w14:paraId="3FB59A50" w14:textId="77777777" w:rsidR="00511C4F" w:rsidRPr="005527DD" w:rsidRDefault="00511C4F" w:rsidP="00CF31A9">
            <w:pPr>
              <w:spacing w:line="276" w:lineRule="auto"/>
              <w:jc w:val="center"/>
              <w:outlineLvl w:val="1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4"/>
                <w:lang w:val="en-GB" w:eastAsia="en-GB"/>
              </w:rPr>
            </w:pPr>
          </w:p>
          <w:p w14:paraId="1A27D795" w14:textId="77777777" w:rsidR="00D901F1" w:rsidRPr="005527DD" w:rsidRDefault="008B717A" w:rsidP="00CF31A9">
            <w:pPr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kern w:val="0"/>
                <w:sz w:val="22"/>
                <w:szCs w:val="22"/>
                <w:lang w:val="en-GB" w:eastAsia="en-GB"/>
              </w:rPr>
            </w:pPr>
            <w:r w:rsidRPr="005527DD">
              <w:rPr>
                <w:rFonts w:ascii="Arial" w:hAnsi="Arial" w:cs="Arial"/>
                <w:color w:val="auto"/>
                <w:kern w:val="0"/>
                <w:lang w:val="en-GB" w:eastAsia="en-GB"/>
              </w:rPr>
              <w:t>By signing and returning the Purchase Option Reply Form, schools and colleges confirm acceptance of the terms set out in this Service Level Agreement for the 2026–27 academic year</w:t>
            </w:r>
            <w:r w:rsidRPr="005527DD">
              <w:rPr>
                <w:rFonts w:ascii="Arial" w:hAnsi="Arial" w:cs="Arial"/>
                <w:color w:val="auto"/>
                <w:kern w:val="0"/>
                <w:sz w:val="22"/>
                <w:szCs w:val="22"/>
                <w:lang w:val="en-GB" w:eastAsia="en-GB"/>
              </w:rPr>
              <w:t>.</w:t>
            </w:r>
          </w:p>
          <w:p w14:paraId="178ADA7D" w14:textId="172EA9E0" w:rsidR="001E7D8D" w:rsidRPr="005527DD" w:rsidRDefault="001E7D8D" w:rsidP="00CF31A9">
            <w:pPr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kern w:val="0"/>
                <w:sz w:val="22"/>
                <w:szCs w:val="22"/>
                <w:lang w:val="en-GB" w:eastAsia="en-GB"/>
              </w:rPr>
            </w:pPr>
          </w:p>
        </w:tc>
      </w:tr>
      <w:bookmarkEnd w:id="0"/>
    </w:tbl>
    <w:p w14:paraId="5802F75F" w14:textId="77777777" w:rsidR="00E27D3E" w:rsidRPr="005527DD" w:rsidRDefault="00E27D3E" w:rsidP="00E27D3E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</w:p>
    <w:sectPr w:rsidR="00E27D3E" w:rsidRPr="005527DD" w:rsidSect="00B56827">
      <w:footerReference w:type="default" r:id="rId10"/>
      <w:headerReference w:type="first" r:id="rId11"/>
      <w:pgSz w:w="11906" w:h="16838"/>
      <w:pgMar w:top="1440" w:right="1440" w:bottom="1440" w:left="1440" w:header="1757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0CC7" w14:textId="77777777" w:rsidR="008E1C0A" w:rsidRPr="00587308" w:rsidRDefault="008E1C0A" w:rsidP="00E27D3E">
      <w:r w:rsidRPr="00587308">
        <w:separator/>
      </w:r>
    </w:p>
  </w:endnote>
  <w:endnote w:type="continuationSeparator" w:id="0">
    <w:p w14:paraId="35285BBD" w14:textId="77777777" w:rsidR="008E1C0A" w:rsidRPr="00587308" w:rsidRDefault="008E1C0A" w:rsidP="00E27D3E">
      <w:r w:rsidRPr="00587308">
        <w:continuationSeparator/>
      </w:r>
    </w:p>
  </w:endnote>
  <w:endnote w:type="continuationNotice" w:id="1">
    <w:p w14:paraId="03BD60B1" w14:textId="77777777" w:rsidR="008E1C0A" w:rsidRPr="00587308" w:rsidRDefault="008E1C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771A" w14:textId="6A02A451" w:rsidR="00233734" w:rsidRPr="00587308" w:rsidRDefault="00233734" w:rsidP="00233734">
    <w:pPr>
      <w:shd w:val="clear" w:color="auto" w:fill="FFFFFF"/>
      <w:spacing w:line="230" w:lineRule="atLeast"/>
      <w:jc w:val="center"/>
      <w:rPr>
        <w:rFonts w:ascii="Arial" w:hAnsi="Arial" w:cs="Arial"/>
        <w:color w:val="808080"/>
        <w:kern w:val="0"/>
        <w:sz w:val="16"/>
        <w:szCs w:val="16"/>
        <w:bdr w:val="none" w:sz="0" w:space="0" w:color="auto" w:frame="1"/>
        <w:lang w:eastAsia="en-GB"/>
      </w:rPr>
    </w:pPr>
    <w:r w:rsidRPr="00587308">
      <w:rPr>
        <w:rFonts w:ascii="Calibri" w:eastAsia="MS Mincho" w:hAnsi="Calibri"/>
        <w:noProof/>
        <w:color w:val="595959"/>
        <w:kern w:val="20"/>
        <w:lang w:eastAsia="ja-JP"/>
      </w:rPr>
      <w:drawing>
        <wp:anchor distT="0" distB="0" distL="114300" distR="114300" simplePos="0" relativeHeight="251658240" behindDoc="0" locked="0" layoutInCell="1" allowOverlap="1" wp14:anchorId="615A0CB7" wp14:editId="2A0A2842">
          <wp:simplePos x="0" y="0"/>
          <wp:positionH relativeFrom="column">
            <wp:posOffset>5844540</wp:posOffset>
          </wp:positionH>
          <wp:positionV relativeFrom="paragraph">
            <wp:posOffset>-364185</wp:posOffset>
          </wp:positionV>
          <wp:extent cx="568960" cy="568960"/>
          <wp:effectExtent l="0" t="0" r="0" b="2540"/>
          <wp:wrapThrough wrapText="bothSides">
            <wp:wrapPolygon edited="0">
              <wp:start x="12295" y="0"/>
              <wp:lineTo x="4339" y="1446"/>
              <wp:lineTo x="2893" y="10848"/>
              <wp:lineTo x="5063" y="20973"/>
              <wp:lineTo x="15911" y="20973"/>
              <wp:lineTo x="18080" y="12295"/>
              <wp:lineTo x="18080" y="5786"/>
              <wp:lineTo x="15911" y="0"/>
              <wp:lineTo x="12295" y="0"/>
            </wp:wrapPolygon>
          </wp:wrapThrough>
          <wp:docPr id="810283078" name="Picture 1" descr="A colorful puzzle piece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533649" name="Picture 1" descr="A colorful puzzle piece in a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308">
      <w:rPr>
        <w:rFonts w:ascii="Arial" w:hAnsi="Arial" w:cs="Arial"/>
        <w:color w:val="808080"/>
        <w:kern w:val="0"/>
        <w:sz w:val="16"/>
        <w:szCs w:val="16"/>
        <w:lang w:eastAsia="en-GB"/>
      </w:rPr>
      <w:t xml:space="preserve">Page </w:t>
    </w:r>
    <w:r w:rsidRPr="00587308">
      <w:rPr>
        <w:rFonts w:ascii="Arial" w:hAnsi="Arial" w:cs="Arial"/>
        <w:color w:val="808080"/>
        <w:kern w:val="0"/>
        <w:sz w:val="16"/>
        <w:szCs w:val="16"/>
        <w:lang w:eastAsia="en-GB"/>
      </w:rPr>
      <w:fldChar w:fldCharType="begin"/>
    </w:r>
    <w:r w:rsidRPr="00587308">
      <w:rPr>
        <w:rFonts w:ascii="Arial" w:hAnsi="Arial" w:cs="Arial"/>
        <w:color w:val="808080"/>
        <w:kern w:val="0"/>
        <w:sz w:val="16"/>
        <w:szCs w:val="16"/>
        <w:lang w:eastAsia="en-GB"/>
      </w:rPr>
      <w:instrText xml:space="preserve"> PAGE   \* MERGEFORMAT </w:instrText>
    </w:r>
    <w:r w:rsidRPr="00587308">
      <w:rPr>
        <w:rFonts w:ascii="Arial" w:hAnsi="Arial" w:cs="Arial"/>
        <w:color w:val="808080"/>
        <w:kern w:val="0"/>
        <w:sz w:val="16"/>
        <w:szCs w:val="16"/>
        <w:lang w:eastAsia="en-GB"/>
      </w:rPr>
      <w:fldChar w:fldCharType="separate"/>
    </w:r>
    <w:r w:rsidRPr="00587308">
      <w:rPr>
        <w:rFonts w:ascii="Arial" w:hAnsi="Arial" w:cs="Arial"/>
        <w:color w:val="808080"/>
        <w:kern w:val="0"/>
        <w:sz w:val="16"/>
        <w:szCs w:val="16"/>
        <w:lang w:eastAsia="ja-JP"/>
      </w:rPr>
      <w:t>2</w:t>
    </w:r>
    <w:r w:rsidRPr="00587308">
      <w:rPr>
        <w:rFonts w:ascii="Arial" w:hAnsi="Arial" w:cs="Arial"/>
        <w:color w:val="808080"/>
        <w:kern w:val="0"/>
        <w:sz w:val="16"/>
        <w:szCs w:val="16"/>
        <w:lang w:eastAsia="en-GB"/>
      </w:rPr>
      <w:fldChar w:fldCharType="end"/>
    </w:r>
    <w:bookmarkStart w:id="1" w:name="_Hlk126845206"/>
    <w:r w:rsidRPr="00587308">
      <w:rPr>
        <w:rFonts w:ascii="Arial" w:hAnsi="Arial" w:cs="Arial"/>
        <w:color w:val="808080"/>
        <w:kern w:val="0"/>
        <w:sz w:val="16"/>
        <w:szCs w:val="16"/>
        <w:bdr w:val="none" w:sz="0" w:space="0" w:color="auto" w:frame="1"/>
        <w:lang w:eastAsia="en-GB"/>
      </w:rPr>
      <w:t xml:space="preserve"> 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D7C0" w14:textId="77777777" w:rsidR="008E1C0A" w:rsidRPr="00587308" w:rsidRDefault="008E1C0A" w:rsidP="00E27D3E">
      <w:r w:rsidRPr="00587308">
        <w:separator/>
      </w:r>
    </w:p>
  </w:footnote>
  <w:footnote w:type="continuationSeparator" w:id="0">
    <w:p w14:paraId="7B2C47F1" w14:textId="77777777" w:rsidR="008E1C0A" w:rsidRPr="00587308" w:rsidRDefault="008E1C0A" w:rsidP="00E27D3E">
      <w:r w:rsidRPr="00587308">
        <w:continuationSeparator/>
      </w:r>
    </w:p>
  </w:footnote>
  <w:footnote w:type="continuationNotice" w:id="1">
    <w:p w14:paraId="26EB1583" w14:textId="77777777" w:rsidR="008E1C0A" w:rsidRPr="00587308" w:rsidRDefault="008E1C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FF69" w14:textId="4DAAF66F" w:rsidR="0073111C" w:rsidRPr="00587308" w:rsidRDefault="00D37581">
    <w:pPr>
      <w:pStyle w:val="Header"/>
    </w:pPr>
    <w:r w:rsidRPr="00587308">
      <w:rPr>
        <w:rFonts w:ascii="Calibri" w:eastAsia="Calibri" w:hAnsi="Calibri"/>
        <w:noProof/>
        <w:color w:val="595959"/>
        <w:kern w:val="20"/>
        <w:lang w:eastAsia="ja-JP"/>
      </w:rPr>
      <w:drawing>
        <wp:anchor distT="0" distB="0" distL="114300" distR="114300" simplePos="0" relativeHeight="251658241" behindDoc="0" locked="0" layoutInCell="1" allowOverlap="1" wp14:anchorId="32BCD3CC" wp14:editId="241B4402">
          <wp:simplePos x="0" y="0"/>
          <wp:positionH relativeFrom="margin">
            <wp:posOffset>-189781</wp:posOffset>
          </wp:positionH>
          <wp:positionV relativeFrom="paragraph">
            <wp:posOffset>-948870</wp:posOffset>
          </wp:positionV>
          <wp:extent cx="6645910" cy="1417320"/>
          <wp:effectExtent l="0" t="0" r="2540" b="0"/>
          <wp:wrapThrough wrapText="bothSides">
            <wp:wrapPolygon edited="0">
              <wp:start x="0" y="0"/>
              <wp:lineTo x="0" y="21194"/>
              <wp:lineTo x="21546" y="21194"/>
              <wp:lineTo x="21546" y="0"/>
              <wp:lineTo x="0" y="0"/>
            </wp:wrapPolygon>
          </wp:wrapThrough>
          <wp:docPr id="550361105" name="Picture 2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223988" name="Picture 2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6645910" cy="1417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4AC2"/>
    <w:multiLevelType w:val="hybridMultilevel"/>
    <w:tmpl w:val="71C65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27F49"/>
    <w:multiLevelType w:val="multilevel"/>
    <w:tmpl w:val="D43C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E6748"/>
    <w:multiLevelType w:val="multilevel"/>
    <w:tmpl w:val="07EA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266F0"/>
    <w:multiLevelType w:val="hybridMultilevel"/>
    <w:tmpl w:val="69F2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305F9"/>
    <w:multiLevelType w:val="multilevel"/>
    <w:tmpl w:val="B604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F3C82"/>
    <w:multiLevelType w:val="hybridMultilevel"/>
    <w:tmpl w:val="05BE9F62"/>
    <w:lvl w:ilvl="0" w:tplc="0809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6" w15:restartNumberingAfterBreak="0">
    <w:nsid w:val="320C2111"/>
    <w:multiLevelType w:val="hybridMultilevel"/>
    <w:tmpl w:val="547EC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721E"/>
    <w:multiLevelType w:val="multilevel"/>
    <w:tmpl w:val="4E00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54FE9"/>
    <w:multiLevelType w:val="multilevel"/>
    <w:tmpl w:val="B6C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B6143"/>
    <w:multiLevelType w:val="multilevel"/>
    <w:tmpl w:val="377A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1274"/>
    <w:multiLevelType w:val="hybridMultilevel"/>
    <w:tmpl w:val="361AF88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32877"/>
    <w:multiLevelType w:val="hybridMultilevel"/>
    <w:tmpl w:val="181C3DBA"/>
    <w:lvl w:ilvl="0" w:tplc="0809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2" w15:restartNumberingAfterBreak="0">
    <w:nsid w:val="49AC1227"/>
    <w:multiLevelType w:val="hybridMultilevel"/>
    <w:tmpl w:val="40E87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54925"/>
    <w:multiLevelType w:val="hybridMultilevel"/>
    <w:tmpl w:val="C686ACD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F21FD"/>
    <w:multiLevelType w:val="hybridMultilevel"/>
    <w:tmpl w:val="FF2AB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F4055"/>
    <w:multiLevelType w:val="multilevel"/>
    <w:tmpl w:val="8CF2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250F5E"/>
    <w:multiLevelType w:val="multilevel"/>
    <w:tmpl w:val="630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139005">
    <w:abstractNumId w:val="10"/>
  </w:num>
  <w:num w:numId="2" w16cid:durableId="1841580817">
    <w:abstractNumId w:val="3"/>
  </w:num>
  <w:num w:numId="3" w16cid:durableId="2122868929">
    <w:abstractNumId w:val="13"/>
  </w:num>
  <w:num w:numId="4" w16cid:durableId="501166429">
    <w:abstractNumId w:val="14"/>
  </w:num>
  <w:num w:numId="5" w16cid:durableId="809401650">
    <w:abstractNumId w:val="6"/>
  </w:num>
  <w:num w:numId="6" w16cid:durableId="1185904165">
    <w:abstractNumId w:val="0"/>
  </w:num>
  <w:num w:numId="7" w16cid:durableId="2058813734">
    <w:abstractNumId w:val="12"/>
  </w:num>
  <w:num w:numId="8" w16cid:durableId="976837865">
    <w:abstractNumId w:val="5"/>
  </w:num>
  <w:num w:numId="9" w16cid:durableId="73943433">
    <w:abstractNumId w:val="11"/>
  </w:num>
  <w:num w:numId="10" w16cid:durableId="736394370">
    <w:abstractNumId w:val="7"/>
  </w:num>
  <w:num w:numId="11" w16cid:durableId="2132823838">
    <w:abstractNumId w:val="15"/>
  </w:num>
  <w:num w:numId="12" w16cid:durableId="12273219">
    <w:abstractNumId w:val="16"/>
  </w:num>
  <w:num w:numId="13" w16cid:durableId="374354074">
    <w:abstractNumId w:val="8"/>
  </w:num>
  <w:num w:numId="14" w16cid:durableId="513155703">
    <w:abstractNumId w:val="9"/>
  </w:num>
  <w:num w:numId="15" w16cid:durableId="683753810">
    <w:abstractNumId w:val="2"/>
  </w:num>
  <w:num w:numId="16" w16cid:durableId="591553206">
    <w:abstractNumId w:val="1"/>
  </w:num>
  <w:num w:numId="17" w16cid:durableId="1381857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3E"/>
    <w:rsid w:val="0002358E"/>
    <w:rsid w:val="00035D82"/>
    <w:rsid w:val="00054815"/>
    <w:rsid w:val="000602D7"/>
    <w:rsid w:val="00082F6A"/>
    <w:rsid w:val="000A3ABD"/>
    <w:rsid w:val="000B1A35"/>
    <w:rsid w:val="000B6EE4"/>
    <w:rsid w:val="000B701B"/>
    <w:rsid w:val="000C3505"/>
    <w:rsid w:val="000D2E17"/>
    <w:rsid w:val="000E6242"/>
    <w:rsid w:val="00112745"/>
    <w:rsid w:val="00116594"/>
    <w:rsid w:val="00123366"/>
    <w:rsid w:val="0013614C"/>
    <w:rsid w:val="00157142"/>
    <w:rsid w:val="00161C9F"/>
    <w:rsid w:val="001809B6"/>
    <w:rsid w:val="00182AD1"/>
    <w:rsid w:val="001A3C7E"/>
    <w:rsid w:val="001A7AB1"/>
    <w:rsid w:val="001B7696"/>
    <w:rsid w:val="001D369F"/>
    <w:rsid w:val="001E1CAE"/>
    <w:rsid w:val="001E4418"/>
    <w:rsid w:val="001E461F"/>
    <w:rsid w:val="001E7D8D"/>
    <w:rsid w:val="00202700"/>
    <w:rsid w:val="00203122"/>
    <w:rsid w:val="002043F3"/>
    <w:rsid w:val="002065BA"/>
    <w:rsid w:val="002116AC"/>
    <w:rsid w:val="002116FB"/>
    <w:rsid w:val="00214E6A"/>
    <w:rsid w:val="00216105"/>
    <w:rsid w:val="00223516"/>
    <w:rsid w:val="0023088A"/>
    <w:rsid w:val="00233734"/>
    <w:rsid w:val="00244EEA"/>
    <w:rsid w:val="00245691"/>
    <w:rsid w:val="00246B88"/>
    <w:rsid w:val="00260D3C"/>
    <w:rsid w:val="00264B42"/>
    <w:rsid w:val="00280154"/>
    <w:rsid w:val="00295E14"/>
    <w:rsid w:val="0029747A"/>
    <w:rsid w:val="002A0E97"/>
    <w:rsid w:val="002A7D82"/>
    <w:rsid w:val="002B6CD0"/>
    <w:rsid w:val="002C6159"/>
    <w:rsid w:val="002D3A17"/>
    <w:rsid w:val="002D63A0"/>
    <w:rsid w:val="002D7DF0"/>
    <w:rsid w:val="0031440D"/>
    <w:rsid w:val="003160C3"/>
    <w:rsid w:val="00324C33"/>
    <w:rsid w:val="0032797B"/>
    <w:rsid w:val="0033515A"/>
    <w:rsid w:val="00337068"/>
    <w:rsid w:val="00341FC5"/>
    <w:rsid w:val="00355BAE"/>
    <w:rsid w:val="00365FC3"/>
    <w:rsid w:val="00396CE0"/>
    <w:rsid w:val="003A15FC"/>
    <w:rsid w:val="003A1664"/>
    <w:rsid w:val="003A5D19"/>
    <w:rsid w:val="003C04C2"/>
    <w:rsid w:val="003C089F"/>
    <w:rsid w:val="003C26EA"/>
    <w:rsid w:val="003E4255"/>
    <w:rsid w:val="003E4E64"/>
    <w:rsid w:val="00403975"/>
    <w:rsid w:val="00410D2C"/>
    <w:rsid w:val="00412F86"/>
    <w:rsid w:val="00416830"/>
    <w:rsid w:val="004314E0"/>
    <w:rsid w:val="004424C4"/>
    <w:rsid w:val="00451710"/>
    <w:rsid w:val="00453A09"/>
    <w:rsid w:val="004569E5"/>
    <w:rsid w:val="00472D1C"/>
    <w:rsid w:val="00473F4D"/>
    <w:rsid w:val="004757CD"/>
    <w:rsid w:val="004A224F"/>
    <w:rsid w:val="004A3E44"/>
    <w:rsid w:val="004B44E0"/>
    <w:rsid w:val="004B69F8"/>
    <w:rsid w:val="004C59FB"/>
    <w:rsid w:val="0050191B"/>
    <w:rsid w:val="00511C4F"/>
    <w:rsid w:val="005160E4"/>
    <w:rsid w:val="00524C93"/>
    <w:rsid w:val="00541AB2"/>
    <w:rsid w:val="005527DD"/>
    <w:rsid w:val="00577E15"/>
    <w:rsid w:val="00583CCA"/>
    <w:rsid w:val="00586D58"/>
    <w:rsid w:val="00587308"/>
    <w:rsid w:val="00591A9D"/>
    <w:rsid w:val="005A11B2"/>
    <w:rsid w:val="005B56AB"/>
    <w:rsid w:val="005E5965"/>
    <w:rsid w:val="006134B5"/>
    <w:rsid w:val="00615B7E"/>
    <w:rsid w:val="00615CBF"/>
    <w:rsid w:val="00621D62"/>
    <w:rsid w:val="006320E7"/>
    <w:rsid w:val="00635F5C"/>
    <w:rsid w:val="00652110"/>
    <w:rsid w:val="00655649"/>
    <w:rsid w:val="00660081"/>
    <w:rsid w:val="00665D68"/>
    <w:rsid w:val="00670E6F"/>
    <w:rsid w:val="00674842"/>
    <w:rsid w:val="00680476"/>
    <w:rsid w:val="00681740"/>
    <w:rsid w:val="006861FF"/>
    <w:rsid w:val="006A2539"/>
    <w:rsid w:val="006E1FB4"/>
    <w:rsid w:val="006E2153"/>
    <w:rsid w:val="00707E1B"/>
    <w:rsid w:val="00721CCC"/>
    <w:rsid w:val="00722D22"/>
    <w:rsid w:val="0072335D"/>
    <w:rsid w:val="0073111C"/>
    <w:rsid w:val="00765B16"/>
    <w:rsid w:val="0078670B"/>
    <w:rsid w:val="0079064B"/>
    <w:rsid w:val="0079482C"/>
    <w:rsid w:val="007960A1"/>
    <w:rsid w:val="007C0CCF"/>
    <w:rsid w:val="007C6C29"/>
    <w:rsid w:val="00801F32"/>
    <w:rsid w:val="0080241D"/>
    <w:rsid w:val="008250B7"/>
    <w:rsid w:val="00831BCD"/>
    <w:rsid w:val="008446C7"/>
    <w:rsid w:val="00851B64"/>
    <w:rsid w:val="00851F82"/>
    <w:rsid w:val="008761FF"/>
    <w:rsid w:val="00895470"/>
    <w:rsid w:val="008A082E"/>
    <w:rsid w:val="008A118F"/>
    <w:rsid w:val="008B0C0D"/>
    <w:rsid w:val="008B717A"/>
    <w:rsid w:val="008D23E1"/>
    <w:rsid w:val="008D60D4"/>
    <w:rsid w:val="008E1C0A"/>
    <w:rsid w:val="00903EE0"/>
    <w:rsid w:val="00910FB0"/>
    <w:rsid w:val="0091620A"/>
    <w:rsid w:val="009261C8"/>
    <w:rsid w:val="00933D62"/>
    <w:rsid w:val="00957E27"/>
    <w:rsid w:val="0096408C"/>
    <w:rsid w:val="00965753"/>
    <w:rsid w:val="00970F69"/>
    <w:rsid w:val="009723A5"/>
    <w:rsid w:val="009763B5"/>
    <w:rsid w:val="009962A5"/>
    <w:rsid w:val="009A5A26"/>
    <w:rsid w:val="009B1223"/>
    <w:rsid w:val="009C0E2D"/>
    <w:rsid w:val="009D5612"/>
    <w:rsid w:val="009E7DD1"/>
    <w:rsid w:val="009F23A1"/>
    <w:rsid w:val="009F330D"/>
    <w:rsid w:val="009F65E3"/>
    <w:rsid w:val="00A05989"/>
    <w:rsid w:val="00A05E59"/>
    <w:rsid w:val="00A16914"/>
    <w:rsid w:val="00A337D2"/>
    <w:rsid w:val="00A464AE"/>
    <w:rsid w:val="00A51CDC"/>
    <w:rsid w:val="00A60A1D"/>
    <w:rsid w:val="00A63D7A"/>
    <w:rsid w:val="00A66A8F"/>
    <w:rsid w:val="00A87720"/>
    <w:rsid w:val="00A94C21"/>
    <w:rsid w:val="00AA2C98"/>
    <w:rsid w:val="00AA5FEA"/>
    <w:rsid w:val="00AB04FE"/>
    <w:rsid w:val="00AC24B7"/>
    <w:rsid w:val="00AF3E12"/>
    <w:rsid w:val="00B06495"/>
    <w:rsid w:val="00B10102"/>
    <w:rsid w:val="00B31AB2"/>
    <w:rsid w:val="00B347BC"/>
    <w:rsid w:val="00B43079"/>
    <w:rsid w:val="00B56827"/>
    <w:rsid w:val="00B60F1E"/>
    <w:rsid w:val="00B73845"/>
    <w:rsid w:val="00B748AE"/>
    <w:rsid w:val="00B757FF"/>
    <w:rsid w:val="00B76763"/>
    <w:rsid w:val="00B810C4"/>
    <w:rsid w:val="00B83F43"/>
    <w:rsid w:val="00B847F7"/>
    <w:rsid w:val="00B85A31"/>
    <w:rsid w:val="00B95BC8"/>
    <w:rsid w:val="00B95E23"/>
    <w:rsid w:val="00BA0A88"/>
    <w:rsid w:val="00BB3D0B"/>
    <w:rsid w:val="00BC106F"/>
    <w:rsid w:val="00BE0168"/>
    <w:rsid w:val="00BF5E01"/>
    <w:rsid w:val="00C172BF"/>
    <w:rsid w:val="00C30CF1"/>
    <w:rsid w:val="00C6320C"/>
    <w:rsid w:val="00C73FB1"/>
    <w:rsid w:val="00C9065F"/>
    <w:rsid w:val="00C9182D"/>
    <w:rsid w:val="00CB6262"/>
    <w:rsid w:val="00CC0DFE"/>
    <w:rsid w:val="00CC40CA"/>
    <w:rsid w:val="00CF31A9"/>
    <w:rsid w:val="00D02F30"/>
    <w:rsid w:val="00D149E8"/>
    <w:rsid w:val="00D20C84"/>
    <w:rsid w:val="00D25708"/>
    <w:rsid w:val="00D37581"/>
    <w:rsid w:val="00D42E09"/>
    <w:rsid w:val="00D44152"/>
    <w:rsid w:val="00D75C02"/>
    <w:rsid w:val="00D7713F"/>
    <w:rsid w:val="00D82DC2"/>
    <w:rsid w:val="00D86F0A"/>
    <w:rsid w:val="00D901F1"/>
    <w:rsid w:val="00D9106A"/>
    <w:rsid w:val="00D93A76"/>
    <w:rsid w:val="00DA78A9"/>
    <w:rsid w:val="00DB715E"/>
    <w:rsid w:val="00DB725D"/>
    <w:rsid w:val="00DC0326"/>
    <w:rsid w:val="00DE01AA"/>
    <w:rsid w:val="00DE4969"/>
    <w:rsid w:val="00DF44F2"/>
    <w:rsid w:val="00E27D3E"/>
    <w:rsid w:val="00E33013"/>
    <w:rsid w:val="00E41EDA"/>
    <w:rsid w:val="00E613BE"/>
    <w:rsid w:val="00EA72A3"/>
    <w:rsid w:val="00EA7610"/>
    <w:rsid w:val="00EB0B9F"/>
    <w:rsid w:val="00EC74FC"/>
    <w:rsid w:val="00ED25E8"/>
    <w:rsid w:val="00EF2A2A"/>
    <w:rsid w:val="00F06172"/>
    <w:rsid w:val="00F24913"/>
    <w:rsid w:val="00F26929"/>
    <w:rsid w:val="00F4757B"/>
    <w:rsid w:val="00F53F49"/>
    <w:rsid w:val="00F669D5"/>
    <w:rsid w:val="00F7568A"/>
    <w:rsid w:val="00F90B32"/>
    <w:rsid w:val="00F91707"/>
    <w:rsid w:val="00F96D6C"/>
    <w:rsid w:val="00FB1205"/>
    <w:rsid w:val="00FD07DF"/>
    <w:rsid w:val="00FD3336"/>
    <w:rsid w:val="00FD6855"/>
    <w:rsid w:val="00FE30A3"/>
    <w:rsid w:val="00FE4F9C"/>
    <w:rsid w:val="00FE6399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17EB5"/>
  <w15:chartTrackingRefBased/>
  <w15:docId w15:val="{2D2BC6D8-ADE7-432C-B685-C2DF5689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D3E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D3E"/>
    <w:pPr>
      <w:ind w:left="720"/>
      <w:contextualSpacing/>
    </w:pPr>
  </w:style>
  <w:style w:type="table" w:styleId="TableGrid">
    <w:name w:val="Table Grid"/>
    <w:basedOn w:val="TableNormal"/>
    <w:uiPriority w:val="39"/>
    <w:rsid w:val="00E27D3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2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D3E"/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D3E"/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1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F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0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C84"/>
  </w:style>
  <w:style w:type="character" w:customStyle="1" w:styleId="CommentTextChar">
    <w:name w:val="Comment Text Char"/>
    <w:basedOn w:val="DefaultParagraphFont"/>
    <w:link w:val="CommentText"/>
    <w:uiPriority w:val="99"/>
    <w:rsid w:val="00D20C84"/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C84"/>
    <w:rPr>
      <w:rFonts w:ascii="Times New Roman" w:eastAsia="Times New Roman" w:hAnsi="Times New Roman" w:cs="Times New Roman"/>
      <w:b/>
      <w:bCs/>
      <w:color w:val="21212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bbc37-04e0-430a-b55d-570e268792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A61B156D40349B37BEF04FA06C2BA" ma:contentTypeVersion="13" ma:contentTypeDescription="Create a new document." ma:contentTypeScope="" ma:versionID="4f18be148892b3920abd78b2772de243">
  <xsd:schema xmlns:xsd="http://www.w3.org/2001/XMLSchema" xmlns:xs="http://www.w3.org/2001/XMLSchema" xmlns:p="http://schemas.microsoft.com/office/2006/metadata/properties" xmlns:ns2="81ebbc37-04e0-430a-b55d-570e2687929e" xmlns:ns3="73b93c23-8976-4468-b04b-b45390dd6be6" targetNamespace="http://schemas.microsoft.com/office/2006/metadata/properties" ma:root="true" ma:fieldsID="7e6abea6ad9610d168f16749e23f25b3" ns2:_="" ns3:_="">
    <xsd:import namespace="81ebbc37-04e0-430a-b55d-570e2687929e"/>
    <xsd:import namespace="73b93c23-8976-4468-b04b-b45390dd6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bc37-04e0-430a-b55d-570e26879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93c23-8976-4468-b04b-b45390dd6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17027-E85E-44E7-93C4-5E4FCC19B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2A73B-AEAA-4C5A-86B7-545E70305D73}">
  <ds:schemaRefs>
    <ds:schemaRef ds:uri="http://schemas.microsoft.com/office/2006/metadata/properties"/>
    <ds:schemaRef ds:uri="http://schemas.microsoft.com/office/infopath/2007/PartnerControls"/>
    <ds:schemaRef ds:uri="81ebbc37-04e0-430a-b55d-570e2687929e"/>
  </ds:schemaRefs>
</ds:datastoreItem>
</file>

<file path=customXml/itemProps3.xml><?xml version="1.0" encoding="utf-8"?>
<ds:datastoreItem xmlns:ds="http://schemas.openxmlformats.org/officeDocument/2006/customXml" ds:itemID="{23671BF7-2752-4CF1-9C58-EC178965C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bbc37-04e0-430a-b55d-570e2687929e"/>
    <ds:schemaRef ds:uri="73b93c23-8976-4468-b04b-b45390dd6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Zoe</dc:creator>
  <cp:keywords/>
  <dc:description/>
  <cp:lastModifiedBy>Williams, Zoe</cp:lastModifiedBy>
  <cp:revision>79</cp:revision>
  <dcterms:created xsi:type="dcterms:W3CDTF">2026-04-17T13:16:00Z</dcterms:created>
  <dcterms:modified xsi:type="dcterms:W3CDTF">2026-05-21T13:26:00Z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0x010100CA4A61B156D40349B37BEF04FA06C2BA</vt:lpwstr>
  </property>
  <property fmtid="{D5CDD505-2E9C-101B-9397-08002B2CF9AE}" pid="3" name="MediaServiceImageTags">
    <vt:lpwstr/>
  </property>
</Properties>
</file>