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BF6" w:rsidP="00FE4024" w:rsidRDefault="00C14BF6" w14:paraId="7EC98C70" w14:textId="77777777">
      <w:pPr>
        <w:spacing w:after="0" w:line="240" w:lineRule="auto"/>
        <w:rPr>
          <w:b/>
          <w:bCs/>
          <w:u w:val="single"/>
        </w:rPr>
      </w:pPr>
    </w:p>
    <w:p w:rsidR="00C14BF6" w:rsidP="00FE4024" w:rsidRDefault="00C14BF6" w14:paraId="2DCFCAA1" w14:textId="77777777">
      <w:pPr>
        <w:spacing w:after="0" w:line="240" w:lineRule="auto"/>
        <w:rPr>
          <w:b/>
          <w:bCs/>
          <w:u w:val="single"/>
        </w:rPr>
      </w:pPr>
    </w:p>
    <w:p w:rsidR="00F03EC1" w:rsidP="00F03EC1" w:rsidRDefault="00137F44" w14:paraId="1B00CC4B" w14:textId="35AFB1CC">
      <w:pPr>
        <w:spacing w:after="0" w:line="240" w:lineRule="auto"/>
        <w:jc w:val="both"/>
        <w:rPr>
          <w:sz w:val="32"/>
          <w:szCs w:val="32"/>
        </w:rPr>
      </w:pPr>
      <w:r>
        <w:rPr>
          <w:b/>
          <w:bCs/>
          <w:sz w:val="32"/>
          <w:szCs w:val="32"/>
        </w:rPr>
        <w:t>Holiday Clubs and Lettings</w:t>
      </w:r>
    </w:p>
    <w:p w:rsidR="00382878" w:rsidP="00F03EC1" w:rsidRDefault="00382878" w14:paraId="5F405D1A" w14:textId="77777777">
      <w:pPr>
        <w:spacing w:after="0" w:line="240" w:lineRule="auto"/>
        <w:jc w:val="both"/>
        <w:rPr>
          <w:sz w:val="32"/>
          <w:szCs w:val="32"/>
        </w:rPr>
      </w:pPr>
    </w:p>
    <w:p w:rsidRPr="00382878" w:rsidR="00382878" w:rsidP="00F03EC1" w:rsidRDefault="00382878" w14:paraId="1F59F771" w14:textId="21F50F87">
      <w:pPr>
        <w:spacing w:after="0" w:line="240" w:lineRule="auto"/>
        <w:jc w:val="both"/>
        <w:rPr>
          <w:b/>
          <w:bCs/>
        </w:rPr>
      </w:pPr>
      <w:r w:rsidRPr="00382878">
        <w:rPr>
          <w:b/>
          <w:bCs/>
        </w:rPr>
        <w:t>KCSIE</w:t>
      </w:r>
      <w:r w:rsidR="00137F44">
        <w:rPr>
          <w:b/>
          <w:bCs/>
        </w:rPr>
        <w:t xml:space="preserve"> - </w:t>
      </w:r>
      <w:r w:rsidRPr="00382878">
        <w:rPr>
          <w:b/>
          <w:bCs/>
        </w:rPr>
        <w:t>Part 2</w:t>
      </w:r>
      <w:r w:rsidR="00137F44">
        <w:rPr>
          <w:b/>
          <w:bCs/>
        </w:rPr>
        <w:t xml:space="preserve"> (2025) </w:t>
      </w:r>
      <w:r w:rsidRPr="00137F44">
        <w:rPr>
          <w:b/>
          <w:bCs/>
          <w:i/>
          <w:iCs/>
        </w:rPr>
        <w:t>‘Use of school or college premises for non-school / college activities’</w:t>
      </w:r>
      <w:r w:rsidRPr="00382878">
        <w:rPr>
          <w:b/>
          <w:bCs/>
        </w:rPr>
        <w:t xml:space="preserve"> states that schools and colleges must ensure that appropriate arrangements are in place to keep children safe.</w:t>
      </w:r>
    </w:p>
    <w:p w:rsidRPr="00382878" w:rsidR="00F03EC1" w:rsidP="00F03EC1" w:rsidRDefault="00382878" w14:paraId="7106BD1F" w14:textId="20B033F0">
      <w:pPr>
        <w:spacing w:after="0" w:line="240" w:lineRule="auto"/>
        <w:jc w:val="both"/>
        <w:rPr>
          <w:b/>
          <w:bCs/>
        </w:rPr>
      </w:pPr>
      <w:r w:rsidRPr="00382878">
        <w:rPr>
          <w:b/>
          <w:bCs/>
        </w:rPr>
        <w:t xml:space="preserve">This includes seeking assurance that robust safeguarding and child protection policies and procedures are in place and </w:t>
      </w:r>
      <w:r>
        <w:rPr>
          <w:b/>
          <w:bCs/>
        </w:rPr>
        <w:t>a</w:t>
      </w:r>
      <w:r w:rsidRPr="00F03EC1" w:rsidR="00F03EC1">
        <w:rPr>
          <w:b/>
          <w:bCs/>
        </w:rPr>
        <w:t>lways ask if the provider is Ofsted Registered</w:t>
      </w:r>
      <w:r w:rsidR="00137F44">
        <w:rPr>
          <w:b/>
          <w:bCs/>
        </w:rPr>
        <w:t xml:space="preserve"> (It is the provider’s responsibility to register)</w:t>
      </w:r>
      <w:r w:rsidRPr="00F03EC1" w:rsidR="00F03EC1">
        <w:rPr>
          <w:b/>
          <w:bCs/>
        </w:rPr>
        <w:t>. If not, they must fit the criteria for exemption - </w:t>
      </w:r>
      <w:r w:rsidRPr="00F03EC1" w:rsidR="00F03EC1">
        <w:t> </w:t>
      </w:r>
    </w:p>
    <w:p w:rsidRPr="00F03EC1" w:rsidR="00F03EC1" w:rsidP="00F03EC1" w:rsidRDefault="00F03EC1" w14:paraId="7804F3B7" w14:textId="77777777">
      <w:pPr>
        <w:spacing w:after="0" w:line="240" w:lineRule="auto"/>
        <w:jc w:val="both"/>
        <w:rPr>
          <w:sz w:val="32"/>
          <w:szCs w:val="32"/>
        </w:rPr>
      </w:pPr>
    </w:p>
    <w:p w:rsidRPr="00F03EC1" w:rsidR="00F03EC1" w:rsidP="00F03EC1" w:rsidRDefault="00F03EC1" w14:paraId="5384CDA9" w14:textId="22C53955">
      <w:pPr>
        <w:spacing w:after="0" w:line="240" w:lineRule="auto"/>
        <w:jc w:val="both"/>
      </w:pPr>
      <w:r w:rsidRPr="00F03EC1">
        <w:t xml:space="preserve">Providers do not have to register if they care only for children aged 8 and over, if they run sessions less than 2 hours per day, operate fewer than 14 days a year or </w:t>
      </w:r>
      <w:r>
        <w:t xml:space="preserve">if </w:t>
      </w:r>
      <w:r w:rsidRPr="00F03EC1">
        <w:t xml:space="preserve">they provide </w:t>
      </w:r>
      <w:r w:rsidRPr="00F03EC1">
        <w:rPr>
          <w:b/>
          <w:bCs/>
        </w:rPr>
        <w:t>tutoring</w:t>
      </w:r>
      <w:r w:rsidRPr="00F03EC1">
        <w:t xml:space="preserve"> or </w:t>
      </w:r>
      <w:r w:rsidRPr="00F03EC1">
        <w:rPr>
          <w:b/>
          <w:bCs/>
        </w:rPr>
        <w:t xml:space="preserve">coaching </w:t>
      </w:r>
      <w:r w:rsidRPr="00F03EC1">
        <w:t>in either one or two of the following activities to children aged 3 and over:</w:t>
      </w:r>
      <w:r w:rsidRPr="00F03EC1">
        <w:rPr>
          <w:rFonts w:ascii="Arial" w:hAnsi="Arial" w:cs="Arial"/>
        </w:rPr>
        <w:t> </w:t>
      </w:r>
      <w:r w:rsidRPr="00F03EC1">
        <w:rPr>
          <w:rFonts w:ascii="Aptos" w:hAnsi="Aptos" w:cs="Aptos"/>
        </w:rPr>
        <w:t> </w:t>
      </w:r>
    </w:p>
    <w:p w:rsidRPr="00F03EC1" w:rsidR="00F03EC1" w:rsidP="00F03EC1" w:rsidRDefault="00F03EC1" w14:paraId="28D2AD6E" w14:textId="77777777">
      <w:pPr>
        <w:numPr>
          <w:ilvl w:val="0"/>
          <w:numId w:val="1"/>
        </w:numPr>
        <w:spacing w:after="0" w:line="240" w:lineRule="auto"/>
        <w:jc w:val="both"/>
      </w:pPr>
      <w:r w:rsidRPr="00F03EC1">
        <w:t>school study support or homework support</w:t>
      </w:r>
      <w:r w:rsidRPr="00F03EC1">
        <w:rPr>
          <w:rFonts w:ascii="Arial" w:hAnsi="Arial" w:cs="Arial"/>
        </w:rPr>
        <w:t> </w:t>
      </w:r>
      <w:r w:rsidRPr="00F03EC1">
        <w:rPr>
          <w:rFonts w:ascii="Aptos" w:hAnsi="Aptos" w:cs="Aptos"/>
        </w:rPr>
        <w:t> </w:t>
      </w:r>
    </w:p>
    <w:p w:rsidRPr="00F03EC1" w:rsidR="00F03EC1" w:rsidP="00F03EC1" w:rsidRDefault="00F03EC1" w14:paraId="3554110E" w14:textId="77777777">
      <w:pPr>
        <w:numPr>
          <w:ilvl w:val="0"/>
          <w:numId w:val="2"/>
        </w:numPr>
        <w:spacing w:after="0" w:line="240" w:lineRule="auto"/>
        <w:jc w:val="both"/>
      </w:pPr>
      <w:r w:rsidRPr="00F03EC1">
        <w:t>sports</w:t>
      </w:r>
      <w:r w:rsidRPr="00F03EC1">
        <w:rPr>
          <w:rFonts w:ascii="Arial" w:hAnsi="Arial" w:cs="Arial"/>
        </w:rPr>
        <w:t> </w:t>
      </w:r>
      <w:r w:rsidRPr="00F03EC1">
        <w:rPr>
          <w:rFonts w:ascii="Aptos" w:hAnsi="Aptos" w:cs="Aptos"/>
        </w:rPr>
        <w:t> </w:t>
      </w:r>
    </w:p>
    <w:p w:rsidRPr="00F03EC1" w:rsidR="00F03EC1" w:rsidP="00F03EC1" w:rsidRDefault="00F03EC1" w14:paraId="751F137C" w14:textId="77777777">
      <w:pPr>
        <w:numPr>
          <w:ilvl w:val="0"/>
          <w:numId w:val="3"/>
        </w:numPr>
        <w:spacing w:after="0" w:line="240" w:lineRule="auto"/>
        <w:jc w:val="both"/>
      </w:pPr>
      <w:r w:rsidRPr="00F03EC1">
        <w:t>performing arts</w:t>
      </w:r>
      <w:r w:rsidRPr="00F03EC1">
        <w:rPr>
          <w:rFonts w:ascii="Arial" w:hAnsi="Arial" w:cs="Arial"/>
        </w:rPr>
        <w:t> </w:t>
      </w:r>
      <w:r w:rsidRPr="00F03EC1">
        <w:rPr>
          <w:rFonts w:ascii="Aptos" w:hAnsi="Aptos" w:cs="Aptos"/>
        </w:rPr>
        <w:t> </w:t>
      </w:r>
    </w:p>
    <w:p w:rsidRPr="00F03EC1" w:rsidR="00F03EC1" w:rsidP="00F03EC1" w:rsidRDefault="00F03EC1" w14:paraId="443B6E3D" w14:textId="77777777">
      <w:pPr>
        <w:numPr>
          <w:ilvl w:val="0"/>
          <w:numId w:val="4"/>
        </w:numPr>
        <w:spacing w:after="0" w:line="240" w:lineRule="auto"/>
        <w:jc w:val="both"/>
      </w:pPr>
      <w:r w:rsidRPr="00F03EC1">
        <w:t>arts and crafts</w:t>
      </w:r>
      <w:r w:rsidRPr="00F03EC1">
        <w:rPr>
          <w:rFonts w:ascii="Arial" w:hAnsi="Arial" w:cs="Arial"/>
        </w:rPr>
        <w:t> </w:t>
      </w:r>
      <w:r w:rsidRPr="00F03EC1">
        <w:rPr>
          <w:rFonts w:ascii="Aptos" w:hAnsi="Aptos" w:cs="Aptos"/>
        </w:rPr>
        <w:t> </w:t>
      </w:r>
    </w:p>
    <w:p w:rsidRPr="00F03EC1" w:rsidR="00F03EC1" w:rsidP="00F03EC1" w:rsidRDefault="00F03EC1" w14:paraId="3700ED1B" w14:textId="77777777">
      <w:pPr>
        <w:numPr>
          <w:ilvl w:val="0"/>
          <w:numId w:val="5"/>
        </w:numPr>
        <w:spacing w:after="0" w:line="240" w:lineRule="auto"/>
        <w:jc w:val="both"/>
      </w:pPr>
      <w:r w:rsidRPr="00F03EC1">
        <w:t>religious, cultural or language studies </w:t>
      </w:r>
    </w:p>
    <w:p w:rsidRPr="00F03EC1" w:rsidR="00F03EC1" w:rsidP="00F03EC1" w:rsidRDefault="00F03EC1" w14:paraId="39950192" w14:textId="77777777">
      <w:pPr>
        <w:spacing w:after="0" w:line="240" w:lineRule="auto"/>
        <w:jc w:val="both"/>
      </w:pPr>
      <w:r w:rsidRPr="00F03EC1">
        <w:t> </w:t>
      </w:r>
    </w:p>
    <w:p w:rsidRPr="00F03EC1" w:rsidR="00F03EC1" w:rsidP="00F03EC1" w:rsidRDefault="00F03EC1" w14:paraId="246A12EF" w14:textId="77777777">
      <w:pPr>
        <w:spacing w:after="0" w:line="240" w:lineRule="auto"/>
        <w:jc w:val="both"/>
      </w:pPr>
      <w:r w:rsidRPr="00F03EC1">
        <w:t>This exemption does not apply if children under the age of 5 attend the childcare, including the activity, for more than 4 hours in any one day.  </w:t>
      </w:r>
    </w:p>
    <w:p w:rsidR="00F03EC1" w:rsidP="00F03EC1" w:rsidRDefault="00F03EC1" w14:paraId="14652CF3" w14:textId="77777777">
      <w:pPr>
        <w:spacing w:after="0" w:line="240" w:lineRule="auto"/>
        <w:jc w:val="both"/>
      </w:pPr>
      <w:r w:rsidRPr="00F03EC1">
        <w:t>Children aged 5 and over can attend for longer than 4 hours. </w:t>
      </w:r>
    </w:p>
    <w:p w:rsidRPr="00F03EC1" w:rsidR="00F03EC1" w:rsidP="00F03EC1" w:rsidRDefault="00F03EC1" w14:paraId="28B8E7CD" w14:textId="77777777">
      <w:pPr>
        <w:spacing w:after="0" w:line="240" w:lineRule="auto"/>
        <w:jc w:val="both"/>
      </w:pPr>
    </w:p>
    <w:p w:rsidR="00F03EC1" w:rsidP="00F03EC1" w:rsidRDefault="00F03EC1" w14:paraId="087A1CC1" w14:textId="77777777">
      <w:pPr>
        <w:spacing w:after="0" w:line="240" w:lineRule="auto"/>
        <w:jc w:val="both"/>
      </w:pPr>
      <w:proofErr w:type="gramStart"/>
      <w:r w:rsidRPr="00F03EC1">
        <w:t>In order to</w:t>
      </w:r>
      <w:proofErr w:type="gramEnd"/>
      <w:r w:rsidRPr="00F03EC1">
        <w:t> be exempt from registration, the activity must be the </w:t>
      </w:r>
      <w:proofErr w:type="gramStart"/>
      <w:r w:rsidRPr="00F03EC1">
        <w:rPr>
          <w:b/>
          <w:bCs/>
        </w:rPr>
        <w:t>main focus</w:t>
      </w:r>
      <w:proofErr w:type="gramEnd"/>
      <w:r w:rsidRPr="00F03EC1">
        <w:t xml:space="preserve"> of what is offered. </w:t>
      </w:r>
      <w:r w:rsidRPr="00F03EC1">
        <w:rPr>
          <w:b/>
          <w:bCs/>
        </w:rPr>
        <w:t>Any childcare or ‘downtime’ must happen because of that activity.</w:t>
      </w:r>
      <w:r w:rsidRPr="00F03EC1">
        <w:t xml:space="preserve"> For example, time spent at the provision picking up and dropping off children or at breaktimes when children are eating and drinking is permitted. </w:t>
      </w:r>
    </w:p>
    <w:p w:rsidRPr="00F03EC1" w:rsidR="00F03EC1" w:rsidP="00F03EC1" w:rsidRDefault="00F03EC1" w14:paraId="44A22223" w14:textId="77777777">
      <w:pPr>
        <w:spacing w:after="0" w:line="240" w:lineRule="auto"/>
        <w:jc w:val="both"/>
      </w:pPr>
    </w:p>
    <w:p w:rsidR="00F03EC1" w:rsidP="00F03EC1" w:rsidRDefault="00F03EC1" w14:paraId="4FADCD9D" w14:textId="02E0C6BA">
      <w:pPr>
        <w:spacing w:after="0" w:line="240" w:lineRule="auto"/>
        <w:jc w:val="both"/>
      </w:pPr>
      <w:r w:rsidR="00F03EC1">
        <w:rPr/>
        <w:t xml:space="preserve">The provision should be </w:t>
      </w:r>
      <w:r w:rsidRPr="579B8E93" w:rsidR="00F03EC1">
        <w:rPr>
          <w:b w:val="1"/>
          <w:bCs w:val="1"/>
        </w:rPr>
        <w:t>specific tuition or coaching for children</w:t>
      </w:r>
      <w:r w:rsidR="00F03EC1">
        <w:rPr/>
        <w:t>. Not everyone needs to be a specialist coach, but they should have relevant skills to help children improve. The aim of the provision must be for children to improve their skills. For example, if the provision is about sport, it needs to be focused on a sport rather than general physical activity. Offering a bouncy castle or activities like racquets and balls, </w:t>
      </w:r>
      <w:r w:rsidR="00F03EC1">
        <w:rPr/>
        <w:t>bikes</w:t>
      </w:r>
      <w:r w:rsidR="00F03EC1">
        <w:rPr/>
        <w:t> or roller skates for children to choose from would be physical exercise, not sport coaching. Similarly, just providing pens, paints and paper does not count as tuition in arts and crafts. There </w:t>
      </w:r>
      <w:r w:rsidR="61F86CC7">
        <w:rPr/>
        <w:t>are</w:t>
      </w:r>
      <w:r w:rsidR="00F03EC1">
        <w:rPr/>
        <w:t> a wide variety of activity-based providers, for example, nature exploration clubs focused on the outdoors and tuition clubs focused on computer coding or engineering. Again, these must help children improve specific skills, rather than just be for entertainment. </w:t>
      </w:r>
    </w:p>
    <w:p w:rsidRPr="00F03EC1" w:rsidR="00F03EC1" w:rsidP="00F03EC1" w:rsidRDefault="00F03EC1" w14:paraId="13E52C2F" w14:textId="77777777">
      <w:pPr>
        <w:spacing w:after="0" w:line="240" w:lineRule="auto"/>
        <w:jc w:val="both"/>
      </w:pPr>
    </w:p>
    <w:p w:rsidRPr="00F03EC1" w:rsidR="00F03EC1" w:rsidP="00F03EC1" w:rsidRDefault="00F03EC1" w14:paraId="59B5CE09" w14:textId="77777777">
      <w:pPr>
        <w:spacing w:after="0" w:line="240" w:lineRule="auto"/>
        <w:jc w:val="both"/>
      </w:pPr>
      <w:r w:rsidRPr="00F03EC1">
        <w:rPr>
          <w:b/>
          <w:bCs/>
        </w:rPr>
        <w:t>What can I do?</w:t>
      </w:r>
      <w:r w:rsidRPr="00F03EC1">
        <w:t> </w:t>
      </w:r>
    </w:p>
    <w:p w:rsidR="00F03EC1" w:rsidP="00F03EC1" w:rsidRDefault="00F03EC1" w14:paraId="2EAE0C7B" w14:textId="2C5DEA12">
      <w:pPr>
        <w:pStyle w:val="ListParagraph"/>
        <w:numPr>
          <w:ilvl w:val="0"/>
          <w:numId w:val="6"/>
        </w:numPr>
        <w:spacing w:after="0" w:line="240" w:lineRule="auto"/>
        <w:jc w:val="both"/>
      </w:pPr>
      <w:r w:rsidRPr="00F03EC1">
        <w:t>Ensure your lettings agreement include</w:t>
      </w:r>
      <w:r w:rsidR="00137F44">
        <w:t>s</w:t>
      </w:r>
      <w:r w:rsidRPr="00F03EC1">
        <w:t xml:space="preserve"> assurance of Safeguarding and Health and Safety procedures including the</w:t>
      </w:r>
      <w:r w:rsidR="00137F44">
        <w:t xml:space="preserve"> provider’s</w:t>
      </w:r>
      <w:r w:rsidRPr="00F03EC1">
        <w:t xml:space="preserve"> named First Aider / Paediatric First Aider </w:t>
      </w:r>
    </w:p>
    <w:p w:rsidRPr="00F03EC1" w:rsidR="00382878" w:rsidP="00382878" w:rsidRDefault="00382878" w14:paraId="5482F581" w14:textId="455AEBF5">
      <w:pPr>
        <w:pStyle w:val="ListParagraph"/>
        <w:numPr>
          <w:ilvl w:val="0"/>
          <w:numId w:val="6"/>
        </w:numPr>
        <w:spacing w:after="0" w:line="240" w:lineRule="auto"/>
        <w:jc w:val="both"/>
      </w:pPr>
      <w:r w:rsidRPr="00F03EC1">
        <w:t xml:space="preserve">Ask </w:t>
      </w:r>
      <w:r>
        <w:t>to see the</w:t>
      </w:r>
      <w:r w:rsidRPr="00F03EC1">
        <w:t xml:space="preserve"> Safeguarding and Child Protection Policy, staff code of conduct </w:t>
      </w:r>
      <w:r w:rsidR="00137F44">
        <w:t>and other relevant policies</w:t>
      </w:r>
    </w:p>
    <w:p w:rsidRPr="00F03EC1" w:rsidR="00382878" w:rsidP="00F03EC1" w:rsidRDefault="00382878" w14:paraId="1791EECD" w14:textId="397E6F94">
      <w:pPr>
        <w:pStyle w:val="ListParagraph"/>
        <w:numPr>
          <w:ilvl w:val="0"/>
          <w:numId w:val="6"/>
        </w:numPr>
        <w:spacing w:after="0" w:line="240" w:lineRule="auto"/>
        <w:jc w:val="both"/>
      </w:pPr>
      <w:r>
        <w:t>Agree liaison arrangements regarding safeguarding matters</w:t>
      </w:r>
    </w:p>
    <w:p w:rsidRPr="00F03EC1" w:rsidR="00F03EC1" w:rsidP="00F03EC1" w:rsidRDefault="00F03EC1" w14:paraId="6621A306" w14:textId="4D2F741F">
      <w:pPr>
        <w:pStyle w:val="ListParagraph"/>
        <w:numPr>
          <w:ilvl w:val="0"/>
          <w:numId w:val="6"/>
        </w:numPr>
        <w:spacing w:after="0" w:line="240" w:lineRule="auto"/>
        <w:jc w:val="both"/>
      </w:pPr>
      <w:r w:rsidRPr="00F03EC1">
        <w:t>Ask for a timetable of events </w:t>
      </w:r>
      <w:r w:rsidR="00382878">
        <w:t>to verify exemption / record Ofsted registration</w:t>
      </w:r>
    </w:p>
    <w:p w:rsidR="00850CBD" w:rsidP="00193E6C" w:rsidRDefault="00850CBD" w14:paraId="1FB1D63B" w14:textId="02B0C81A">
      <w:pPr>
        <w:spacing w:after="0" w:line="240" w:lineRule="auto"/>
        <w:jc w:val="both"/>
      </w:pPr>
    </w:p>
    <w:sectPr w:rsidR="00850CBD" w:rsidSect="00F03EC1">
      <w:headerReference w:type="default" r:id="rId10"/>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7C96" w:rsidP="00C14BF6" w:rsidRDefault="00E17C96" w14:paraId="0A6E1275" w14:textId="77777777">
      <w:pPr>
        <w:spacing w:after="0" w:line="240" w:lineRule="auto"/>
      </w:pPr>
      <w:r>
        <w:separator/>
      </w:r>
    </w:p>
  </w:endnote>
  <w:endnote w:type="continuationSeparator" w:id="0">
    <w:p w:rsidR="00E17C96" w:rsidP="00C14BF6" w:rsidRDefault="00E17C96" w14:paraId="55F065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51F783" w:rsidTr="0051F783" w14:paraId="22F55B62" w14:textId="77777777">
      <w:trPr>
        <w:trHeight w:val="300"/>
      </w:trPr>
      <w:tc>
        <w:tcPr>
          <w:tcW w:w="3005" w:type="dxa"/>
        </w:tcPr>
        <w:p w:rsidR="0051F783" w:rsidP="0051F783" w:rsidRDefault="0051F783" w14:paraId="7BB0EC0C" w14:textId="27312095">
          <w:pPr>
            <w:pStyle w:val="Header"/>
            <w:ind w:left="-115"/>
          </w:pPr>
        </w:p>
      </w:tc>
      <w:tc>
        <w:tcPr>
          <w:tcW w:w="3005" w:type="dxa"/>
        </w:tcPr>
        <w:p w:rsidR="0051F783" w:rsidP="0051F783" w:rsidRDefault="0051F783" w14:paraId="4D46086D" w14:textId="3565D041">
          <w:pPr>
            <w:pStyle w:val="Header"/>
            <w:jc w:val="center"/>
          </w:pPr>
        </w:p>
      </w:tc>
      <w:tc>
        <w:tcPr>
          <w:tcW w:w="3005" w:type="dxa"/>
        </w:tcPr>
        <w:p w:rsidR="0051F783" w:rsidP="0051F783" w:rsidRDefault="0051F783" w14:paraId="47AA9ADE" w14:textId="62B429A8">
          <w:pPr>
            <w:pStyle w:val="Header"/>
            <w:ind w:right="-115"/>
            <w:jc w:val="right"/>
          </w:pPr>
        </w:p>
      </w:tc>
    </w:tr>
  </w:tbl>
  <w:p w:rsidR="0051F783" w:rsidP="0051F783" w:rsidRDefault="0051F783" w14:paraId="127AC065" w14:textId="28CF5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7C96" w:rsidP="00C14BF6" w:rsidRDefault="00E17C96" w14:paraId="61668E20" w14:textId="77777777">
      <w:pPr>
        <w:spacing w:after="0" w:line="240" w:lineRule="auto"/>
      </w:pPr>
      <w:r>
        <w:separator/>
      </w:r>
    </w:p>
  </w:footnote>
  <w:footnote w:type="continuationSeparator" w:id="0">
    <w:p w:rsidR="00E17C96" w:rsidP="00C14BF6" w:rsidRDefault="00E17C96" w14:paraId="3457F3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14BF6" w:rsidRDefault="00C14BF6" w14:paraId="1C743AC5" w14:textId="05AE74EF">
    <w:pPr>
      <w:pStyle w:val="Header"/>
    </w:pPr>
    <w:r w:rsidRPr="00C14BF6">
      <w:rPr>
        <w:noProof/>
      </w:rPr>
      <w:drawing>
        <wp:anchor distT="0" distB="0" distL="114300" distR="114300" simplePos="0" relativeHeight="251658240" behindDoc="1" locked="0" layoutInCell="1" allowOverlap="1" wp14:anchorId="10C8B557" wp14:editId="6BD01350">
          <wp:simplePos x="0" y="0"/>
          <wp:positionH relativeFrom="column">
            <wp:posOffset>-923925</wp:posOffset>
          </wp:positionH>
          <wp:positionV relativeFrom="paragraph">
            <wp:posOffset>-447675</wp:posOffset>
          </wp:positionV>
          <wp:extent cx="4362482" cy="990607"/>
          <wp:effectExtent l="0" t="0" r="0" b="0"/>
          <wp:wrapNone/>
          <wp:docPr id="1783675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75418" name=""/>
                  <pic:cNvPicPr/>
                </pic:nvPicPr>
                <pic:blipFill>
                  <a:blip r:embed="rId1">
                    <a:extLst>
                      <a:ext uri="{28A0092B-C50C-407E-A947-70E740481C1C}">
                        <a14:useLocalDpi xmlns:a14="http://schemas.microsoft.com/office/drawing/2010/main" val="0"/>
                      </a:ext>
                    </a:extLst>
                  </a:blip>
                  <a:stretch>
                    <a:fillRect/>
                  </a:stretch>
                </pic:blipFill>
                <pic:spPr>
                  <a:xfrm>
                    <a:off x="0" y="0"/>
                    <a:ext cx="4362482" cy="9906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E92"/>
    <w:multiLevelType w:val="multilevel"/>
    <w:tmpl w:val="EF4A9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12E3F2D"/>
    <w:multiLevelType w:val="multilevel"/>
    <w:tmpl w:val="BA0A9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8DA191A"/>
    <w:multiLevelType w:val="multilevel"/>
    <w:tmpl w:val="73366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7797FFB"/>
    <w:multiLevelType w:val="multilevel"/>
    <w:tmpl w:val="09625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C053BC3"/>
    <w:multiLevelType w:val="hybridMultilevel"/>
    <w:tmpl w:val="E22645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9561E11"/>
    <w:multiLevelType w:val="multilevel"/>
    <w:tmpl w:val="3A5C2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99368417">
    <w:abstractNumId w:val="2"/>
  </w:num>
  <w:num w:numId="2" w16cid:durableId="979772978">
    <w:abstractNumId w:val="1"/>
  </w:num>
  <w:num w:numId="3" w16cid:durableId="1673529569">
    <w:abstractNumId w:val="0"/>
  </w:num>
  <w:num w:numId="4" w16cid:durableId="260651104">
    <w:abstractNumId w:val="3"/>
  </w:num>
  <w:num w:numId="5" w16cid:durableId="1266037834">
    <w:abstractNumId w:val="5"/>
  </w:num>
  <w:num w:numId="6" w16cid:durableId="917904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87"/>
    <w:rsid w:val="00137F44"/>
    <w:rsid w:val="00193991"/>
    <w:rsid w:val="00193E6C"/>
    <w:rsid w:val="001E65AE"/>
    <w:rsid w:val="002352A5"/>
    <w:rsid w:val="00311ED4"/>
    <w:rsid w:val="00382878"/>
    <w:rsid w:val="003B0E87"/>
    <w:rsid w:val="003F10A9"/>
    <w:rsid w:val="0051F783"/>
    <w:rsid w:val="005613CB"/>
    <w:rsid w:val="00575A3F"/>
    <w:rsid w:val="005B6971"/>
    <w:rsid w:val="005C7F85"/>
    <w:rsid w:val="006949D4"/>
    <w:rsid w:val="007714F8"/>
    <w:rsid w:val="007A71C7"/>
    <w:rsid w:val="00850CBD"/>
    <w:rsid w:val="00864131"/>
    <w:rsid w:val="008D1A6D"/>
    <w:rsid w:val="00AC3F28"/>
    <w:rsid w:val="00B521A3"/>
    <w:rsid w:val="00B70C69"/>
    <w:rsid w:val="00B974C9"/>
    <w:rsid w:val="00BF554C"/>
    <w:rsid w:val="00C14BF6"/>
    <w:rsid w:val="00C235B5"/>
    <w:rsid w:val="00C55083"/>
    <w:rsid w:val="00C67C7A"/>
    <w:rsid w:val="00E17C96"/>
    <w:rsid w:val="00E55F91"/>
    <w:rsid w:val="00E626EC"/>
    <w:rsid w:val="00E632E4"/>
    <w:rsid w:val="00E91574"/>
    <w:rsid w:val="00F03EC1"/>
    <w:rsid w:val="00FC5917"/>
    <w:rsid w:val="00FD0B47"/>
    <w:rsid w:val="00FE06BF"/>
    <w:rsid w:val="00FE4024"/>
    <w:rsid w:val="579B8E93"/>
    <w:rsid w:val="598CC05A"/>
    <w:rsid w:val="5D69117D"/>
    <w:rsid w:val="5F2A96A2"/>
    <w:rsid w:val="6083B188"/>
    <w:rsid w:val="61F86CC7"/>
    <w:rsid w:val="672DAAB1"/>
    <w:rsid w:val="7C19D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329C6"/>
  <w15:chartTrackingRefBased/>
  <w15:docId w15:val="{AF203DFE-920E-4007-A126-4B0454F6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0E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E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E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0E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0E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0E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0E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0E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0E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0E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0E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0E87"/>
    <w:rPr>
      <w:rFonts w:eastAsiaTheme="majorEastAsia" w:cstheme="majorBidi"/>
      <w:color w:val="272727" w:themeColor="text1" w:themeTint="D8"/>
    </w:rPr>
  </w:style>
  <w:style w:type="paragraph" w:styleId="Title">
    <w:name w:val="Title"/>
    <w:basedOn w:val="Normal"/>
    <w:next w:val="Normal"/>
    <w:link w:val="TitleChar"/>
    <w:uiPriority w:val="10"/>
    <w:qFormat/>
    <w:rsid w:val="003B0E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0E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0E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0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E87"/>
    <w:pPr>
      <w:spacing w:before="160"/>
      <w:jc w:val="center"/>
    </w:pPr>
    <w:rPr>
      <w:i/>
      <w:iCs/>
      <w:color w:val="404040" w:themeColor="text1" w:themeTint="BF"/>
    </w:rPr>
  </w:style>
  <w:style w:type="character" w:styleId="QuoteChar" w:customStyle="1">
    <w:name w:val="Quote Char"/>
    <w:basedOn w:val="DefaultParagraphFont"/>
    <w:link w:val="Quote"/>
    <w:uiPriority w:val="29"/>
    <w:rsid w:val="003B0E87"/>
    <w:rPr>
      <w:i/>
      <w:iCs/>
      <w:color w:val="404040" w:themeColor="text1" w:themeTint="BF"/>
    </w:rPr>
  </w:style>
  <w:style w:type="paragraph" w:styleId="ListParagraph">
    <w:name w:val="List Paragraph"/>
    <w:basedOn w:val="Normal"/>
    <w:uiPriority w:val="34"/>
    <w:qFormat/>
    <w:rsid w:val="003B0E87"/>
    <w:pPr>
      <w:ind w:left="720"/>
      <w:contextualSpacing/>
    </w:pPr>
  </w:style>
  <w:style w:type="character" w:styleId="IntenseEmphasis">
    <w:name w:val="Intense Emphasis"/>
    <w:basedOn w:val="DefaultParagraphFont"/>
    <w:uiPriority w:val="21"/>
    <w:qFormat/>
    <w:rsid w:val="003B0E87"/>
    <w:rPr>
      <w:i/>
      <w:iCs/>
      <w:color w:val="0F4761" w:themeColor="accent1" w:themeShade="BF"/>
    </w:rPr>
  </w:style>
  <w:style w:type="paragraph" w:styleId="IntenseQuote">
    <w:name w:val="Intense Quote"/>
    <w:basedOn w:val="Normal"/>
    <w:next w:val="Normal"/>
    <w:link w:val="IntenseQuoteChar"/>
    <w:uiPriority w:val="30"/>
    <w:qFormat/>
    <w:rsid w:val="003B0E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0E87"/>
    <w:rPr>
      <w:i/>
      <w:iCs/>
      <w:color w:val="0F4761" w:themeColor="accent1" w:themeShade="BF"/>
    </w:rPr>
  </w:style>
  <w:style w:type="character" w:styleId="IntenseReference">
    <w:name w:val="Intense Reference"/>
    <w:basedOn w:val="DefaultParagraphFont"/>
    <w:uiPriority w:val="32"/>
    <w:qFormat/>
    <w:rsid w:val="003B0E87"/>
    <w:rPr>
      <w:b/>
      <w:bCs/>
      <w:smallCaps/>
      <w:color w:val="0F4761" w:themeColor="accent1" w:themeShade="BF"/>
      <w:spacing w:val="5"/>
    </w:rPr>
  </w:style>
  <w:style w:type="character" w:styleId="Hyperlink">
    <w:name w:val="Hyperlink"/>
    <w:basedOn w:val="DefaultParagraphFont"/>
    <w:uiPriority w:val="99"/>
    <w:unhideWhenUsed/>
    <w:rsid w:val="00FE4024"/>
    <w:rPr>
      <w:color w:val="0000FF"/>
      <w:u w:val="single"/>
    </w:rPr>
  </w:style>
  <w:style w:type="character" w:styleId="UnresolvedMention">
    <w:name w:val="Unresolved Mention"/>
    <w:basedOn w:val="DefaultParagraphFont"/>
    <w:uiPriority w:val="99"/>
    <w:semiHidden/>
    <w:unhideWhenUsed/>
    <w:rsid w:val="00FE4024"/>
    <w:rPr>
      <w:color w:val="605E5C"/>
      <w:shd w:val="clear" w:color="auto" w:fill="E1DFDD"/>
    </w:rPr>
  </w:style>
  <w:style w:type="paragraph" w:styleId="Header">
    <w:name w:val="header"/>
    <w:basedOn w:val="Normal"/>
    <w:link w:val="HeaderChar"/>
    <w:uiPriority w:val="99"/>
    <w:unhideWhenUsed/>
    <w:rsid w:val="00C14B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4BF6"/>
  </w:style>
  <w:style w:type="paragraph" w:styleId="Footer">
    <w:name w:val="footer"/>
    <w:basedOn w:val="Normal"/>
    <w:link w:val="FooterChar"/>
    <w:uiPriority w:val="99"/>
    <w:unhideWhenUsed/>
    <w:rsid w:val="00C14B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4BF6"/>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a402446ce4226626499b04b910764ce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b7560548452598952956128da343bda7"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DA7FF-201C-4CD3-BA76-98D2DFFD096B}"/>
</file>

<file path=customXml/itemProps2.xml><?xml version="1.0" encoding="utf-8"?>
<ds:datastoreItem xmlns:ds="http://schemas.openxmlformats.org/officeDocument/2006/customXml" ds:itemID="{BA44F9C4-3ECE-4812-B061-DFF56BD94148}">
  <ds:schemaRefs>
    <ds:schemaRef ds:uri="http://schemas.microsoft.com/sharepoint/v3/contenttype/forms"/>
  </ds:schemaRefs>
</ds:datastoreItem>
</file>

<file path=customXml/itemProps3.xml><?xml version="1.0" encoding="utf-8"?>
<ds:datastoreItem xmlns:ds="http://schemas.openxmlformats.org/officeDocument/2006/customXml" ds:itemID="{F03FB7C7-0199-48EC-B612-A99372F84E9A}">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Laurie Johnson</dc:creator>
  <keywords/>
  <dc:description/>
  <lastModifiedBy>Laurie Johnson</lastModifiedBy>
  <revision>3</revision>
  <dcterms:created xsi:type="dcterms:W3CDTF">2026-05-27T08:26:00.0000000Z</dcterms:created>
  <dcterms:modified xsi:type="dcterms:W3CDTF">2026-05-28T08:50:48.6841657Z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