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4126" w14:textId="77777777" w:rsidR="00A9497E" w:rsidRDefault="00A9497E" w:rsidP="00A9497E">
      <w:pPr>
        <w:rPr>
          <w:rFonts w:ascii="Arial" w:hAnsi="Arial" w:cs="Arial"/>
          <w:b/>
          <w:bCs/>
        </w:rPr>
      </w:pPr>
      <w:r w:rsidRPr="00A67C85">
        <w:rPr>
          <w:rFonts w:ascii="Arial" w:hAnsi="Arial" w:cs="Arial"/>
          <w:b/>
          <w:bCs/>
        </w:rPr>
        <w:t>FREE Trauma Informed resource for schools and practitioners working with children aged 4 to Year 7</w:t>
      </w:r>
    </w:p>
    <w:p w14:paraId="55251568" w14:textId="3C18899C" w:rsidR="00A9497E" w:rsidRDefault="00A9497E">
      <w:r>
        <w:rPr>
          <w:rFonts w:ascii="Arial" w:hAnsi="Arial" w:cs="Arial"/>
        </w:rPr>
        <w:t xml:space="preserve">Join us for the launch of the Miss Kendra approach and resource. A completely FREE trauma informed resource to use with children aged 4-12 years on </w:t>
      </w:r>
      <w:proofErr w:type="gramStart"/>
      <w:r>
        <w:rPr>
          <w:rFonts w:ascii="Arial" w:hAnsi="Arial" w:cs="Arial"/>
        </w:rPr>
        <w:t>Monday,</w:t>
      </w:r>
      <w:r>
        <w:rPr>
          <w:rFonts w:ascii="Arial" w:hAnsi="Arial" w:cs="Arial"/>
        </w:rPr>
        <w:t>,</w:t>
      </w:r>
      <w:proofErr w:type="gramEnd"/>
      <w:r>
        <w:rPr>
          <w:rFonts w:ascii="Arial" w:hAnsi="Arial" w:cs="Arial"/>
        </w:rPr>
        <w:t xml:space="preserve"> </w:t>
      </w:r>
      <w:r>
        <w:rPr>
          <w:rFonts w:ascii="Arial" w:hAnsi="Arial" w:cs="Arial"/>
        </w:rPr>
        <w:t>15</w:t>
      </w:r>
      <w:r w:rsidRPr="00241570">
        <w:rPr>
          <w:rFonts w:ascii="Arial" w:hAnsi="Arial" w:cs="Arial"/>
          <w:vertAlign w:val="superscript"/>
        </w:rPr>
        <w:t>th</w:t>
      </w:r>
      <w:r>
        <w:rPr>
          <w:rFonts w:ascii="Arial" w:hAnsi="Arial" w:cs="Arial"/>
        </w:rPr>
        <w:t xml:space="preserve"> June from 4.00-5.00pm via Microsoft TEAMS. To book your place please e-mail Sue Stoddart – </w:t>
      </w:r>
      <w:hyperlink r:id="rId5" w:history="1">
        <w:r w:rsidRPr="00021CD0">
          <w:rPr>
            <w:rStyle w:val="Hyperlink"/>
            <w:rFonts w:ascii="Arial" w:hAnsi="Arial" w:cs="Arial"/>
          </w:rPr>
          <w:t>sue.stoddart2@taw.org.uk</w:t>
        </w:r>
      </w:hyperlink>
    </w:p>
    <w:p w14:paraId="2E2C09E5" w14:textId="1CA4DE72" w:rsidR="00A9497E" w:rsidRDefault="00A9497E">
      <w:pPr>
        <w:rPr>
          <w:rFonts w:ascii="Arial" w:hAnsi="Arial" w:cs="Arial"/>
        </w:rPr>
      </w:pPr>
      <w:r>
        <w:t xml:space="preserve">Suitable for </w:t>
      </w:r>
      <w:r>
        <w:rPr>
          <w:rFonts w:ascii="Arial" w:hAnsi="Arial" w:cs="Arial"/>
        </w:rPr>
        <w:t>Headteachers, ELSAs, Mental Health and PSHEE Leads.</w:t>
      </w:r>
    </w:p>
    <w:p w14:paraId="6B7CD6F8" w14:textId="77777777" w:rsidR="00A9497E" w:rsidRPr="00A67C85" w:rsidRDefault="00A9497E" w:rsidP="00A9497E">
      <w:pPr>
        <w:widowControl w:val="0"/>
        <w:rPr>
          <w:rFonts w:ascii="Aptos" w:hAnsi="Aptos"/>
        </w:rPr>
      </w:pPr>
      <w:r w:rsidRPr="00A67C85">
        <w:rPr>
          <w:rFonts w:ascii="Aptos" w:hAnsi="Aptos"/>
        </w:rPr>
        <w:t>This resource is available to all practitioners working with children &amp; young people across Shropshire, Telford &amp; Wrekin.</w:t>
      </w:r>
    </w:p>
    <w:p w14:paraId="2F4FC814" w14:textId="77777777" w:rsidR="00A9497E" w:rsidRPr="00A67C85" w:rsidRDefault="00A9497E" w:rsidP="00A9497E">
      <w:pPr>
        <w:widowControl w:val="0"/>
        <w:rPr>
          <w:rFonts w:ascii="Aptos" w:hAnsi="Aptos"/>
        </w:rPr>
      </w:pPr>
      <w:r w:rsidRPr="00A67C85">
        <w:rPr>
          <w:rFonts w:ascii="Aptos" w:hAnsi="Aptos"/>
        </w:rPr>
        <w:t xml:space="preserve">It can be used as a universal offer </w:t>
      </w:r>
      <w:r>
        <w:rPr>
          <w:rFonts w:ascii="Aptos" w:hAnsi="Aptos"/>
        </w:rPr>
        <w:t>with</w:t>
      </w:r>
      <w:r w:rsidRPr="00A67C85">
        <w:rPr>
          <w:rFonts w:ascii="Aptos" w:hAnsi="Aptos"/>
        </w:rPr>
        <w:t xml:space="preserve"> all children and young people or as an intervention. </w:t>
      </w:r>
    </w:p>
    <w:p w14:paraId="22BB74F8" w14:textId="77777777" w:rsidR="00A9497E" w:rsidRPr="00A67C85" w:rsidRDefault="00A9497E" w:rsidP="00A9497E">
      <w:pPr>
        <w:widowControl w:val="0"/>
        <w:rPr>
          <w:rFonts w:ascii="Aptos" w:hAnsi="Aptos"/>
        </w:rPr>
      </w:pPr>
      <w:r w:rsidRPr="00A67C85">
        <w:rPr>
          <w:rFonts w:ascii="Aptos" w:hAnsi="Aptos"/>
        </w:rPr>
        <w:t xml:space="preserve">It is appropriate for pupils in mainstream schools, specialist settings and those attending alternative provision. </w:t>
      </w:r>
    </w:p>
    <w:p w14:paraId="1AF3D7CA" w14:textId="59DB46F2" w:rsidR="00A9497E" w:rsidRDefault="00A9497E" w:rsidP="00A9497E">
      <w:pPr>
        <w:widowControl w:val="0"/>
        <w:rPr>
          <w:rFonts w:ascii="Aptos" w:hAnsi="Aptos"/>
        </w:rPr>
      </w:pPr>
      <w:r w:rsidRPr="00A67C85">
        <w:rPr>
          <w:rFonts w:ascii="Aptos" w:hAnsi="Aptos"/>
        </w:rPr>
        <w:t>The resources are appropriate for those working with children &amp; young people in school settings, beyond school or in the family home.</w:t>
      </w:r>
    </w:p>
    <w:p w14:paraId="737248F6" w14:textId="1463F5D9" w:rsidR="00A9497E" w:rsidRDefault="00A9497E" w:rsidP="00A9497E">
      <w:pPr>
        <w:widowControl w:val="0"/>
        <w:rPr>
          <w:rFonts w:ascii="Aptos" w:hAnsi="Aptos"/>
        </w:rPr>
      </w:pPr>
      <w:r>
        <w:rPr>
          <w:rFonts w:ascii="Aptos" w:hAnsi="Aptos"/>
        </w:rPr>
        <w:t>Expected outcomes:</w:t>
      </w:r>
    </w:p>
    <w:p w14:paraId="0265F829" w14:textId="77777777" w:rsidR="00A9497E" w:rsidRPr="005D4F6D" w:rsidRDefault="00A9497E" w:rsidP="00A9497E">
      <w:pPr>
        <w:widowControl w:val="0"/>
        <w:numPr>
          <w:ilvl w:val="0"/>
          <w:numId w:val="1"/>
        </w:numPr>
        <w:spacing w:after="0" w:line="240" w:lineRule="auto"/>
        <w:rPr>
          <w:rFonts w:ascii="Aptos" w:hAnsi="Aptos"/>
        </w:rPr>
      </w:pPr>
      <w:r w:rsidRPr="005D4F6D">
        <w:rPr>
          <w:rFonts w:ascii="Aptos" w:hAnsi="Aptos"/>
        </w:rPr>
        <w:t>A whole staff understanding and commitment to trauma informed practice.</w:t>
      </w:r>
    </w:p>
    <w:p w14:paraId="1CEDFADD" w14:textId="77777777" w:rsidR="00A9497E" w:rsidRPr="005D4F6D" w:rsidRDefault="00A9497E" w:rsidP="00A9497E">
      <w:pPr>
        <w:widowControl w:val="0"/>
        <w:numPr>
          <w:ilvl w:val="0"/>
          <w:numId w:val="1"/>
        </w:numPr>
        <w:spacing w:after="0" w:line="240" w:lineRule="auto"/>
        <w:rPr>
          <w:rFonts w:ascii="Aptos" w:hAnsi="Aptos"/>
        </w:rPr>
      </w:pPr>
      <w:r w:rsidRPr="005D4F6D">
        <w:rPr>
          <w:rFonts w:ascii="Aptos" w:hAnsi="Aptos"/>
        </w:rPr>
        <w:t>A trauma informed culture in your setting.</w:t>
      </w:r>
    </w:p>
    <w:p w14:paraId="70BDAC14" w14:textId="77777777" w:rsidR="00A9497E" w:rsidRPr="005D4F6D" w:rsidRDefault="00A9497E" w:rsidP="00A9497E">
      <w:pPr>
        <w:widowControl w:val="0"/>
        <w:numPr>
          <w:ilvl w:val="0"/>
          <w:numId w:val="1"/>
        </w:numPr>
        <w:spacing w:after="0" w:line="240" w:lineRule="auto"/>
        <w:rPr>
          <w:rFonts w:ascii="Aptos" w:hAnsi="Aptos"/>
        </w:rPr>
      </w:pPr>
      <w:r w:rsidRPr="005D4F6D">
        <w:rPr>
          <w:rFonts w:ascii="Aptos" w:hAnsi="Aptos"/>
        </w:rPr>
        <w:t>A trauma informed policy for managing behaviour</w:t>
      </w:r>
    </w:p>
    <w:p w14:paraId="377F6A29" w14:textId="77777777" w:rsidR="00A9497E" w:rsidRPr="005D4F6D" w:rsidRDefault="00A9497E" w:rsidP="00A9497E">
      <w:pPr>
        <w:widowControl w:val="0"/>
        <w:numPr>
          <w:ilvl w:val="0"/>
          <w:numId w:val="1"/>
        </w:numPr>
        <w:spacing w:after="0" w:line="240" w:lineRule="auto"/>
        <w:rPr>
          <w:rFonts w:ascii="Aptos" w:hAnsi="Aptos"/>
        </w:rPr>
      </w:pPr>
      <w:r w:rsidRPr="005D4F6D">
        <w:rPr>
          <w:rFonts w:ascii="Aptos" w:hAnsi="Aptos"/>
        </w:rPr>
        <w:t>An audit of the current wellbeing provision in your setting</w:t>
      </w:r>
    </w:p>
    <w:p w14:paraId="2E187A24" w14:textId="77777777" w:rsidR="00A9497E" w:rsidRPr="005D4F6D" w:rsidRDefault="00A9497E" w:rsidP="00A9497E">
      <w:pPr>
        <w:widowControl w:val="0"/>
        <w:numPr>
          <w:ilvl w:val="0"/>
          <w:numId w:val="1"/>
        </w:numPr>
        <w:spacing w:after="0" w:line="240" w:lineRule="auto"/>
        <w:rPr>
          <w:rFonts w:ascii="Aptos" w:hAnsi="Aptos"/>
        </w:rPr>
      </w:pPr>
      <w:r w:rsidRPr="005D4F6D">
        <w:rPr>
          <w:rFonts w:ascii="Aptos" w:hAnsi="Aptos"/>
        </w:rPr>
        <w:t>A wellbeing governor/trustee</w:t>
      </w:r>
    </w:p>
    <w:p w14:paraId="7C128959" w14:textId="77777777" w:rsidR="00A9497E" w:rsidRPr="005D4F6D" w:rsidRDefault="00A9497E" w:rsidP="00A9497E">
      <w:pPr>
        <w:widowControl w:val="0"/>
        <w:numPr>
          <w:ilvl w:val="0"/>
          <w:numId w:val="1"/>
        </w:numPr>
        <w:spacing w:after="0" w:line="240" w:lineRule="auto"/>
        <w:rPr>
          <w:rFonts w:ascii="Aptos" w:hAnsi="Aptos"/>
        </w:rPr>
      </w:pPr>
      <w:r w:rsidRPr="005D4F6D">
        <w:rPr>
          <w:rFonts w:ascii="Aptos" w:hAnsi="Aptos"/>
        </w:rPr>
        <w:t>A vision with wellbeing at the heart of it</w:t>
      </w:r>
    </w:p>
    <w:p w14:paraId="6E2C061A" w14:textId="77777777" w:rsidR="00A9497E" w:rsidRPr="005D4F6D" w:rsidRDefault="00A9497E" w:rsidP="00A9497E">
      <w:pPr>
        <w:widowControl w:val="0"/>
        <w:numPr>
          <w:ilvl w:val="0"/>
          <w:numId w:val="1"/>
        </w:numPr>
        <w:spacing w:after="0" w:line="240" w:lineRule="auto"/>
        <w:rPr>
          <w:rFonts w:ascii="Aptos" w:hAnsi="Aptos"/>
        </w:rPr>
      </w:pPr>
      <w:r w:rsidRPr="005D4F6D">
        <w:rPr>
          <w:rFonts w:ascii="Aptos" w:hAnsi="Aptos"/>
        </w:rPr>
        <w:t>A trauma informed curriculum, where wellbeing interventions are valued</w:t>
      </w:r>
    </w:p>
    <w:p w14:paraId="29F30D81" w14:textId="77777777" w:rsidR="00A9497E" w:rsidRPr="005D4F6D" w:rsidRDefault="00A9497E" w:rsidP="00A9497E">
      <w:pPr>
        <w:widowControl w:val="0"/>
        <w:numPr>
          <w:ilvl w:val="0"/>
          <w:numId w:val="1"/>
        </w:numPr>
        <w:spacing w:after="0" w:line="240" w:lineRule="auto"/>
        <w:rPr>
          <w:rFonts w:ascii="Aptos" w:hAnsi="Aptos"/>
        </w:rPr>
      </w:pPr>
      <w:r w:rsidRPr="005D4F6D">
        <w:rPr>
          <w:rFonts w:ascii="Aptos" w:hAnsi="Aptos"/>
        </w:rPr>
        <w:t>The school promotes wellbeing in the community</w:t>
      </w:r>
    </w:p>
    <w:p w14:paraId="5CEA6317" w14:textId="238690AB" w:rsidR="00A9497E" w:rsidRDefault="00A9497E" w:rsidP="00A9497E">
      <w:pPr>
        <w:widowControl w:val="0"/>
        <w:numPr>
          <w:ilvl w:val="0"/>
          <w:numId w:val="1"/>
        </w:numPr>
        <w:spacing w:after="0" w:line="240" w:lineRule="auto"/>
        <w:rPr>
          <w:rFonts w:ascii="Aptos" w:hAnsi="Aptos"/>
        </w:rPr>
      </w:pPr>
      <w:r w:rsidRPr="005D4F6D">
        <w:rPr>
          <w:rFonts w:ascii="Aptos" w:hAnsi="Aptos"/>
        </w:rPr>
        <w:t>The stigma of mental health is constantly challenge</w:t>
      </w:r>
    </w:p>
    <w:p w14:paraId="578F3CC7" w14:textId="77777777" w:rsidR="00A9497E" w:rsidRPr="00A9497E" w:rsidRDefault="00A9497E" w:rsidP="00A9497E">
      <w:pPr>
        <w:widowControl w:val="0"/>
        <w:spacing w:after="0" w:line="240" w:lineRule="auto"/>
        <w:ind w:left="720"/>
        <w:rPr>
          <w:rFonts w:ascii="Aptos" w:hAnsi="Aptos"/>
        </w:rPr>
      </w:pPr>
    </w:p>
    <w:p w14:paraId="68ED071B" w14:textId="26E85089" w:rsidR="00A9497E" w:rsidRDefault="00A9497E" w:rsidP="00A9497E">
      <w:pPr>
        <w:widowControl w:val="0"/>
        <w:rPr>
          <w:rFonts w:ascii="Aptos" w:hAnsi="Aptos"/>
        </w:rPr>
      </w:pPr>
      <w:r>
        <w:rPr>
          <w:rFonts w:ascii="Aptos" w:hAnsi="Aptos"/>
        </w:rPr>
        <w:t>The Miss Kendra resource will support:</w:t>
      </w:r>
    </w:p>
    <w:p w14:paraId="6836772A" w14:textId="77777777" w:rsidR="00A9497E" w:rsidRDefault="00A9497E" w:rsidP="00A9497E">
      <w:pPr>
        <w:pStyle w:val="ListParagraph"/>
        <w:widowControl w:val="0"/>
        <w:numPr>
          <w:ilvl w:val="0"/>
          <w:numId w:val="3"/>
        </w:numPr>
        <w:spacing w:after="0" w:line="240" w:lineRule="auto"/>
        <w:rPr>
          <w:rFonts w:ascii="Aptos" w:hAnsi="Aptos"/>
        </w:rPr>
      </w:pPr>
      <w:r w:rsidRPr="005D4F6D">
        <w:rPr>
          <w:rFonts w:ascii="Aptos" w:hAnsi="Aptos"/>
        </w:rPr>
        <w:t>The statutory Relationships and Health curriculum 2025</w:t>
      </w:r>
    </w:p>
    <w:p w14:paraId="0C8676BB" w14:textId="77777777" w:rsidR="00A9497E" w:rsidRDefault="00A9497E" w:rsidP="00A9497E">
      <w:pPr>
        <w:pStyle w:val="ListParagraph"/>
        <w:widowControl w:val="0"/>
        <w:numPr>
          <w:ilvl w:val="0"/>
          <w:numId w:val="3"/>
        </w:numPr>
        <w:spacing w:after="0" w:line="240" w:lineRule="auto"/>
        <w:rPr>
          <w:rFonts w:ascii="Aptos" w:hAnsi="Aptos"/>
        </w:rPr>
      </w:pPr>
      <w:r w:rsidRPr="005D4F6D">
        <w:rPr>
          <w:rFonts w:ascii="Aptos" w:hAnsi="Aptos"/>
        </w:rPr>
        <w:t>The Fundamental British Values 2014</w:t>
      </w:r>
    </w:p>
    <w:p w14:paraId="1D8589B3" w14:textId="77777777" w:rsidR="00A9497E" w:rsidRDefault="00A9497E" w:rsidP="00A9497E">
      <w:pPr>
        <w:pStyle w:val="ListParagraph"/>
        <w:widowControl w:val="0"/>
        <w:numPr>
          <w:ilvl w:val="0"/>
          <w:numId w:val="3"/>
        </w:numPr>
        <w:spacing w:after="0" w:line="240" w:lineRule="auto"/>
        <w:rPr>
          <w:rFonts w:ascii="Aptos" w:hAnsi="Aptos"/>
        </w:rPr>
      </w:pPr>
      <w:r w:rsidRPr="005D4F6D">
        <w:rPr>
          <w:rFonts w:ascii="Aptos" w:hAnsi="Aptos"/>
        </w:rPr>
        <w:t xml:space="preserve">Keeping Children Safe in Education </w:t>
      </w:r>
    </w:p>
    <w:p w14:paraId="54824153" w14:textId="5EE392AC" w:rsidR="00A9497E" w:rsidRDefault="00A9497E" w:rsidP="00A9497E">
      <w:pPr>
        <w:pStyle w:val="ListParagraph"/>
        <w:widowControl w:val="0"/>
        <w:numPr>
          <w:ilvl w:val="0"/>
          <w:numId w:val="3"/>
        </w:numPr>
        <w:spacing w:after="0" w:line="240" w:lineRule="auto"/>
        <w:rPr>
          <w:rFonts w:ascii="Aptos" w:hAnsi="Aptos"/>
        </w:rPr>
      </w:pPr>
      <w:r w:rsidRPr="005D4F6D">
        <w:rPr>
          <w:rFonts w:ascii="Aptos" w:hAnsi="Aptos"/>
        </w:rPr>
        <w:t>Working Together</w:t>
      </w:r>
    </w:p>
    <w:p w14:paraId="278C6A7A" w14:textId="77777777" w:rsidR="00A9497E" w:rsidRPr="00A9497E" w:rsidRDefault="00A9497E" w:rsidP="00A9497E">
      <w:pPr>
        <w:pStyle w:val="ListParagraph"/>
        <w:widowControl w:val="0"/>
        <w:spacing w:after="0" w:line="240" w:lineRule="auto"/>
        <w:rPr>
          <w:rFonts w:ascii="Aptos" w:hAnsi="Aptos"/>
        </w:rPr>
      </w:pPr>
    </w:p>
    <w:p w14:paraId="2410E38C" w14:textId="77777777" w:rsidR="00A9497E" w:rsidRPr="005D4F6D" w:rsidRDefault="00A9497E" w:rsidP="00A9497E">
      <w:pPr>
        <w:widowControl w:val="0"/>
        <w:rPr>
          <w:rFonts w:ascii="Aptos" w:hAnsi="Aptos"/>
        </w:rPr>
      </w:pPr>
      <w:r w:rsidRPr="005D4F6D">
        <w:rPr>
          <w:rFonts w:ascii="Aptos" w:hAnsi="Aptos"/>
        </w:rPr>
        <w:t>United National Convention on the Rights of the Child 1991</w:t>
      </w:r>
    </w:p>
    <w:p w14:paraId="36F635E5" w14:textId="77777777" w:rsidR="00A9497E" w:rsidRPr="005D4F6D" w:rsidRDefault="00A9497E" w:rsidP="00A9497E">
      <w:pPr>
        <w:widowControl w:val="0"/>
        <w:numPr>
          <w:ilvl w:val="0"/>
          <w:numId w:val="2"/>
        </w:numPr>
        <w:spacing w:after="0" w:line="240" w:lineRule="auto"/>
        <w:rPr>
          <w:rFonts w:ascii="Aptos" w:hAnsi="Aptos"/>
        </w:rPr>
      </w:pPr>
      <w:r w:rsidRPr="005D4F6D">
        <w:rPr>
          <w:rFonts w:ascii="Aptos" w:hAnsi="Aptos"/>
        </w:rPr>
        <w:t>Article 19 (protection from violence, abuse and neglect) Governments must do all they can to ensure that children are protected from all forms of violence, abuse, neglect and bad treatment by their parents or anyone else who looks after them.</w:t>
      </w:r>
    </w:p>
    <w:p w14:paraId="1E7E6956" w14:textId="77777777" w:rsidR="00A9497E" w:rsidRPr="005D4F6D" w:rsidRDefault="00A9497E" w:rsidP="00A9497E">
      <w:pPr>
        <w:widowControl w:val="0"/>
        <w:numPr>
          <w:ilvl w:val="0"/>
          <w:numId w:val="2"/>
        </w:numPr>
        <w:spacing w:after="0" w:line="240" w:lineRule="auto"/>
        <w:rPr>
          <w:rFonts w:ascii="Aptos" w:hAnsi="Aptos"/>
        </w:rPr>
      </w:pPr>
      <w:r w:rsidRPr="005D4F6D">
        <w:rPr>
          <w:rFonts w:ascii="Aptos" w:hAnsi="Aptos"/>
        </w:rPr>
        <w:t xml:space="preserve">Article 39 (recovery from trauma and reintegration) Children who have experienced neglect, abuse, exploitation, torture or who are victims of war must </w:t>
      </w:r>
      <w:r w:rsidRPr="005D4F6D">
        <w:rPr>
          <w:rFonts w:ascii="Aptos" w:hAnsi="Aptos"/>
        </w:rPr>
        <w:lastRenderedPageBreak/>
        <w:t>receive special support to help them recover their health, dignity, self-respect and social life.</w:t>
      </w:r>
    </w:p>
    <w:p w14:paraId="51A6EBB2" w14:textId="77777777" w:rsidR="00A9497E" w:rsidRDefault="00A9497E"/>
    <w:p w14:paraId="5C69D181" w14:textId="77777777" w:rsidR="00A9497E" w:rsidRDefault="00A9497E" w:rsidP="00A9497E">
      <w:pPr>
        <w:rPr>
          <w:rFonts w:ascii="Arial" w:hAnsi="Arial" w:cs="Arial"/>
        </w:rPr>
      </w:pPr>
      <w:r>
        <w:rPr>
          <w:rFonts w:ascii="Arial" w:hAnsi="Arial" w:cs="Arial"/>
        </w:rPr>
        <w:t>You will receive a set of training slides for staff and the Miss Kendra resources to use directly with children and young people.</w:t>
      </w:r>
    </w:p>
    <w:p w14:paraId="618DCEF6" w14:textId="77777777" w:rsidR="00A9497E" w:rsidRDefault="00A9497E"/>
    <w:sectPr w:rsidR="00A94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B17CB"/>
    <w:multiLevelType w:val="hybridMultilevel"/>
    <w:tmpl w:val="D944A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870869"/>
    <w:multiLevelType w:val="hybridMultilevel"/>
    <w:tmpl w:val="C4A803F0"/>
    <w:lvl w:ilvl="0" w:tplc="5C545FC2">
      <w:start w:val="1"/>
      <w:numFmt w:val="bullet"/>
      <w:lvlText w:val=""/>
      <w:lvlJc w:val="left"/>
      <w:pPr>
        <w:tabs>
          <w:tab w:val="num" w:pos="720"/>
        </w:tabs>
        <w:ind w:left="720" w:hanging="360"/>
      </w:pPr>
      <w:rPr>
        <w:rFonts w:ascii="Wingdings" w:hAnsi="Wingdings" w:hint="default"/>
      </w:rPr>
    </w:lvl>
    <w:lvl w:ilvl="1" w:tplc="32BEEDDE" w:tentative="1">
      <w:start w:val="1"/>
      <w:numFmt w:val="bullet"/>
      <w:lvlText w:val=""/>
      <w:lvlJc w:val="left"/>
      <w:pPr>
        <w:tabs>
          <w:tab w:val="num" w:pos="1440"/>
        </w:tabs>
        <w:ind w:left="1440" w:hanging="360"/>
      </w:pPr>
      <w:rPr>
        <w:rFonts w:ascii="Wingdings" w:hAnsi="Wingdings" w:hint="default"/>
      </w:rPr>
    </w:lvl>
    <w:lvl w:ilvl="2" w:tplc="F3DE560A" w:tentative="1">
      <w:start w:val="1"/>
      <w:numFmt w:val="bullet"/>
      <w:lvlText w:val=""/>
      <w:lvlJc w:val="left"/>
      <w:pPr>
        <w:tabs>
          <w:tab w:val="num" w:pos="2160"/>
        </w:tabs>
        <w:ind w:left="2160" w:hanging="360"/>
      </w:pPr>
      <w:rPr>
        <w:rFonts w:ascii="Wingdings" w:hAnsi="Wingdings" w:hint="default"/>
      </w:rPr>
    </w:lvl>
    <w:lvl w:ilvl="3" w:tplc="3F167C2E" w:tentative="1">
      <w:start w:val="1"/>
      <w:numFmt w:val="bullet"/>
      <w:lvlText w:val=""/>
      <w:lvlJc w:val="left"/>
      <w:pPr>
        <w:tabs>
          <w:tab w:val="num" w:pos="2880"/>
        </w:tabs>
        <w:ind w:left="2880" w:hanging="360"/>
      </w:pPr>
      <w:rPr>
        <w:rFonts w:ascii="Wingdings" w:hAnsi="Wingdings" w:hint="default"/>
      </w:rPr>
    </w:lvl>
    <w:lvl w:ilvl="4" w:tplc="6974DDA8" w:tentative="1">
      <w:start w:val="1"/>
      <w:numFmt w:val="bullet"/>
      <w:lvlText w:val=""/>
      <w:lvlJc w:val="left"/>
      <w:pPr>
        <w:tabs>
          <w:tab w:val="num" w:pos="3600"/>
        </w:tabs>
        <w:ind w:left="3600" w:hanging="360"/>
      </w:pPr>
      <w:rPr>
        <w:rFonts w:ascii="Wingdings" w:hAnsi="Wingdings" w:hint="default"/>
      </w:rPr>
    </w:lvl>
    <w:lvl w:ilvl="5" w:tplc="F0AEDC5E" w:tentative="1">
      <w:start w:val="1"/>
      <w:numFmt w:val="bullet"/>
      <w:lvlText w:val=""/>
      <w:lvlJc w:val="left"/>
      <w:pPr>
        <w:tabs>
          <w:tab w:val="num" w:pos="4320"/>
        </w:tabs>
        <w:ind w:left="4320" w:hanging="360"/>
      </w:pPr>
      <w:rPr>
        <w:rFonts w:ascii="Wingdings" w:hAnsi="Wingdings" w:hint="default"/>
      </w:rPr>
    </w:lvl>
    <w:lvl w:ilvl="6" w:tplc="851C0530" w:tentative="1">
      <w:start w:val="1"/>
      <w:numFmt w:val="bullet"/>
      <w:lvlText w:val=""/>
      <w:lvlJc w:val="left"/>
      <w:pPr>
        <w:tabs>
          <w:tab w:val="num" w:pos="5040"/>
        </w:tabs>
        <w:ind w:left="5040" w:hanging="360"/>
      </w:pPr>
      <w:rPr>
        <w:rFonts w:ascii="Wingdings" w:hAnsi="Wingdings" w:hint="default"/>
      </w:rPr>
    </w:lvl>
    <w:lvl w:ilvl="7" w:tplc="3D68421E" w:tentative="1">
      <w:start w:val="1"/>
      <w:numFmt w:val="bullet"/>
      <w:lvlText w:val=""/>
      <w:lvlJc w:val="left"/>
      <w:pPr>
        <w:tabs>
          <w:tab w:val="num" w:pos="5760"/>
        </w:tabs>
        <w:ind w:left="5760" w:hanging="360"/>
      </w:pPr>
      <w:rPr>
        <w:rFonts w:ascii="Wingdings" w:hAnsi="Wingdings" w:hint="default"/>
      </w:rPr>
    </w:lvl>
    <w:lvl w:ilvl="8" w:tplc="0B783E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7D2D85"/>
    <w:multiLevelType w:val="hybridMultilevel"/>
    <w:tmpl w:val="0C7A036A"/>
    <w:lvl w:ilvl="0" w:tplc="72C80668">
      <w:start w:val="1"/>
      <w:numFmt w:val="bullet"/>
      <w:lvlText w:val=""/>
      <w:lvlJc w:val="left"/>
      <w:pPr>
        <w:tabs>
          <w:tab w:val="num" w:pos="720"/>
        </w:tabs>
        <w:ind w:left="720" w:hanging="360"/>
      </w:pPr>
      <w:rPr>
        <w:rFonts w:ascii="Symbol" w:hAnsi="Symbol" w:hint="default"/>
      </w:rPr>
    </w:lvl>
    <w:lvl w:ilvl="1" w:tplc="36605390" w:tentative="1">
      <w:start w:val="1"/>
      <w:numFmt w:val="bullet"/>
      <w:lvlText w:val=""/>
      <w:lvlJc w:val="left"/>
      <w:pPr>
        <w:tabs>
          <w:tab w:val="num" w:pos="1440"/>
        </w:tabs>
        <w:ind w:left="1440" w:hanging="360"/>
      </w:pPr>
      <w:rPr>
        <w:rFonts w:ascii="Symbol" w:hAnsi="Symbol" w:hint="default"/>
      </w:rPr>
    </w:lvl>
    <w:lvl w:ilvl="2" w:tplc="281E546A" w:tentative="1">
      <w:start w:val="1"/>
      <w:numFmt w:val="bullet"/>
      <w:lvlText w:val=""/>
      <w:lvlJc w:val="left"/>
      <w:pPr>
        <w:tabs>
          <w:tab w:val="num" w:pos="2160"/>
        </w:tabs>
        <w:ind w:left="2160" w:hanging="360"/>
      </w:pPr>
      <w:rPr>
        <w:rFonts w:ascii="Symbol" w:hAnsi="Symbol" w:hint="default"/>
      </w:rPr>
    </w:lvl>
    <w:lvl w:ilvl="3" w:tplc="F61EA602" w:tentative="1">
      <w:start w:val="1"/>
      <w:numFmt w:val="bullet"/>
      <w:lvlText w:val=""/>
      <w:lvlJc w:val="left"/>
      <w:pPr>
        <w:tabs>
          <w:tab w:val="num" w:pos="2880"/>
        </w:tabs>
        <w:ind w:left="2880" w:hanging="360"/>
      </w:pPr>
      <w:rPr>
        <w:rFonts w:ascii="Symbol" w:hAnsi="Symbol" w:hint="default"/>
      </w:rPr>
    </w:lvl>
    <w:lvl w:ilvl="4" w:tplc="104E039E" w:tentative="1">
      <w:start w:val="1"/>
      <w:numFmt w:val="bullet"/>
      <w:lvlText w:val=""/>
      <w:lvlJc w:val="left"/>
      <w:pPr>
        <w:tabs>
          <w:tab w:val="num" w:pos="3600"/>
        </w:tabs>
        <w:ind w:left="3600" w:hanging="360"/>
      </w:pPr>
      <w:rPr>
        <w:rFonts w:ascii="Symbol" w:hAnsi="Symbol" w:hint="default"/>
      </w:rPr>
    </w:lvl>
    <w:lvl w:ilvl="5" w:tplc="07221A58" w:tentative="1">
      <w:start w:val="1"/>
      <w:numFmt w:val="bullet"/>
      <w:lvlText w:val=""/>
      <w:lvlJc w:val="left"/>
      <w:pPr>
        <w:tabs>
          <w:tab w:val="num" w:pos="4320"/>
        </w:tabs>
        <w:ind w:left="4320" w:hanging="360"/>
      </w:pPr>
      <w:rPr>
        <w:rFonts w:ascii="Symbol" w:hAnsi="Symbol" w:hint="default"/>
      </w:rPr>
    </w:lvl>
    <w:lvl w:ilvl="6" w:tplc="226255DC" w:tentative="1">
      <w:start w:val="1"/>
      <w:numFmt w:val="bullet"/>
      <w:lvlText w:val=""/>
      <w:lvlJc w:val="left"/>
      <w:pPr>
        <w:tabs>
          <w:tab w:val="num" w:pos="5040"/>
        </w:tabs>
        <w:ind w:left="5040" w:hanging="360"/>
      </w:pPr>
      <w:rPr>
        <w:rFonts w:ascii="Symbol" w:hAnsi="Symbol" w:hint="default"/>
      </w:rPr>
    </w:lvl>
    <w:lvl w:ilvl="7" w:tplc="6C0C5F1E" w:tentative="1">
      <w:start w:val="1"/>
      <w:numFmt w:val="bullet"/>
      <w:lvlText w:val=""/>
      <w:lvlJc w:val="left"/>
      <w:pPr>
        <w:tabs>
          <w:tab w:val="num" w:pos="5760"/>
        </w:tabs>
        <w:ind w:left="5760" w:hanging="360"/>
      </w:pPr>
      <w:rPr>
        <w:rFonts w:ascii="Symbol" w:hAnsi="Symbol" w:hint="default"/>
      </w:rPr>
    </w:lvl>
    <w:lvl w:ilvl="8" w:tplc="5AACEBC2" w:tentative="1">
      <w:start w:val="1"/>
      <w:numFmt w:val="bullet"/>
      <w:lvlText w:val=""/>
      <w:lvlJc w:val="left"/>
      <w:pPr>
        <w:tabs>
          <w:tab w:val="num" w:pos="6480"/>
        </w:tabs>
        <w:ind w:left="6480" w:hanging="360"/>
      </w:pPr>
      <w:rPr>
        <w:rFonts w:ascii="Symbol" w:hAnsi="Symbol" w:hint="default"/>
      </w:rPr>
    </w:lvl>
  </w:abstractNum>
  <w:num w:numId="1" w16cid:durableId="2061785221">
    <w:abstractNumId w:val="2"/>
  </w:num>
  <w:num w:numId="2" w16cid:durableId="1573932592">
    <w:abstractNumId w:val="1"/>
  </w:num>
  <w:num w:numId="3" w16cid:durableId="97163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7E"/>
    <w:rsid w:val="00A9497E"/>
    <w:rsid w:val="00CE510E"/>
    <w:rsid w:val="00F65C25"/>
    <w:rsid w:val="00FE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2F28"/>
  <w15:chartTrackingRefBased/>
  <w15:docId w15:val="{F9C48DF1-7BE5-4C7D-94BD-182D721B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97E"/>
    <w:rPr>
      <w:rFonts w:eastAsiaTheme="majorEastAsia" w:cstheme="majorBidi"/>
      <w:color w:val="272727" w:themeColor="text1" w:themeTint="D8"/>
    </w:rPr>
  </w:style>
  <w:style w:type="paragraph" w:styleId="Title">
    <w:name w:val="Title"/>
    <w:basedOn w:val="Normal"/>
    <w:next w:val="Normal"/>
    <w:link w:val="TitleChar"/>
    <w:uiPriority w:val="10"/>
    <w:qFormat/>
    <w:rsid w:val="00A94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97E"/>
    <w:pPr>
      <w:spacing w:before="160"/>
      <w:jc w:val="center"/>
    </w:pPr>
    <w:rPr>
      <w:i/>
      <w:iCs/>
      <w:color w:val="404040" w:themeColor="text1" w:themeTint="BF"/>
    </w:rPr>
  </w:style>
  <w:style w:type="character" w:customStyle="1" w:styleId="QuoteChar">
    <w:name w:val="Quote Char"/>
    <w:basedOn w:val="DefaultParagraphFont"/>
    <w:link w:val="Quote"/>
    <w:uiPriority w:val="29"/>
    <w:rsid w:val="00A9497E"/>
    <w:rPr>
      <w:i/>
      <w:iCs/>
      <w:color w:val="404040" w:themeColor="text1" w:themeTint="BF"/>
    </w:rPr>
  </w:style>
  <w:style w:type="paragraph" w:styleId="ListParagraph">
    <w:name w:val="List Paragraph"/>
    <w:basedOn w:val="Normal"/>
    <w:uiPriority w:val="34"/>
    <w:qFormat/>
    <w:rsid w:val="00A9497E"/>
    <w:pPr>
      <w:ind w:left="720"/>
      <w:contextualSpacing/>
    </w:pPr>
  </w:style>
  <w:style w:type="character" w:styleId="IntenseEmphasis">
    <w:name w:val="Intense Emphasis"/>
    <w:basedOn w:val="DefaultParagraphFont"/>
    <w:uiPriority w:val="21"/>
    <w:qFormat/>
    <w:rsid w:val="00A9497E"/>
    <w:rPr>
      <w:i/>
      <w:iCs/>
      <w:color w:val="0F4761" w:themeColor="accent1" w:themeShade="BF"/>
    </w:rPr>
  </w:style>
  <w:style w:type="paragraph" w:styleId="IntenseQuote">
    <w:name w:val="Intense Quote"/>
    <w:basedOn w:val="Normal"/>
    <w:next w:val="Normal"/>
    <w:link w:val="IntenseQuoteChar"/>
    <w:uiPriority w:val="30"/>
    <w:qFormat/>
    <w:rsid w:val="00A94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97E"/>
    <w:rPr>
      <w:i/>
      <w:iCs/>
      <w:color w:val="0F4761" w:themeColor="accent1" w:themeShade="BF"/>
    </w:rPr>
  </w:style>
  <w:style w:type="character" w:styleId="IntenseReference">
    <w:name w:val="Intense Reference"/>
    <w:basedOn w:val="DefaultParagraphFont"/>
    <w:uiPriority w:val="32"/>
    <w:qFormat/>
    <w:rsid w:val="00A9497E"/>
    <w:rPr>
      <w:b/>
      <w:bCs/>
      <w:smallCaps/>
      <w:color w:val="0F4761" w:themeColor="accent1" w:themeShade="BF"/>
      <w:spacing w:val="5"/>
    </w:rPr>
  </w:style>
  <w:style w:type="character" w:styleId="Hyperlink">
    <w:name w:val="Hyperlink"/>
    <w:basedOn w:val="DefaultParagraphFont"/>
    <w:uiPriority w:val="99"/>
    <w:unhideWhenUsed/>
    <w:rsid w:val="00A9497E"/>
    <w:rPr>
      <w:color w:val="467886" w:themeColor="hyperlink"/>
      <w:u w:val="single"/>
    </w:rPr>
  </w:style>
  <w:style w:type="table" w:styleId="TableGrid">
    <w:name w:val="Table Grid"/>
    <w:basedOn w:val="TableNormal"/>
    <w:uiPriority w:val="39"/>
    <w:rsid w:val="00A949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e.stoddart2@taw.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1964</Characters>
  <Application>Microsoft Office Word</Application>
  <DocSecurity>0</DocSecurity>
  <Lines>16</Lines>
  <Paragraphs>4</Paragraphs>
  <ScaleCrop>false</ScaleCrop>
  <Company>Telford and Wrekin IDT</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Deane, Sian</dc:creator>
  <cp:keywords/>
  <dc:description/>
  <cp:lastModifiedBy>Deane, Sian</cp:lastModifiedBy>
  <cp:revision>1</cp:revision>
  <dcterms:created xsi:type="dcterms:W3CDTF">2026-05-05T12:51:00Z</dcterms:created>
  <dcterms:modified xsi:type="dcterms:W3CDTF">2026-05-05T12:56:00Z</dcterms:modified>
</cp:coreProperties>
</file>