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339B6F" w14:textId="27C31CA7" w:rsidR="00A95625" w:rsidRPr="00365AAF" w:rsidRDefault="00E5073D">
      <w:pPr>
        <w:rPr>
          <w:b/>
          <w:bCs/>
          <w:sz w:val="32"/>
          <w:szCs w:val="32"/>
          <w:u w:val="single"/>
        </w:rPr>
      </w:pPr>
      <w:r w:rsidRPr="00365AAF">
        <w:rPr>
          <w:b/>
          <w:bCs/>
          <w:sz w:val="32"/>
          <w:szCs w:val="32"/>
          <w:u w:val="single"/>
        </w:rPr>
        <w:t>Educational</w:t>
      </w:r>
      <w:r w:rsidR="00EE44DB" w:rsidRPr="00365AAF">
        <w:rPr>
          <w:b/>
          <w:bCs/>
          <w:sz w:val="32"/>
          <w:szCs w:val="32"/>
          <w:u w:val="single"/>
        </w:rPr>
        <w:t xml:space="preserve"> Visits in Shropshire Schools</w:t>
      </w:r>
      <w:r w:rsidRPr="00365AAF">
        <w:rPr>
          <w:b/>
          <w:bCs/>
          <w:sz w:val="32"/>
          <w:szCs w:val="32"/>
          <w:u w:val="single"/>
        </w:rPr>
        <w:t xml:space="preserve"> </w:t>
      </w:r>
      <w:r w:rsidR="00D670DF" w:rsidRPr="00365AAF">
        <w:rPr>
          <w:b/>
          <w:bCs/>
          <w:sz w:val="32"/>
          <w:szCs w:val="32"/>
          <w:u w:val="single"/>
        </w:rPr>
        <w:t>28</w:t>
      </w:r>
      <w:r w:rsidR="00D670DF" w:rsidRPr="00365AAF">
        <w:rPr>
          <w:b/>
          <w:bCs/>
          <w:sz w:val="32"/>
          <w:szCs w:val="32"/>
          <w:u w:val="single"/>
          <w:vertAlign w:val="superscript"/>
        </w:rPr>
        <w:t>th</w:t>
      </w:r>
      <w:r w:rsidR="00D670DF" w:rsidRPr="00365AAF">
        <w:rPr>
          <w:b/>
          <w:bCs/>
          <w:sz w:val="32"/>
          <w:szCs w:val="32"/>
          <w:u w:val="single"/>
        </w:rPr>
        <w:t xml:space="preserve"> April </w:t>
      </w:r>
      <w:r w:rsidRPr="00365AAF">
        <w:rPr>
          <w:b/>
          <w:bCs/>
          <w:sz w:val="32"/>
          <w:szCs w:val="32"/>
          <w:u w:val="single"/>
        </w:rPr>
        <w:t>2025</w:t>
      </w:r>
    </w:p>
    <w:p w14:paraId="2A6E259C" w14:textId="3B32123F" w:rsidR="004A5D10" w:rsidRDefault="006645CF">
      <w:r w:rsidRPr="006645CF">
        <w:t xml:space="preserve">This </w:t>
      </w:r>
      <w:r w:rsidR="00E5073D">
        <w:t>memo</w:t>
      </w:r>
      <w:r w:rsidRPr="006645CF">
        <w:t xml:space="preserve"> is aimed at people in senior or controlling positions in organisations that employ staff who provide outdoor learning and off-site visits</w:t>
      </w:r>
      <w:r w:rsidR="00D04475">
        <w:t xml:space="preserve"> within Shropshire Schools</w:t>
      </w:r>
      <w:r w:rsidRPr="006645CF">
        <w:t xml:space="preserve">. </w:t>
      </w:r>
      <w:r w:rsidR="001C103E">
        <w:t>Much of</w:t>
      </w:r>
      <w:r w:rsidR="00E20EA5">
        <w:t xml:space="preserve"> this text is taken from The Association of Advisors</w:t>
      </w:r>
      <w:r w:rsidR="004F2200">
        <w:t xml:space="preserve"> for Outdoor Learning and Educational Visits National Guidanc</w:t>
      </w:r>
      <w:r w:rsidR="009B039A">
        <w:t>e.</w:t>
      </w:r>
    </w:p>
    <w:p w14:paraId="5C8EDA96" w14:textId="40341DF5" w:rsidR="000C24CA" w:rsidRDefault="006645CF">
      <w:r w:rsidRPr="006645CF">
        <w:t>These may include people in roles such as: • Chief Executive; • Chair; • Company Secretary; • Director; • Councillor; • Trustee; • Governor; • Proprietor; • Owner, in organisations such as: • Local authorities; • Academies and multi-academy trusts; • Voluntary-aided and foundation schools; • Independent schools; • Further Education and sixth form corporations; • Higher Education institutions; • Charities; • Companies.</w:t>
      </w:r>
    </w:p>
    <w:p w14:paraId="51641CE5" w14:textId="604B7A65" w:rsidR="006645CF" w:rsidRDefault="006645CF">
      <w:r w:rsidRPr="00414FCA">
        <w:rPr>
          <w:b/>
          <w:bCs/>
          <w:sz w:val="24"/>
          <w:szCs w:val="24"/>
        </w:rPr>
        <w:t>Legal Requirements</w:t>
      </w:r>
      <w:r w:rsidR="00414FCA" w:rsidRPr="00414FCA">
        <w:rPr>
          <w:b/>
          <w:bCs/>
          <w:sz w:val="24"/>
          <w:szCs w:val="24"/>
        </w:rPr>
        <w:t xml:space="preserve"> -</w:t>
      </w:r>
      <w:r w:rsidRPr="006645CF">
        <w:t xml:space="preserve"> </w:t>
      </w:r>
      <w:r w:rsidR="00624584" w:rsidRPr="006645CF">
        <w:t>Employer</w:t>
      </w:r>
      <w:r w:rsidR="00624584">
        <w:t>s</w:t>
      </w:r>
      <w:r w:rsidRPr="006645CF">
        <w:t xml:space="preserve"> are legally responsible for the activities that take place in their establishments. This includes a common law duty of care towards their employees and participants in the activities, and duties under the Health and Safety at Work</w:t>
      </w:r>
      <w:r w:rsidR="00E823DE">
        <w:t>.</w:t>
      </w:r>
      <w:r w:rsidRPr="006645CF">
        <w:t xml:space="preserve"> </w:t>
      </w:r>
      <w:r w:rsidRPr="00E82BDA">
        <w:rPr>
          <w:b/>
          <w:bCs/>
        </w:rPr>
        <w:t>In addition to their responsibilities as an employer, local authorities also have a duty under the Children Act (2004) to ensure that there are clear and effective arrangements to protect from harm all children and young people in their area.</w:t>
      </w:r>
      <w:r w:rsidRPr="006645CF">
        <w:t xml:space="preserve"> This means that, even though they are not responsible under the HSWA for health and safety in establishments for which they are not the employer (such as independent schools and academies), they do have an overarching responsibility to ensure that all establishments have suitable and sufficient arrangements in place for managing health and safety and child protection, including during outdoor learning and offs</w:t>
      </w:r>
      <w:r w:rsidR="00CA19C2">
        <w:t>ite visits.</w:t>
      </w:r>
    </w:p>
    <w:p w14:paraId="1698113B" w14:textId="4740C2F9" w:rsidR="006645CF" w:rsidRPr="009B4761" w:rsidRDefault="006645CF">
      <w:pPr>
        <w:rPr>
          <w:b/>
          <w:bCs/>
        </w:rPr>
      </w:pPr>
      <w:r w:rsidRPr="006645CF">
        <w:t>Employers must ensure that their employees are provided with appropriate guidance</w:t>
      </w:r>
      <w:r w:rsidR="000C0543">
        <w:t xml:space="preserve"> and to follow any</w:t>
      </w:r>
      <w:r w:rsidR="00D01619">
        <w:t xml:space="preserve"> establishments Policy and Procedures for Educational visits</w:t>
      </w:r>
      <w:r w:rsidR="006A6479">
        <w:t xml:space="preserve"> that are in place</w:t>
      </w:r>
      <w:r w:rsidR="00D01619">
        <w:t>.</w:t>
      </w:r>
      <w:r>
        <w:t xml:space="preserve"> </w:t>
      </w:r>
      <w:r w:rsidRPr="006645CF">
        <w:t xml:space="preserve">Training must be provided to support the guidance, and to ensure that it is understood. It is recommended that: • </w:t>
      </w:r>
      <w:r w:rsidRPr="009B4761">
        <w:rPr>
          <w:b/>
          <w:bCs/>
        </w:rPr>
        <w:t xml:space="preserve">Educational Visit Coordinators (EVCs) should undertake EVC Training, followed by revalidation training at least every three years, delivered by a trained OEAP EVC </w:t>
      </w:r>
      <w:r w:rsidR="00624584" w:rsidRPr="009B4761">
        <w:rPr>
          <w:b/>
          <w:bCs/>
        </w:rPr>
        <w:t>trainer.</w:t>
      </w:r>
      <w:r w:rsidRPr="009B4761">
        <w:rPr>
          <w:b/>
          <w:bCs/>
        </w:rPr>
        <w:t xml:space="preserve"> </w:t>
      </w:r>
    </w:p>
    <w:p w14:paraId="685F3F96" w14:textId="76A2333C" w:rsidR="006645CF" w:rsidRDefault="006645CF">
      <w:r w:rsidRPr="006645CF">
        <w:t xml:space="preserve">Employers may delegate some or </w:t>
      </w:r>
      <w:proofErr w:type="gramStart"/>
      <w:r w:rsidR="00655C29" w:rsidRPr="006645CF">
        <w:t>all</w:t>
      </w:r>
      <w:r w:rsidRPr="006645CF">
        <w:t xml:space="preserve"> </w:t>
      </w:r>
      <w:r w:rsidR="00B769F6">
        <w:t>of</w:t>
      </w:r>
      <w:proofErr w:type="gramEnd"/>
      <w:r w:rsidR="00B769F6">
        <w:t xml:space="preserve"> </w:t>
      </w:r>
      <w:r w:rsidRPr="006645CF">
        <w:t>the approval, notification and recording process to establishments but they must set down clear expectations for what they wish to happen and be clear about who is responsible for what. It is good practice for an employer to define categories of visit, to make clear to establishments which categories of visit (if any) require notification to the employer, and which (if any) require approval by the employer, and to clarify who is responsible for approving visits on behalf of the employer. The categories and requirements should be based on an assessment of risks, and will depend upon the type of employer, the type of establishments it operates, the type of visits they provide, and the competence of key staff. Employers are recommended to require that plans for higher-risk visits, such as visits overseas and those which include adventure activities, are submitted for their approval</w:t>
      </w:r>
      <w:r w:rsidRPr="00D4612B">
        <w:rPr>
          <w:b/>
          <w:bCs/>
        </w:rPr>
        <w:t>. It is essential that those who are responsible for approving visits are competent to do so, whether at the employer level or at the establishment level.</w:t>
      </w:r>
      <w:r w:rsidRPr="006645CF">
        <w:t xml:space="preserve"> A typical arrangement for a large employer responsible for a number of schools and other establishments is as follows: • establishments are not required to notify the employer about, nor to obtain employer approval for, Standard visits covered by standard operating procedures  • establishments must obtain approval for overseas visits; • establishments must obtain approval for visits which include adventure or other higher-risk activities except those led by approved providers (for example, providers </w:t>
      </w:r>
      <w:r w:rsidRPr="006645CF">
        <w:lastRenderedPageBreak/>
        <w:t>holding a Learning Outside the Classroom Quality Badge); • establishments must notify the employer prior to all other visits, but do not need to seek approval for them; • the employer agrees exceptions for certain establishments with expert specialist staff, such as an outdoor education centre</w:t>
      </w:r>
      <w:r w:rsidRPr="00EF6C88">
        <w:rPr>
          <w:b/>
          <w:bCs/>
        </w:rPr>
        <w:t xml:space="preserve">. Large employers often use IT systems designed for managing visits – these can provide automatic notification, allow approval to be delegated where required, and record an audit trail. When such systems are used, it is important that approval is not regarded as a trivial administrative </w:t>
      </w:r>
      <w:r w:rsidR="00624584" w:rsidRPr="00EF6C88">
        <w:rPr>
          <w:b/>
          <w:bCs/>
        </w:rPr>
        <w:t>task but</w:t>
      </w:r>
      <w:r w:rsidRPr="00EF6C88">
        <w:rPr>
          <w:b/>
          <w:bCs/>
        </w:rPr>
        <w:t xml:space="preserve"> is done by a </w:t>
      </w:r>
      <w:r w:rsidRPr="00EF6C88">
        <w:rPr>
          <w:b/>
          <w:bCs/>
          <w:u w:val="single"/>
        </w:rPr>
        <w:t>competent person</w:t>
      </w:r>
      <w:r w:rsidRPr="00EF6C88">
        <w:rPr>
          <w:b/>
          <w:bCs/>
        </w:rPr>
        <w:t>.</w:t>
      </w:r>
    </w:p>
    <w:p w14:paraId="7EA419D2" w14:textId="70E126F9" w:rsidR="006645CF" w:rsidRDefault="006645CF">
      <w:r w:rsidRPr="006645CF">
        <w:t>Management Boards and Governing Bodies Members of a management board or governing body should view their main function as being ‘to enable and ensure’, sometimes described as being a ‘critical friend’. It is vital that there is a close and supportive but challenging relationship with the establishment’s head/manager. Where an establishment does not have a management board or governing body, this function is the responsibility of the employer, usually through the line manager of the establishment’s head/manager</w:t>
      </w:r>
      <w:r>
        <w:t xml:space="preserve">. </w:t>
      </w:r>
    </w:p>
    <w:p w14:paraId="24ACB2FA" w14:textId="57A91884" w:rsidR="006645CF" w:rsidRDefault="006645CF">
      <w:r w:rsidRPr="00E97621">
        <w:rPr>
          <w:b/>
          <w:bCs/>
        </w:rPr>
        <w:t xml:space="preserve">A head/manager should ensure that the establishment has policies and procedures for outdoor learning and visits that conform with their employer’s guidance. </w:t>
      </w:r>
      <w:r w:rsidRPr="006645CF">
        <w:t xml:space="preserve">They are responsible for ensuring that establishment staff are competent for the roles allocated to them, and that there is a robust system in place for approving leaders and approving plans for activities and visits. </w:t>
      </w:r>
      <w:r w:rsidRPr="005C00B3">
        <w:rPr>
          <w:b/>
          <w:bCs/>
        </w:rPr>
        <w:t>Many of the day-to-day tasks associated with the responsibilities of a head/manager can be delegated to an EVC, depending upon their competence.</w:t>
      </w:r>
    </w:p>
    <w:p w14:paraId="31A8C95B" w14:textId="4601E5E4" w:rsidR="006645CF" w:rsidRDefault="006645CF" w:rsidP="009879E0">
      <w:pPr>
        <w:rPr>
          <w:b/>
          <w:bCs/>
        </w:rPr>
      </w:pPr>
      <w:r w:rsidRPr="006645CF">
        <w:t xml:space="preserve">It is good practice for all establishments to have an Educational Visits Coordinator (EVC), and the employer’s policy may make this a requirement. In smaller establishments, the role of EVC is sometimes held by the head/manager. </w:t>
      </w:r>
      <w:r w:rsidRPr="0052317B">
        <w:rPr>
          <w:b/>
          <w:bCs/>
        </w:rPr>
        <w:t>Where an EVC is not nominated, by default the responsibilities of the role rest with the head/manager.</w:t>
      </w:r>
      <w:r w:rsidRPr="006645CF">
        <w:t xml:space="preserve"> The EVC is the establishment’s focal point for planning and monitoring visits and outdoor learning. They should work closely with the head/manager and with Visit Leaders. The EVC should be an experienced Visit Leader with sufficient status within the establishment to guide the working practice of colleagues leading outdoor learning and visits. This cannot be a purely administrative role, although certain functions may be delegated to an administrator. Where the EVC does not meet these criteria (as where the EVC role is attached to an administrative post or where a post holder is not an experienced Visit Leader), they should have structured access to and support from a designated colleague who fits the recommended criteria and who will fulfil those aspects not covered by the post holder.</w:t>
      </w:r>
      <w:r w:rsidR="00B45780">
        <w:t xml:space="preserve"> </w:t>
      </w:r>
      <w:r w:rsidR="00B45780" w:rsidRPr="00656A78">
        <w:rPr>
          <w:b/>
          <w:bCs/>
        </w:rPr>
        <w:t xml:space="preserve">The EVC should have access to expert advice provided by the employer, such as from a competent Outdoor Education Adviser or Technical Advisor who will hold </w:t>
      </w:r>
      <w:r w:rsidR="008669D5" w:rsidRPr="00656A78">
        <w:rPr>
          <w:b/>
          <w:bCs/>
        </w:rPr>
        <w:t>several</w:t>
      </w:r>
      <w:r w:rsidR="00B45780" w:rsidRPr="00656A78">
        <w:rPr>
          <w:b/>
          <w:bCs/>
        </w:rPr>
        <w:t xml:space="preserve"> high level National Governing Body Award</w:t>
      </w:r>
      <w:r w:rsidR="00AF5618" w:rsidRPr="00656A78">
        <w:rPr>
          <w:b/>
          <w:bCs/>
        </w:rPr>
        <w:t>’</w:t>
      </w:r>
      <w:r w:rsidR="00B45780" w:rsidRPr="00656A78">
        <w:rPr>
          <w:b/>
          <w:bCs/>
        </w:rPr>
        <w:t>s.</w:t>
      </w:r>
      <w:r w:rsidR="00B43A24">
        <w:rPr>
          <w:b/>
          <w:bCs/>
        </w:rPr>
        <w:t xml:space="preserve"> </w:t>
      </w:r>
      <w:r w:rsidR="00590F70">
        <w:rPr>
          <w:b/>
          <w:bCs/>
        </w:rPr>
        <w:t xml:space="preserve">This applies to </w:t>
      </w:r>
      <w:r w:rsidR="00590F70" w:rsidRPr="00B43A24">
        <w:rPr>
          <w:b/>
          <w:bCs/>
          <w:u w:val="single"/>
        </w:rPr>
        <w:t>All</w:t>
      </w:r>
      <w:r w:rsidR="00590F70">
        <w:rPr>
          <w:b/>
          <w:bCs/>
        </w:rPr>
        <w:t xml:space="preserve"> educational establishments</w:t>
      </w:r>
      <w:r w:rsidR="00B43A24">
        <w:rPr>
          <w:b/>
          <w:bCs/>
        </w:rPr>
        <w:t xml:space="preserve"> including Schools that operate under the Polic</w:t>
      </w:r>
      <w:r w:rsidR="001709B0">
        <w:rPr>
          <w:b/>
          <w:bCs/>
        </w:rPr>
        <w:t>ies of an Academy or Multi Academy Trust.</w:t>
      </w:r>
    </w:p>
    <w:p w14:paraId="06DAB482" w14:textId="67860EA4" w:rsidR="00C20575" w:rsidRDefault="00C20575" w:rsidP="009879E0">
      <w:pPr>
        <w:rPr>
          <w:b/>
          <w:bCs/>
        </w:rPr>
      </w:pPr>
      <w:r>
        <w:rPr>
          <w:b/>
          <w:bCs/>
        </w:rPr>
        <w:t>This memo</w:t>
      </w:r>
      <w:r w:rsidR="00D10E23">
        <w:rPr>
          <w:b/>
          <w:bCs/>
        </w:rPr>
        <w:t xml:space="preserve"> is a reminder for Schools to look at their current </w:t>
      </w:r>
      <w:r w:rsidR="00644FB6">
        <w:rPr>
          <w:b/>
          <w:bCs/>
        </w:rPr>
        <w:t>operations</w:t>
      </w:r>
      <w:r w:rsidR="00C44602">
        <w:rPr>
          <w:b/>
          <w:bCs/>
        </w:rPr>
        <w:t xml:space="preserve"> and firm up</w:t>
      </w:r>
      <w:r w:rsidR="00667759">
        <w:rPr>
          <w:b/>
          <w:bCs/>
        </w:rPr>
        <w:t xml:space="preserve"> procedures, revisit </w:t>
      </w:r>
      <w:r w:rsidR="001C103E">
        <w:rPr>
          <w:b/>
          <w:bCs/>
        </w:rPr>
        <w:t>policies,</w:t>
      </w:r>
      <w:r w:rsidR="00C44602">
        <w:rPr>
          <w:b/>
          <w:bCs/>
        </w:rPr>
        <w:t xml:space="preserve"> if necessary, to engage </w:t>
      </w:r>
      <w:r w:rsidR="00910A63">
        <w:rPr>
          <w:b/>
          <w:bCs/>
        </w:rPr>
        <w:t>in</w:t>
      </w:r>
      <w:r w:rsidR="008E24B9">
        <w:rPr>
          <w:b/>
          <w:bCs/>
        </w:rPr>
        <w:t xml:space="preserve"> discussion between those staff running trips and those signing / approving off</w:t>
      </w:r>
      <w:r w:rsidR="00210D6A">
        <w:rPr>
          <w:b/>
          <w:bCs/>
        </w:rPr>
        <w:t xml:space="preserve">site </w:t>
      </w:r>
      <w:r w:rsidR="008E24B9">
        <w:rPr>
          <w:b/>
          <w:bCs/>
        </w:rPr>
        <w:t>trips</w:t>
      </w:r>
      <w:r w:rsidR="00210D6A">
        <w:rPr>
          <w:b/>
          <w:bCs/>
        </w:rPr>
        <w:t xml:space="preserve"> </w:t>
      </w:r>
      <w:r w:rsidR="0041673F">
        <w:rPr>
          <w:b/>
          <w:bCs/>
        </w:rPr>
        <w:t>/</w:t>
      </w:r>
      <w:r w:rsidR="00210D6A">
        <w:rPr>
          <w:b/>
          <w:bCs/>
        </w:rPr>
        <w:t xml:space="preserve"> high risk activities</w:t>
      </w:r>
      <w:r w:rsidR="008E24B9">
        <w:rPr>
          <w:b/>
          <w:bCs/>
        </w:rPr>
        <w:t xml:space="preserve"> t</w:t>
      </w:r>
      <w:r w:rsidR="0041673F">
        <w:rPr>
          <w:b/>
          <w:bCs/>
        </w:rPr>
        <w:t>hat</w:t>
      </w:r>
      <w:r w:rsidR="008E24B9">
        <w:rPr>
          <w:b/>
          <w:bCs/>
        </w:rPr>
        <w:t xml:space="preserve"> take place</w:t>
      </w:r>
      <w:r w:rsidR="00986C3D">
        <w:rPr>
          <w:b/>
          <w:bCs/>
        </w:rPr>
        <w:t xml:space="preserve"> as part of </w:t>
      </w:r>
      <w:r w:rsidR="00937DEB">
        <w:rPr>
          <w:b/>
          <w:bCs/>
        </w:rPr>
        <w:t xml:space="preserve">their </w:t>
      </w:r>
      <w:r w:rsidR="00880D92">
        <w:rPr>
          <w:b/>
          <w:bCs/>
        </w:rPr>
        <w:t>schools’</w:t>
      </w:r>
      <w:r w:rsidR="00937DEB">
        <w:rPr>
          <w:b/>
          <w:bCs/>
        </w:rPr>
        <w:t xml:space="preserve"> curriculum</w:t>
      </w:r>
      <w:r w:rsidR="00910A63">
        <w:rPr>
          <w:b/>
          <w:bCs/>
        </w:rPr>
        <w:t>.</w:t>
      </w:r>
      <w:r w:rsidR="005B78E1">
        <w:rPr>
          <w:b/>
          <w:bCs/>
        </w:rPr>
        <w:t xml:space="preserve"> Failure to take notice could</w:t>
      </w:r>
      <w:r w:rsidR="00880D92">
        <w:rPr>
          <w:b/>
          <w:bCs/>
        </w:rPr>
        <w:t xml:space="preserve"> result in personal liabilities</w:t>
      </w:r>
      <w:r w:rsidR="001F7EB2">
        <w:rPr>
          <w:b/>
          <w:bCs/>
        </w:rPr>
        <w:t xml:space="preserve"> in a Court of Law</w:t>
      </w:r>
      <w:r w:rsidR="00246577">
        <w:rPr>
          <w:b/>
          <w:bCs/>
        </w:rPr>
        <w:t xml:space="preserve"> or possible jail </w:t>
      </w:r>
      <w:r w:rsidR="001C103E">
        <w:rPr>
          <w:b/>
          <w:bCs/>
        </w:rPr>
        <w:t>time!</w:t>
      </w:r>
    </w:p>
    <w:p w14:paraId="276DD362" w14:textId="77777777" w:rsidR="00085209" w:rsidRDefault="00085209" w:rsidP="009879E0">
      <w:pPr>
        <w:rPr>
          <w:b/>
          <w:bCs/>
        </w:rPr>
      </w:pPr>
    </w:p>
    <w:p w14:paraId="7EEC8DF2" w14:textId="59641366" w:rsidR="00085209" w:rsidRDefault="00D6278C" w:rsidP="009879E0">
      <w:pPr>
        <w:rPr>
          <w:b/>
          <w:bCs/>
        </w:rPr>
      </w:pPr>
      <w:r>
        <w:rPr>
          <w:b/>
          <w:bCs/>
        </w:rPr>
        <w:t xml:space="preserve">Mr </w:t>
      </w:r>
      <w:r w:rsidR="00085209">
        <w:rPr>
          <w:b/>
          <w:bCs/>
        </w:rPr>
        <w:t>Dave Thorley.</w:t>
      </w:r>
    </w:p>
    <w:p w14:paraId="62591A82" w14:textId="06A88112" w:rsidR="00085209" w:rsidRDefault="00085209" w:rsidP="009879E0">
      <w:pPr>
        <w:rPr>
          <w:b/>
          <w:bCs/>
        </w:rPr>
      </w:pPr>
      <w:r>
        <w:rPr>
          <w:b/>
          <w:bCs/>
        </w:rPr>
        <w:t>Shropshire LA Outdoor Education Advisor</w:t>
      </w:r>
      <w:r w:rsidR="0093250D">
        <w:rPr>
          <w:b/>
          <w:bCs/>
        </w:rPr>
        <w:t xml:space="preserve">. </w:t>
      </w:r>
      <w:r w:rsidR="001C103E">
        <w:rPr>
          <w:b/>
          <w:bCs/>
        </w:rPr>
        <w:t>28</w:t>
      </w:r>
      <w:r w:rsidR="001C103E" w:rsidRPr="001C103E">
        <w:rPr>
          <w:b/>
          <w:bCs/>
          <w:vertAlign w:val="superscript"/>
        </w:rPr>
        <w:t>th</w:t>
      </w:r>
      <w:r w:rsidR="001C103E">
        <w:rPr>
          <w:b/>
          <w:bCs/>
        </w:rPr>
        <w:t xml:space="preserve"> April 2025.</w:t>
      </w:r>
    </w:p>
    <w:p w14:paraId="4750A6FF" w14:textId="77777777" w:rsidR="0093250D" w:rsidRDefault="0093250D" w:rsidP="009879E0"/>
    <w:sectPr w:rsidR="0093250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100669"/>
    <w:multiLevelType w:val="hybridMultilevel"/>
    <w:tmpl w:val="ACA2751A"/>
    <w:lvl w:ilvl="0" w:tplc="A9B412EE">
      <w:numFmt w:val="bullet"/>
      <w:lvlText w:val="-"/>
      <w:lvlJc w:val="left"/>
      <w:pPr>
        <w:ind w:left="405" w:hanging="360"/>
      </w:pPr>
      <w:rPr>
        <w:rFonts w:ascii="Aptos" w:eastAsiaTheme="minorHAnsi" w:hAnsi="Aptos" w:cstheme="minorBidi" w:hint="default"/>
        <w:b/>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num w:numId="1" w16cid:durableId="13779746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5CF"/>
    <w:rsid w:val="00085209"/>
    <w:rsid w:val="000C0543"/>
    <w:rsid w:val="000C24CA"/>
    <w:rsid w:val="00155235"/>
    <w:rsid w:val="001709B0"/>
    <w:rsid w:val="001C103E"/>
    <w:rsid w:val="001F7EB2"/>
    <w:rsid w:val="00210D6A"/>
    <w:rsid w:val="00246577"/>
    <w:rsid w:val="00314321"/>
    <w:rsid w:val="00324E49"/>
    <w:rsid w:val="00337160"/>
    <w:rsid w:val="00365AAF"/>
    <w:rsid w:val="00414FCA"/>
    <w:rsid w:val="0041673F"/>
    <w:rsid w:val="004A5D10"/>
    <w:rsid w:val="004F2200"/>
    <w:rsid w:val="0052317B"/>
    <w:rsid w:val="005451D7"/>
    <w:rsid w:val="00590F70"/>
    <w:rsid w:val="005B78E1"/>
    <w:rsid w:val="005C00B3"/>
    <w:rsid w:val="00624584"/>
    <w:rsid w:val="00644FB6"/>
    <w:rsid w:val="00655C29"/>
    <w:rsid w:val="00656A78"/>
    <w:rsid w:val="006645CF"/>
    <w:rsid w:val="00667759"/>
    <w:rsid w:val="006A6479"/>
    <w:rsid w:val="007479A0"/>
    <w:rsid w:val="007A4FF1"/>
    <w:rsid w:val="007E2537"/>
    <w:rsid w:val="008669D5"/>
    <w:rsid w:val="00880D92"/>
    <w:rsid w:val="008E24B9"/>
    <w:rsid w:val="00904723"/>
    <w:rsid w:val="00910A63"/>
    <w:rsid w:val="0093250D"/>
    <w:rsid w:val="00937DEB"/>
    <w:rsid w:val="00940FCD"/>
    <w:rsid w:val="00986C3D"/>
    <w:rsid w:val="009879E0"/>
    <w:rsid w:val="009B039A"/>
    <w:rsid w:val="009B4761"/>
    <w:rsid w:val="00A95625"/>
    <w:rsid w:val="00AF5618"/>
    <w:rsid w:val="00B43A24"/>
    <w:rsid w:val="00B45780"/>
    <w:rsid w:val="00B769F6"/>
    <w:rsid w:val="00BF7E05"/>
    <w:rsid w:val="00C20575"/>
    <w:rsid w:val="00C267F0"/>
    <w:rsid w:val="00C44602"/>
    <w:rsid w:val="00CA19C2"/>
    <w:rsid w:val="00CA6040"/>
    <w:rsid w:val="00D01619"/>
    <w:rsid w:val="00D04475"/>
    <w:rsid w:val="00D104F3"/>
    <w:rsid w:val="00D10E23"/>
    <w:rsid w:val="00D4612B"/>
    <w:rsid w:val="00D6278C"/>
    <w:rsid w:val="00D670DF"/>
    <w:rsid w:val="00E20EA5"/>
    <w:rsid w:val="00E5073D"/>
    <w:rsid w:val="00E823DE"/>
    <w:rsid w:val="00E82BDA"/>
    <w:rsid w:val="00E97621"/>
    <w:rsid w:val="00EE44DB"/>
    <w:rsid w:val="00EF6C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EC1004"/>
  <w15:chartTrackingRefBased/>
  <w15:docId w15:val="{4E9D06C8-4976-4AF2-AE0E-5EB0AD5F4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45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645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645C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645C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645C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645C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45C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45C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45C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45C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645C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645C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645C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645C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645C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45C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45C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45CF"/>
    <w:rPr>
      <w:rFonts w:eastAsiaTheme="majorEastAsia" w:cstheme="majorBidi"/>
      <w:color w:val="272727" w:themeColor="text1" w:themeTint="D8"/>
    </w:rPr>
  </w:style>
  <w:style w:type="paragraph" w:styleId="Title">
    <w:name w:val="Title"/>
    <w:basedOn w:val="Normal"/>
    <w:next w:val="Normal"/>
    <w:link w:val="TitleChar"/>
    <w:uiPriority w:val="10"/>
    <w:qFormat/>
    <w:rsid w:val="006645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45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45C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45C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45CF"/>
    <w:pPr>
      <w:spacing w:before="160"/>
      <w:jc w:val="center"/>
    </w:pPr>
    <w:rPr>
      <w:i/>
      <w:iCs/>
      <w:color w:val="404040" w:themeColor="text1" w:themeTint="BF"/>
    </w:rPr>
  </w:style>
  <w:style w:type="character" w:customStyle="1" w:styleId="QuoteChar">
    <w:name w:val="Quote Char"/>
    <w:basedOn w:val="DefaultParagraphFont"/>
    <w:link w:val="Quote"/>
    <w:uiPriority w:val="29"/>
    <w:rsid w:val="006645CF"/>
    <w:rPr>
      <w:i/>
      <w:iCs/>
      <w:color w:val="404040" w:themeColor="text1" w:themeTint="BF"/>
    </w:rPr>
  </w:style>
  <w:style w:type="paragraph" w:styleId="ListParagraph">
    <w:name w:val="List Paragraph"/>
    <w:basedOn w:val="Normal"/>
    <w:uiPriority w:val="34"/>
    <w:qFormat/>
    <w:rsid w:val="006645CF"/>
    <w:pPr>
      <w:ind w:left="720"/>
      <w:contextualSpacing/>
    </w:pPr>
  </w:style>
  <w:style w:type="character" w:styleId="IntenseEmphasis">
    <w:name w:val="Intense Emphasis"/>
    <w:basedOn w:val="DefaultParagraphFont"/>
    <w:uiPriority w:val="21"/>
    <w:qFormat/>
    <w:rsid w:val="006645CF"/>
    <w:rPr>
      <w:i/>
      <w:iCs/>
      <w:color w:val="0F4761" w:themeColor="accent1" w:themeShade="BF"/>
    </w:rPr>
  </w:style>
  <w:style w:type="paragraph" w:styleId="IntenseQuote">
    <w:name w:val="Intense Quote"/>
    <w:basedOn w:val="Normal"/>
    <w:next w:val="Normal"/>
    <w:link w:val="IntenseQuoteChar"/>
    <w:uiPriority w:val="30"/>
    <w:qFormat/>
    <w:rsid w:val="006645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645CF"/>
    <w:rPr>
      <w:i/>
      <w:iCs/>
      <w:color w:val="0F4761" w:themeColor="accent1" w:themeShade="BF"/>
    </w:rPr>
  </w:style>
  <w:style w:type="character" w:styleId="IntenseReference">
    <w:name w:val="Intense Reference"/>
    <w:basedOn w:val="DefaultParagraphFont"/>
    <w:uiPriority w:val="32"/>
    <w:qFormat/>
    <w:rsid w:val="006645C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1101</Words>
  <Characters>6280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Shropshire Council</Company>
  <LinksUpToDate>false</LinksUpToDate>
  <CharactersWithSpaces>7367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 Thorley</dc:creator>
  <cp:keywords/>
  <dc:description/>
  <cp:lastModifiedBy>Dave Thorley</cp:lastModifiedBy>
  <cp:revision>2</cp:revision>
  <dcterms:created xsi:type="dcterms:W3CDTF">2025-04-27T21:04:00Z</dcterms:created>
  <dcterms:modified xsi:type="dcterms:W3CDTF">2025-04-27T21:04:00Z</dcterms:modified>
</cp:coreProperties>
</file>