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497"/>
      </w:tblGrid>
      <w:tr w:rsidR="003E2D17" w14:paraId="020A160F" w14:textId="77777777" w:rsidTr="00A36074">
        <w:tc>
          <w:tcPr>
            <w:tcW w:w="10080" w:type="dxa"/>
            <w:shd w:val="clear" w:color="auto" w:fill="005EB8"/>
          </w:tcPr>
          <w:p w14:paraId="238BCF74" w14:textId="77777777" w:rsidR="003E2D17" w:rsidRDefault="003E2D17" w:rsidP="00A36074">
            <w:pPr>
              <w:jc w:val="center"/>
            </w:pPr>
            <w:r>
              <w:rPr>
                <w:b/>
                <w:color w:val="FFFFFF"/>
                <w:sz w:val="40"/>
              </w:rPr>
              <w:t>Portsmouth Public Health School Nursing Service</w:t>
            </w:r>
          </w:p>
          <w:p w14:paraId="45A26504" w14:textId="77777777" w:rsidR="003E2D17" w:rsidRDefault="003E2D17" w:rsidP="00A36074">
            <w:pPr>
              <w:jc w:val="center"/>
            </w:pPr>
            <w:r>
              <w:rPr>
                <w:color w:val="FFFFFF"/>
              </w:rPr>
              <w:t>Update for Schools — March 2026</w:t>
            </w:r>
          </w:p>
        </w:tc>
      </w:tr>
    </w:tbl>
    <w:p w14:paraId="57FCFB7D" w14:textId="77777777" w:rsidR="003E2D17" w:rsidRDefault="003E2D17" w:rsidP="003E2D17"/>
    <w:p w14:paraId="1F48D38A" w14:textId="77777777" w:rsidR="003E2D17" w:rsidRDefault="003E2D17" w:rsidP="003E2D17">
      <w:r>
        <w:rPr>
          <w:b/>
        </w:rPr>
        <w:t>Dear Colleagues,</w:t>
      </w:r>
    </w:p>
    <w:p w14:paraId="47E8198B" w14:textId="77777777" w:rsidR="003E2D17" w:rsidRDefault="003E2D17" w:rsidP="003E2D17">
      <w:pPr>
        <w:spacing w:after="120"/>
      </w:pPr>
      <w:r>
        <w:t>Thank you for your ongoing collaboration and for continuing to send in referrals. Your partnership is helping us reach children, young people, and families who need timely support.</w:t>
      </w:r>
    </w:p>
    <w:tbl>
      <w:tblPr>
        <w:tblW w:w="0" w:type="auto"/>
        <w:tblLook w:val="04A0" w:firstRow="1" w:lastRow="0" w:firstColumn="1" w:lastColumn="0" w:noHBand="0" w:noVBand="1"/>
      </w:tblPr>
      <w:tblGrid>
        <w:gridCol w:w="8497"/>
      </w:tblGrid>
      <w:tr w:rsidR="003E2D17" w14:paraId="6BEBF6A5" w14:textId="77777777" w:rsidTr="00A36074">
        <w:tc>
          <w:tcPr>
            <w:tcW w:w="10080" w:type="dxa"/>
            <w:shd w:val="clear" w:color="auto" w:fill="E8F2FB"/>
          </w:tcPr>
          <w:p w14:paraId="2E28BD1E" w14:textId="77777777" w:rsidR="003E2D17" w:rsidRDefault="003E2D17" w:rsidP="00A36074">
            <w:r>
              <w:rPr>
                <w:b/>
                <w:color w:val="005EB8"/>
                <w:sz w:val="28"/>
              </w:rPr>
              <w:t>New referral form (please use for all future referrals)</w:t>
            </w:r>
          </w:p>
        </w:tc>
      </w:tr>
    </w:tbl>
    <w:p w14:paraId="56621479" w14:textId="77777777" w:rsidR="003E2D17" w:rsidRDefault="003E2D17" w:rsidP="003E2D17">
      <w:pPr>
        <w:spacing w:after="60"/>
      </w:pPr>
      <w:r>
        <w:t>We now have an updated referral form with clear referral criteria aligned to our new service contract specifications.</w:t>
      </w:r>
    </w:p>
    <w:p w14:paraId="0BB83B9B" w14:textId="77777777" w:rsidR="003E2D17" w:rsidRDefault="003E2D17" w:rsidP="003E2D17">
      <w:pPr>
        <w:ind w:left="360"/>
      </w:pPr>
      <w:r>
        <w:t>•  Please use this form for all future referrals.</w:t>
      </w:r>
    </w:p>
    <w:p w14:paraId="35D34E06" w14:textId="77777777" w:rsidR="003E2D17" w:rsidRDefault="003E2D17" w:rsidP="003E2D17">
      <w:pPr>
        <w:ind w:left="360"/>
      </w:pPr>
      <w:r>
        <w:t>•  The updated criteria are intended to streamline triage and ensure the right support at the right time.</w:t>
      </w:r>
    </w:p>
    <w:p w14:paraId="0665162C" w14:textId="77777777" w:rsidR="003E2D17" w:rsidRDefault="003E2D17" w:rsidP="003E2D17">
      <w:pPr>
        <w:spacing w:after="160"/>
      </w:pPr>
      <w:r>
        <w:rPr>
          <w:color w:val="5A5A5A"/>
        </w:rPr>
        <w:t xml:space="preserve">            </w:t>
      </w:r>
      <w:bookmarkStart w:id="0" w:name="_MON_1835254714"/>
      <w:bookmarkEnd w:id="0"/>
      <w:r>
        <w:rPr>
          <w:color w:val="5A5A5A"/>
        </w:rPr>
        <w:object w:dxaOrig="1520" w:dyaOrig="988" w14:anchorId="217E9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1pt" o:ole="">
            <v:imagedata r:id="rId7" o:title=""/>
          </v:shape>
          <o:OLEObject Type="Embed" ProgID="Word.Document.12" ShapeID="_x0000_i1025" DrawAspect="Icon" ObjectID="_1838451262" r:id="rId8">
            <o:FieldCodes>\s</o:FieldCodes>
          </o:OLEObject>
        </w:object>
      </w:r>
    </w:p>
    <w:tbl>
      <w:tblPr>
        <w:tblW w:w="0" w:type="auto"/>
        <w:tblLook w:val="04A0" w:firstRow="1" w:lastRow="0" w:firstColumn="1" w:lastColumn="0" w:noHBand="0" w:noVBand="1"/>
      </w:tblPr>
      <w:tblGrid>
        <w:gridCol w:w="8497"/>
      </w:tblGrid>
      <w:tr w:rsidR="003E2D17" w14:paraId="5FBC5B94" w14:textId="77777777" w:rsidTr="00A36074">
        <w:tc>
          <w:tcPr>
            <w:tcW w:w="10080" w:type="dxa"/>
            <w:shd w:val="clear" w:color="auto" w:fill="E8F2FB"/>
          </w:tcPr>
          <w:p w14:paraId="6F104F3A" w14:textId="77777777" w:rsidR="003E2D17" w:rsidRDefault="003E2D17" w:rsidP="00A36074">
            <w:r>
              <w:rPr>
                <w:b/>
                <w:color w:val="005EB8"/>
                <w:sz w:val="28"/>
              </w:rPr>
              <w:t>Digital referrals — coming September 2026</w:t>
            </w:r>
          </w:p>
        </w:tc>
      </w:tr>
    </w:tbl>
    <w:p w14:paraId="5812322D" w14:textId="77777777" w:rsidR="003E2D17" w:rsidRDefault="003E2D17" w:rsidP="003E2D17">
      <w:pPr>
        <w:spacing w:after="60"/>
      </w:pPr>
      <w:r>
        <w:t>We’re developing digital referral routes to make access simpler and faster:</w:t>
      </w:r>
    </w:p>
    <w:p w14:paraId="4D1BDA63" w14:textId="77777777" w:rsidR="003E2D17" w:rsidRDefault="003E2D17" w:rsidP="003E2D17">
      <w:pPr>
        <w:ind w:left="360"/>
      </w:pPr>
      <w:r>
        <w:t>•  Digital referrals for parents/carers and professionals</w:t>
      </w:r>
    </w:p>
    <w:p w14:paraId="4095F356" w14:textId="77777777" w:rsidR="003E2D17" w:rsidRDefault="003E2D17" w:rsidP="003E2D17">
      <w:pPr>
        <w:ind w:left="360"/>
      </w:pPr>
      <w:r>
        <w:t>•  Digital self‑referral for secondary‑aged young people</w:t>
      </w:r>
    </w:p>
    <w:p w14:paraId="53A50F3F" w14:textId="77777777" w:rsidR="003E2D17" w:rsidRDefault="003E2D17" w:rsidP="003E2D17">
      <w:pPr>
        <w:spacing w:after="40"/>
      </w:pPr>
      <w:r>
        <w:t>To shape the secondary self‑referral pathway, we are conducting participation work with young people to capture their voices and preferences about how they want to access support.</w:t>
      </w:r>
    </w:p>
    <w:p w14:paraId="7E46B807" w14:textId="77777777" w:rsidR="003E2D17" w:rsidRDefault="003E2D17" w:rsidP="003E2D17">
      <w:pPr>
        <w:spacing w:after="160"/>
      </w:pPr>
      <w:r>
        <w:rPr>
          <w:b/>
        </w:rPr>
        <w:t>Target go‑live: September 2026.</w:t>
      </w:r>
    </w:p>
    <w:tbl>
      <w:tblPr>
        <w:tblW w:w="0" w:type="auto"/>
        <w:tblLook w:val="04A0" w:firstRow="1" w:lastRow="0" w:firstColumn="1" w:lastColumn="0" w:noHBand="0" w:noVBand="1"/>
      </w:tblPr>
      <w:tblGrid>
        <w:gridCol w:w="8497"/>
      </w:tblGrid>
      <w:tr w:rsidR="003E2D17" w14:paraId="28506660" w14:textId="77777777" w:rsidTr="00A36074">
        <w:tc>
          <w:tcPr>
            <w:tcW w:w="10080" w:type="dxa"/>
            <w:shd w:val="clear" w:color="auto" w:fill="E8F2FB"/>
          </w:tcPr>
          <w:p w14:paraId="7A0EE411" w14:textId="77777777" w:rsidR="003E2D17" w:rsidRDefault="003E2D17" w:rsidP="00A36074">
            <w:r>
              <w:rPr>
                <w:b/>
                <w:color w:val="005EB8"/>
                <w:sz w:val="28"/>
              </w:rPr>
              <w:t>Public health profiling (0–19)</w:t>
            </w:r>
          </w:p>
        </w:tc>
      </w:tr>
    </w:tbl>
    <w:p w14:paraId="2F7430A4" w14:textId="77777777" w:rsidR="003E2D17" w:rsidRDefault="003E2D17" w:rsidP="003E2D17">
      <w:pPr>
        <w:spacing w:after="160"/>
      </w:pPr>
      <w:r>
        <w:t>We are finalising the public health profiling of our 0–19 community. This will help us target resources where they are most needed and identify patterns of need across the city.</w:t>
      </w:r>
    </w:p>
    <w:tbl>
      <w:tblPr>
        <w:tblW w:w="0" w:type="auto"/>
        <w:tblLook w:val="04A0" w:firstRow="1" w:lastRow="0" w:firstColumn="1" w:lastColumn="0" w:noHBand="0" w:noVBand="1"/>
      </w:tblPr>
      <w:tblGrid>
        <w:gridCol w:w="8497"/>
      </w:tblGrid>
      <w:tr w:rsidR="003E2D17" w14:paraId="5D1D5F9B" w14:textId="77777777" w:rsidTr="00A36074">
        <w:tc>
          <w:tcPr>
            <w:tcW w:w="10080" w:type="dxa"/>
            <w:shd w:val="clear" w:color="auto" w:fill="E8F2FB"/>
          </w:tcPr>
          <w:p w14:paraId="177ACD29" w14:textId="77777777" w:rsidR="003E2D17" w:rsidRDefault="003E2D17" w:rsidP="00A36074">
            <w:r>
              <w:rPr>
                <w:b/>
                <w:color w:val="005EB8"/>
                <w:sz w:val="28"/>
              </w:rPr>
              <w:lastRenderedPageBreak/>
              <w:t>Targeted school‑based clinics &amp; group interventions (from September 2026)</w:t>
            </w:r>
          </w:p>
        </w:tc>
      </w:tr>
    </w:tbl>
    <w:p w14:paraId="4AE9A29C" w14:textId="77777777" w:rsidR="003E2D17" w:rsidRDefault="003E2D17" w:rsidP="003E2D17">
      <w:pPr>
        <w:spacing w:after="60"/>
      </w:pPr>
      <w:r>
        <w:t>From September 2026, we aim to deliver targeted, needs‑led clinics within schools, informed by:</w:t>
      </w:r>
    </w:p>
    <w:p w14:paraId="00102AB2" w14:textId="77777777" w:rsidR="003E2D17" w:rsidRDefault="003E2D17" w:rsidP="003E2D17">
      <w:pPr>
        <w:ind w:left="360"/>
      </w:pPr>
      <w:r>
        <w:t>•  our 0–19 population health profiling, and</w:t>
      </w:r>
    </w:p>
    <w:p w14:paraId="074290FC" w14:textId="77777777" w:rsidR="003E2D17" w:rsidRDefault="003E2D17" w:rsidP="003E2D17">
      <w:pPr>
        <w:ind w:left="360"/>
      </w:pPr>
      <w:r>
        <w:t>•  signals such as multiple referrals on the same themes.</w:t>
      </w:r>
    </w:p>
    <w:p w14:paraId="1FC0CE5F" w14:textId="77777777" w:rsidR="003E2D17" w:rsidRDefault="003E2D17" w:rsidP="003E2D17">
      <w:r>
        <w:t>In primary schools where a need is identified, we will offer targeted group interventions to address common issues efficiently and equitably.</w:t>
      </w:r>
    </w:p>
    <w:tbl>
      <w:tblPr>
        <w:tblW w:w="0" w:type="auto"/>
        <w:tblLook w:val="04A0" w:firstRow="1" w:lastRow="0" w:firstColumn="1" w:lastColumn="0" w:noHBand="0" w:noVBand="1"/>
      </w:tblPr>
      <w:tblGrid>
        <w:gridCol w:w="8497"/>
      </w:tblGrid>
      <w:tr w:rsidR="003E2D17" w14:paraId="6B9AA847" w14:textId="77777777" w:rsidTr="00A36074">
        <w:tc>
          <w:tcPr>
            <w:tcW w:w="10080" w:type="dxa"/>
            <w:shd w:val="clear" w:color="auto" w:fill="E8F2FB"/>
          </w:tcPr>
          <w:p w14:paraId="42B9C3D5" w14:textId="77777777" w:rsidR="003E2D17" w:rsidRDefault="003E2D17" w:rsidP="00A36074">
            <w:r>
              <w:rPr>
                <w:b/>
                <w:color w:val="005EB8"/>
                <w:sz w:val="28"/>
              </w:rPr>
              <w:t>What this means for your school</w:t>
            </w:r>
          </w:p>
        </w:tc>
      </w:tr>
      <w:tr w:rsidR="003E2D17" w14:paraId="77E9D8BA" w14:textId="77777777" w:rsidTr="00A36074">
        <w:tc>
          <w:tcPr>
            <w:tcW w:w="10080" w:type="dxa"/>
            <w:shd w:val="clear" w:color="auto" w:fill="EAF7EA"/>
          </w:tcPr>
          <w:p w14:paraId="2736AD32" w14:textId="77777777" w:rsidR="003E2D17" w:rsidRDefault="003E2D17" w:rsidP="00A36074">
            <w:r>
              <w:t>•  Use the new referral form now for all referrals.</w:t>
            </w:r>
          </w:p>
          <w:p w14:paraId="779F2550" w14:textId="77777777" w:rsidR="003E2D17" w:rsidRPr="00A024E5" w:rsidRDefault="003E2D17" w:rsidP="00A36074">
            <w:pPr>
              <w:rPr>
                <w:rFonts w:ascii="Segoe UI" w:eastAsia="Times New Roman" w:hAnsi="Segoe UI" w:cs="Segoe UI"/>
                <w:sz w:val="21"/>
                <w:szCs w:val="21"/>
                <w:lang w:eastAsia="en-GB"/>
              </w:rPr>
            </w:pPr>
            <w:r>
              <w:t xml:space="preserve">•  Signpost families - please continue to encourage parents/carers to seek support. The public health school nurse duty service operates Mon-Fri 09:00-16:00 call: </w:t>
            </w:r>
            <w:r w:rsidRPr="00C12BEA">
              <w:rPr>
                <w:rFonts w:ascii="Segoe UI" w:eastAsia="Times New Roman" w:hAnsi="Segoe UI" w:cs="Segoe UI"/>
                <w:sz w:val="21"/>
                <w:szCs w:val="21"/>
                <w:lang w:eastAsia="en-GB"/>
              </w:rPr>
              <w:t>0300 123 6629</w:t>
            </w:r>
            <w:r>
              <w:rPr>
                <w:rFonts w:ascii="Segoe UI" w:eastAsia="Times New Roman" w:hAnsi="Segoe UI" w:cs="Segoe UI"/>
                <w:sz w:val="21"/>
                <w:szCs w:val="21"/>
                <w:lang w:eastAsia="en-GB"/>
              </w:rPr>
              <w:t>.</w:t>
            </w:r>
          </w:p>
          <w:p w14:paraId="2F675936" w14:textId="77777777" w:rsidR="003E2D17" w:rsidRDefault="003E2D17" w:rsidP="00A36074">
            <w:r>
              <w:t>•  Help us listen to pupils: if invited, please support young people’s participation activities so we can design the secondary self‑referral offer around their needs.</w:t>
            </w:r>
          </w:p>
          <w:p w14:paraId="2AD63CDE" w14:textId="77777777" w:rsidR="003E2D17" w:rsidRDefault="003E2D17" w:rsidP="00A36074">
            <w:r>
              <w:t>•  Look out for updates: we’ll share more detail on clinic scheduling, referral thresholds, and the group offer before the end of the summer term.</w:t>
            </w:r>
          </w:p>
        </w:tc>
      </w:tr>
    </w:tbl>
    <w:p w14:paraId="612C4DBB" w14:textId="77777777" w:rsidR="003E2D17" w:rsidRDefault="003E2D17" w:rsidP="003E2D17">
      <w:pPr>
        <w:spacing w:before="120" w:after="160"/>
      </w:pPr>
      <w:r>
        <w:t>We’ll keep you updated as our work progresses. Thank you for your continued support and for everything you do for children and young people in Portsmouth.</w:t>
      </w:r>
    </w:p>
    <w:p w14:paraId="7BAEEA01" w14:textId="77777777" w:rsidR="003E2D17" w:rsidRDefault="003E2D17" w:rsidP="003E2D17">
      <w:pPr>
        <w:spacing w:after="40"/>
      </w:pPr>
      <w:r>
        <w:t>Warm regards,</w:t>
      </w:r>
    </w:p>
    <w:p w14:paraId="005417DC" w14:textId="77777777" w:rsidR="003E2D17" w:rsidRDefault="003E2D17" w:rsidP="003E2D17">
      <w:r>
        <w:rPr>
          <w:b/>
        </w:rPr>
        <w:t>Portsmouth Public Health School Nursing Service</w:t>
      </w:r>
    </w:p>
    <w:p w14:paraId="35241130" w14:textId="77777777" w:rsidR="00205C48" w:rsidRPr="00CD46E3" w:rsidRDefault="00205C48" w:rsidP="00205C48">
      <w:pPr>
        <w:rPr>
          <w:rFonts w:ascii="Arial" w:hAnsi="Arial"/>
        </w:rPr>
      </w:pPr>
    </w:p>
    <w:tbl>
      <w:tblPr>
        <w:tblW w:w="0" w:type="auto"/>
        <w:tblLook w:val="04A0" w:firstRow="1" w:lastRow="0" w:firstColumn="1" w:lastColumn="0" w:noHBand="0" w:noVBand="1"/>
      </w:tblPr>
      <w:tblGrid>
        <w:gridCol w:w="8497"/>
      </w:tblGrid>
      <w:tr w:rsidR="00366321" w14:paraId="738C7F99" w14:textId="77777777">
        <w:tc>
          <w:tcPr>
            <w:tcW w:w="8497" w:type="dxa"/>
          </w:tcPr>
          <w:p w14:paraId="43B4361B" w14:textId="77777777" w:rsidR="00366321" w:rsidRDefault="00A00388">
            <w:r>
              <w:rPr>
                <w:b/>
                <w:color w:val="005EB8"/>
              </w:rPr>
              <w:t>Signposting for families (please share with parents/carers)</w:t>
            </w:r>
          </w:p>
        </w:tc>
      </w:tr>
    </w:tbl>
    <w:p w14:paraId="70080FF5" w14:textId="77777777" w:rsidR="00366321" w:rsidRDefault="00A00388">
      <w:r>
        <w:rPr>
          <w:b/>
        </w:rPr>
        <w:t xml:space="preserve">• Health advice for your child (birth–18): </w:t>
      </w:r>
      <w:r>
        <w:t xml:space="preserve">NHS Healthier Together — trusted advice on common childhood illnesses with red/amber/green guidance and clear information on when and where to seek help: </w:t>
      </w:r>
      <w:hyperlink r:id="rId9" w:history="1">
        <w:r w:rsidRPr="00A00388">
          <w:rPr>
            <w:rStyle w:val="Hyperlink"/>
          </w:rPr>
          <w:t>https://www.healthiertogether.nhs.uk/</w:t>
        </w:r>
      </w:hyperlink>
    </w:p>
    <w:p w14:paraId="0059221E" w14:textId="77777777" w:rsidR="00366321" w:rsidRDefault="00A00388">
      <w:r>
        <w:rPr>
          <w:b/>
        </w:rPr>
        <w:t xml:space="preserve">• Local resources and updates: </w:t>
      </w:r>
      <w:r>
        <w:t xml:space="preserve">Family Assist — a free, locally approved hub of pregnancy, baby and child health information, events and services. Please encourage families to register/sign up to receive resources tailored to Portsmouth: </w:t>
      </w:r>
      <w:hyperlink r:id="rId10" w:history="1">
        <w:r w:rsidRPr="00A00388">
          <w:rPr>
            <w:rStyle w:val="Hyperlink"/>
          </w:rPr>
          <w:t>https://solent-family-assist.custhelp.com/</w:t>
        </w:r>
      </w:hyperlink>
    </w:p>
    <w:p w14:paraId="767E92F7" w14:textId="77777777" w:rsidR="00233432" w:rsidRPr="006A3597" w:rsidRDefault="006A3597">
      <w:pPr>
        <w:rPr>
          <w:color w:val="4F81BD" w:themeColor="accent1"/>
        </w:rPr>
      </w:pPr>
      <w:r w:rsidRPr="006A3597">
        <w:rPr>
          <w:b/>
          <w:color w:val="4F81BD" w:themeColor="accent1"/>
        </w:rPr>
        <w:lastRenderedPageBreak/>
        <w:t>School Age Immunisations Update</w:t>
      </w:r>
    </w:p>
    <w:p w14:paraId="70D9052A" w14:textId="77777777" w:rsidR="00233432" w:rsidRDefault="006A3597">
      <w:r>
        <w:t>This term, following on from the Teenage Booster programme, the School Age Immunisations Team will be visiting schools to deliver the Human Papillomavirus (HPV) vaccination programme to Year 8 pupils.</w:t>
      </w:r>
    </w:p>
    <w:p w14:paraId="50A81903" w14:textId="77777777" w:rsidR="00233432" w:rsidRDefault="006A3597">
      <w:r>
        <w:t>The HPV vaccine is an important part of the national immunisation programme and helps protect young people against HPV related cancers, including cervical cancer and some head and neck cancers. Immunisation session dates will already have been arranged with schools, and we kindly ask schools to share the invitation letter with parents and carers so they can complete the online consent form ahead of the visit.</w:t>
      </w:r>
    </w:p>
    <w:p w14:paraId="5BD47290" w14:textId="77777777" w:rsidR="00233432" w:rsidRDefault="006A3597">
      <w:r>
        <w:t>In addition to the routine HPV programme, the team will also be offering catch up vaccinations to pupils in other year groups who may have missed their routine immunisations previously. This ensures as many young people as possible are protected.</w:t>
      </w:r>
    </w:p>
    <w:p w14:paraId="003BDC6D" w14:textId="77777777" w:rsidR="00233432" w:rsidRDefault="006A3597">
      <w:r>
        <w:t>We would like to thank schools for their continued support with the delivery of school based immunisation programmes. Your cooperation plays a crucial role in protecting the health and wellbeing of children and young people in your care.</w:t>
      </w:r>
    </w:p>
    <w:p w14:paraId="1383FA79" w14:textId="77777777" w:rsidR="00233432" w:rsidRDefault="006A3597">
      <w:r>
        <w:t>If parents or carers have any questions or need further support regarding the vaccinations, please do share our contact details below. The team will be happy to help.</w:t>
      </w:r>
    </w:p>
    <w:p w14:paraId="492CA244" w14:textId="77777777" w:rsidR="00233432" w:rsidRDefault="006A3597">
      <w:r>
        <w:t>Telephone: 0300 123 5074</w:t>
      </w:r>
    </w:p>
    <w:p w14:paraId="5059D649" w14:textId="77777777" w:rsidR="00233432" w:rsidRDefault="006A3597">
      <w:r>
        <w:t>Email: hiowh.portsimms@nhs.net</w:t>
      </w:r>
    </w:p>
    <w:sectPr w:rsidR="00233432" w:rsidSect="00205C48">
      <w:headerReference w:type="default" r:id="rId11"/>
      <w:footerReference w:type="default" r:id="rId12"/>
      <w:pgSz w:w="11899" w:h="16838"/>
      <w:pgMar w:top="2410" w:right="1701" w:bottom="2269"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1C13" w14:textId="77777777" w:rsidR="005072E5" w:rsidRDefault="005072E5">
      <w:pPr>
        <w:spacing w:after="0"/>
      </w:pPr>
      <w:r>
        <w:separator/>
      </w:r>
    </w:p>
  </w:endnote>
  <w:endnote w:type="continuationSeparator" w:id="0">
    <w:p w14:paraId="65B2AF75" w14:textId="77777777" w:rsidR="005072E5" w:rsidRDefault="005072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C90E" w14:textId="77777777" w:rsidR="000B11C7" w:rsidRDefault="00E115DE">
    <w:pPr>
      <w:pStyle w:val="Footer"/>
    </w:pPr>
    <w:r>
      <w:rPr>
        <w:noProof/>
      </w:rPr>
      <w:drawing>
        <wp:anchor distT="0" distB="0" distL="114300" distR="114300" simplePos="0" relativeHeight="251662336" behindDoc="0" locked="0" layoutInCell="1" allowOverlap="1" wp14:anchorId="1970C34B" wp14:editId="1600D00B">
          <wp:simplePos x="0" y="0"/>
          <wp:positionH relativeFrom="margin">
            <wp:posOffset>1621155</wp:posOffset>
          </wp:positionH>
          <wp:positionV relativeFrom="paragraph">
            <wp:posOffset>-397623</wp:posOffset>
          </wp:positionV>
          <wp:extent cx="2152891" cy="665439"/>
          <wp:effectExtent l="0" t="0" r="0" b="0"/>
          <wp:wrapSquare wrapText="bothSides"/>
          <wp:docPr id="82823569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35698" name="Picture 1" descr="A close-up of a logo&#10;&#10;Description automatically generated"/>
                  <pic:cNvPicPr/>
                </pic:nvPicPr>
                <pic:blipFill>
                  <a:blip r:embed="rId1"/>
                  <a:stretch>
                    <a:fillRect/>
                  </a:stretch>
                </pic:blipFill>
                <pic:spPr>
                  <a:xfrm>
                    <a:off x="0" y="0"/>
                    <a:ext cx="2152891" cy="66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6B95" w14:textId="77777777" w:rsidR="005072E5" w:rsidRDefault="005072E5">
      <w:pPr>
        <w:spacing w:after="0"/>
      </w:pPr>
      <w:r>
        <w:separator/>
      </w:r>
    </w:p>
  </w:footnote>
  <w:footnote w:type="continuationSeparator" w:id="0">
    <w:p w14:paraId="738A6C74" w14:textId="77777777" w:rsidR="005072E5" w:rsidRDefault="005072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1416" w14:textId="77777777" w:rsidR="003F57FB" w:rsidRDefault="00E115DE">
    <w:pPr>
      <w:pStyle w:val="Header"/>
    </w:pPr>
    <w:r>
      <w:rPr>
        <w:rFonts w:ascii="Times" w:hAnsi="Times"/>
        <w:noProof/>
        <w:sz w:val="20"/>
        <w:lang w:val="en-US"/>
      </w:rPr>
      <w:drawing>
        <wp:anchor distT="0" distB="0" distL="114300" distR="114300" simplePos="0" relativeHeight="251661312" behindDoc="0" locked="0" layoutInCell="1" allowOverlap="1" wp14:anchorId="74E08B16" wp14:editId="6544BF6E">
          <wp:simplePos x="0" y="0"/>
          <wp:positionH relativeFrom="column">
            <wp:posOffset>4109012</wp:posOffset>
          </wp:positionH>
          <wp:positionV relativeFrom="paragraph">
            <wp:posOffset>-93497</wp:posOffset>
          </wp:positionV>
          <wp:extent cx="2002329" cy="783590"/>
          <wp:effectExtent l="0" t="0" r="4445" b="3810"/>
          <wp:wrapThrough wrapText="bothSides">
            <wp:wrapPolygon edited="0">
              <wp:start x="14386" y="0"/>
              <wp:lineTo x="14386" y="5601"/>
              <wp:lineTo x="8906" y="8052"/>
              <wp:lineTo x="7810" y="8752"/>
              <wp:lineTo x="7810" y="11203"/>
              <wp:lineTo x="0" y="13303"/>
              <wp:lineTo x="0" y="17854"/>
              <wp:lineTo x="8221" y="21355"/>
              <wp:lineTo x="21511" y="21355"/>
              <wp:lineTo x="21511" y="0"/>
              <wp:lineTo x="14386" y="0"/>
            </wp:wrapPolygon>
          </wp:wrapThrough>
          <wp:docPr id="2146174096" name="Picture 1" descr="A black and blu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6174096" name="Picture 1" descr="A black and blue logo&#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2329" cy="783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8EF7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4162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BB"/>
    <w:rsid w:val="000B11C7"/>
    <w:rsid w:val="000C1A79"/>
    <w:rsid w:val="001C3107"/>
    <w:rsid w:val="00205C48"/>
    <w:rsid w:val="00233432"/>
    <w:rsid w:val="00366321"/>
    <w:rsid w:val="00370EED"/>
    <w:rsid w:val="00381A1C"/>
    <w:rsid w:val="003B4405"/>
    <w:rsid w:val="003E2D17"/>
    <w:rsid w:val="003F2CD2"/>
    <w:rsid w:val="003F57FB"/>
    <w:rsid w:val="0040285D"/>
    <w:rsid w:val="00452E1F"/>
    <w:rsid w:val="004C704D"/>
    <w:rsid w:val="005072E5"/>
    <w:rsid w:val="005454F7"/>
    <w:rsid w:val="005973EB"/>
    <w:rsid w:val="006618BB"/>
    <w:rsid w:val="006A3597"/>
    <w:rsid w:val="006E22A8"/>
    <w:rsid w:val="00785F6D"/>
    <w:rsid w:val="008B3E52"/>
    <w:rsid w:val="00995F6E"/>
    <w:rsid w:val="00A00388"/>
    <w:rsid w:val="00B2442E"/>
    <w:rsid w:val="00B33580"/>
    <w:rsid w:val="00B36A1E"/>
    <w:rsid w:val="00B522C1"/>
    <w:rsid w:val="00D60120"/>
    <w:rsid w:val="00DF58C4"/>
    <w:rsid w:val="00E115DE"/>
    <w:rsid w:val="00ED007B"/>
    <w:rsid w:val="00EE03A8"/>
    <w:rsid w:val="00F62F7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73DBFE"/>
  <w15:docId w15:val="{606FB810-5C1B-4D68-9DB5-B2CC72BE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C0F"/>
    <w:pPr>
      <w:spacing w:after="200"/>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8BB"/>
    <w:pPr>
      <w:tabs>
        <w:tab w:val="center" w:pos="4320"/>
        <w:tab w:val="right" w:pos="8640"/>
      </w:tabs>
      <w:spacing w:after="0"/>
    </w:pPr>
  </w:style>
  <w:style w:type="character" w:customStyle="1" w:styleId="HeaderChar">
    <w:name w:val="Header Char"/>
    <w:link w:val="Header"/>
    <w:uiPriority w:val="99"/>
    <w:rsid w:val="006618BB"/>
    <w:rPr>
      <w:sz w:val="24"/>
    </w:rPr>
  </w:style>
  <w:style w:type="paragraph" w:styleId="Footer">
    <w:name w:val="footer"/>
    <w:basedOn w:val="Normal"/>
    <w:link w:val="FooterChar"/>
    <w:uiPriority w:val="99"/>
    <w:unhideWhenUsed/>
    <w:rsid w:val="006618BB"/>
    <w:pPr>
      <w:tabs>
        <w:tab w:val="center" w:pos="4320"/>
        <w:tab w:val="right" w:pos="8640"/>
      </w:tabs>
      <w:spacing w:after="0"/>
    </w:pPr>
  </w:style>
  <w:style w:type="character" w:customStyle="1" w:styleId="FooterChar">
    <w:name w:val="Footer Char"/>
    <w:link w:val="Footer"/>
    <w:uiPriority w:val="99"/>
    <w:rsid w:val="006618BB"/>
    <w:rPr>
      <w:sz w:val="24"/>
    </w:rPr>
  </w:style>
  <w:style w:type="paragraph" w:customStyle="1" w:styleId="MainHeading">
    <w:name w:val="Main Heading"/>
    <w:basedOn w:val="Normal"/>
    <w:qFormat/>
    <w:rsid w:val="00284F56"/>
    <w:pPr>
      <w:ind w:left="-142"/>
    </w:pPr>
    <w:rPr>
      <w:rFonts w:ascii="Arial Rounded MT Bold" w:hAnsi="Arial Rounded MT Bold"/>
      <w:b/>
      <w:color w:val="FF0080"/>
      <w:sz w:val="72"/>
    </w:rPr>
  </w:style>
  <w:style w:type="paragraph" w:customStyle="1" w:styleId="SubHeading">
    <w:name w:val="Sub Heading"/>
    <w:basedOn w:val="Normal"/>
    <w:qFormat/>
    <w:rsid w:val="00284F56"/>
    <w:pPr>
      <w:ind w:left="-142"/>
    </w:pPr>
    <w:rPr>
      <w:rFonts w:ascii="Arial" w:hAnsi="Arial"/>
      <w:b/>
      <w:sz w:val="28"/>
    </w:rPr>
  </w:style>
  <w:style w:type="paragraph" w:customStyle="1" w:styleId="BodyCopy">
    <w:name w:val="Body Copy"/>
    <w:basedOn w:val="Normal"/>
    <w:qFormat/>
    <w:rsid w:val="00284F56"/>
    <w:pPr>
      <w:ind w:left="-142"/>
    </w:pPr>
    <w:rPr>
      <w:rFonts w:ascii="Arial" w:hAnsi="Arial"/>
    </w:rPr>
  </w:style>
  <w:style w:type="character" w:styleId="Hyperlink">
    <w:name w:val="Hyperlink"/>
    <w:basedOn w:val="DefaultParagraphFont"/>
    <w:unhideWhenUsed/>
    <w:rsid w:val="00A00388"/>
    <w:rPr>
      <w:color w:val="0000FF" w:themeColor="hyperlink"/>
      <w:u w:val="single"/>
    </w:rPr>
  </w:style>
  <w:style w:type="character" w:styleId="UnresolvedMention">
    <w:name w:val="Unresolved Mention"/>
    <w:basedOn w:val="DefaultParagraphFont"/>
    <w:uiPriority w:val="99"/>
    <w:semiHidden/>
    <w:unhideWhenUsed/>
    <w:rsid w:val="00A00388"/>
    <w:rPr>
      <w:color w:val="605E5C"/>
      <w:shd w:val="clear" w:color="auto" w:fill="E1DFDD"/>
    </w:rPr>
  </w:style>
  <w:style w:type="character" w:styleId="FollowedHyperlink">
    <w:name w:val="FollowedHyperlink"/>
    <w:basedOn w:val="DefaultParagraphFont"/>
    <w:semiHidden/>
    <w:unhideWhenUsed/>
    <w:rsid w:val="00A00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olent-family-assist.custhelp.com/" TargetMode="External"/><Relationship Id="rId4" Type="http://schemas.openxmlformats.org/officeDocument/2006/relationships/webSettings" Target="webSettings.xml"/><Relationship Id="rId9" Type="http://schemas.openxmlformats.org/officeDocument/2006/relationships/hyperlink" Target="https://www.healthiertogether.nhs.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 Creative</Company>
  <LinksUpToDate>false</LinksUpToDate>
  <CharactersWithSpaces>4555</CharactersWithSpaces>
  <SharedDoc>false</SharedDoc>
  <HLinks>
    <vt:vector size="6" baseType="variant">
      <vt:variant>
        <vt:i4>3735646</vt:i4>
      </vt:variant>
      <vt:variant>
        <vt:i4>-1</vt:i4>
      </vt:variant>
      <vt:variant>
        <vt:i4>2049</vt:i4>
      </vt:variant>
      <vt:variant>
        <vt:i4>1</vt:i4>
      </vt:variant>
      <vt:variant>
        <vt:lpwstr>A4 Board report cover background col v3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Soper</dc:creator>
  <cp:lastModifiedBy>WILKINSON, Emma (HAMPSHIRE AND ISLE OF WIGHT HEALTHCARE NHS FOUNDATION TRUST)</cp:lastModifiedBy>
  <cp:revision>2</cp:revision>
  <dcterms:created xsi:type="dcterms:W3CDTF">2026-04-23T11:08:00Z</dcterms:created>
  <dcterms:modified xsi:type="dcterms:W3CDTF">2026-04-23T11:08:00Z</dcterms:modified>
</cp:coreProperties>
</file>