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FCC5" w14:textId="24B6FE78" w:rsidR="003C77C5" w:rsidRDefault="00B43CC9">
      <w:r w:rsidRPr="00B43CC9">
        <w:rPr>
          <w:noProof/>
        </w:rPr>
        <w:drawing>
          <wp:inline distT="0" distB="0" distL="0" distR="0" wp14:anchorId="395B2806" wp14:editId="4A842612">
            <wp:extent cx="5731510" cy="81076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7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C9"/>
    <w:rsid w:val="003C77C5"/>
    <w:rsid w:val="00B4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C45F0"/>
  <w15:chartTrackingRefBased/>
  <w15:docId w15:val="{8082ED27-46FF-4F32-8A32-E04E46A1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Solent NHS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Blackshaw, Claire - Clinical Team Lead Co-ordinator</dc:creator>
  <cp:keywords/>
  <dc:description/>
  <cp:lastModifiedBy>Blackshaw, Claire - Clinical Team Lead Co-ordinator</cp:lastModifiedBy>
  <cp:revision>1</cp:revision>
  <dcterms:created xsi:type="dcterms:W3CDTF">2024-03-11T15:10:00Z</dcterms:created>
  <dcterms:modified xsi:type="dcterms:W3CDTF">2024-03-11T15:10:00Z</dcterms:modified>
</cp:coreProperties>
</file>