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D80C" w14:textId="67D3ED38" w:rsidR="000F104B" w:rsidRPr="000F104B" w:rsidRDefault="000F104B" w:rsidP="000F104B">
      <w:pPr>
        <w:rPr>
          <w:rFonts w:ascii="Arial" w:hAnsi="Arial" w:cs="Arial"/>
          <w:b/>
          <w:bCs/>
          <w:sz w:val="24"/>
          <w:szCs w:val="24"/>
        </w:rPr>
      </w:pPr>
      <w:r w:rsidRPr="000F104B">
        <w:rPr>
          <w:rFonts w:ascii="Arial" w:hAnsi="Arial" w:cs="Arial"/>
          <w:b/>
          <w:bCs/>
          <w:sz w:val="24"/>
          <w:szCs w:val="24"/>
        </w:rPr>
        <w:t xml:space="preserve">Early Years </w:t>
      </w:r>
      <w:r w:rsidR="00DE526E">
        <w:rPr>
          <w:rFonts w:ascii="Arial" w:hAnsi="Arial" w:cs="Arial"/>
          <w:b/>
          <w:bCs/>
          <w:sz w:val="24"/>
          <w:szCs w:val="24"/>
        </w:rPr>
        <w:t xml:space="preserve">Funding 2024-25 </w:t>
      </w:r>
      <w:r w:rsidR="00BF4E4C">
        <w:rPr>
          <w:rFonts w:ascii="Arial" w:hAnsi="Arial" w:cs="Arial"/>
          <w:b/>
          <w:bCs/>
          <w:sz w:val="24"/>
          <w:szCs w:val="24"/>
        </w:rPr>
        <w:t>C</w:t>
      </w:r>
      <w:r w:rsidRPr="000F104B">
        <w:rPr>
          <w:rFonts w:ascii="Arial" w:hAnsi="Arial" w:cs="Arial"/>
          <w:b/>
          <w:bCs/>
          <w:sz w:val="24"/>
          <w:szCs w:val="24"/>
        </w:rPr>
        <w:t>onsultation</w:t>
      </w:r>
      <w:r w:rsidR="001A416A">
        <w:rPr>
          <w:rFonts w:ascii="Arial" w:hAnsi="Arial" w:cs="Arial"/>
          <w:b/>
          <w:bCs/>
          <w:sz w:val="24"/>
          <w:szCs w:val="24"/>
        </w:rPr>
        <w:t xml:space="preserve"> </w:t>
      </w:r>
    </w:p>
    <w:p w14:paraId="49A1319B" w14:textId="3B1E2D7E" w:rsidR="000F104B" w:rsidRDefault="00E3665B" w:rsidP="000F104B">
      <w:pPr>
        <w:pStyle w:val="ListParagraph"/>
        <w:numPr>
          <w:ilvl w:val="0"/>
          <w:numId w:val="1"/>
        </w:numPr>
        <w:rPr>
          <w:rFonts w:ascii="Arial" w:hAnsi="Arial" w:cs="Arial"/>
          <w:b/>
          <w:bCs/>
          <w:sz w:val="24"/>
          <w:szCs w:val="24"/>
        </w:rPr>
      </w:pPr>
      <w:r>
        <w:rPr>
          <w:rFonts w:ascii="Arial" w:hAnsi="Arial" w:cs="Arial"/>
          <w:b/>
          <w:bCs/>
          <w:sz w:val="24"/>
          <w:szCs w:val="24"/>
        </w:rPr>
        <w:t>Background</w:t>
      </w:r>
    </w:p>
    <w:p w14:paraId="6D2DA2A8" w14:textId="77777777" w:rsidR="000F104B" w:rsidRPr="000F104B" w:rsidRDefault="000F104B" w:rsidP="000F104B">
      <w:pPr>
        <w:pStyle w:val="ListParagraph"/>
        <w:ind w:left="360"/>
        <w:rPr>
          <w:rFonts w:ascii="Arial" w:hAnsi="Arial" w:cs="Arial"/>
          <w:b/>
          <w:bCs/>
          <w:sz w:val="24"/>
          <w:szCs w:val="24"/>
        </w:rPr>
      </w:pPr>
    </w:p>
    <w:p w14:paraId="3BCE10C1" w14:textId="2E2BD72A" w:rsidR="00695B4D" w:rsidRDefault="00FC55B6" w:rsidP="000F104B">
      <w:pPr>
        <w:pStyle w:val="ListParagraph"/>
        <w:numPr>
          <w:ilvl w:val="1"/>
          <w:numId w:val="1"/>
        </w:numPr>
        <w:ind w:left="1080" w:hanging="720"/>
        <w:rPr>
          <w:rFonts w:ascii="Arial" w:hAnsi="Arial" w:cs="Arial"/>
          <w:sz w:val="24"/>
          <w:szCs w:val="24"/>
        </w:rPr>
      </w:pPr>
      <w:r>
        <w:rPr>
          <w:rFonts w:ascii="Arial" w:hAnsi="Arial" w:cs="Arial"/>
          <w:sz w:val="24"/>
          <w:szCs w:val="24"/>
        </w:rPr>
        <w:t>Over the summer 2023</w:t>
      </w:r>
      <w:r w:rsidR="007D1778">
        <w:rPr>
          <w:rFonts w:ascii="Arial" w:hAnsi="Arial" w:cs="Arial"/>
          <w:sz w:val="24"/>
          <w:szCs w:val="24"/>
        </w:rPr>
        <w:t>,</w:t>
      </w:r>
      <w:r w:rsidR="000F104B" w:rsidRPr="000F104B">
        <w:rPr>
          <w:rFonts w:ascii="Arial" w:hAnsi="Arial" w:cs="Arial"/>
          <w:sz w:val="24"/>
          <w:szCs w:val="24"/>
        </w:rPr>
        <w:t xml:space="preserve"> the Department for Education (DfE) </w:t>
      </w:r>
      <w:r w:rsidR="001F0FD4">
        <w:rPr>
          <w:rFonts w:ascii="Arial" w:hAnsi="Arial" w:cs="Arial"/>
          <w:sz w:val="24"/>
          <w:szCs w:val="24"/>
        </w:rPr>
        <w:t xml:space="preserve">consulted on </w:t>
      </w:r>
      <w:r w:rsidR="00837C09">
        <w:rPr>
          <w:rFonts w:ascii="Arial" w:hAnsi="Arial" w:cs="Arial"/>
          <w:sz w:val="24"/>
          <w:szCs w:val="24"/>
        </w:rPr>
        <w:t>"</w:t>
      </w:r>
      <w:r w:rsidR="001E2E1C" w:rsidRPr="000F104B">
        <w:rPr>
          <w:rFonts w:ascii="Arial" w:hAnsi="Arial" w:cs="Arial"/>
          <w:sz w:val="24"/>
          <w:szCs w:val="24"/>
        </w:rPr>
        <w:t xml:space="preserve">Early Years funding </w:t>
      </w:r>
      <w:r w:rsidR="001E2E1C">
        <w:rPr>
          <w:rFonts w:ascii="Arial" w:hAnsi="Arial" w:cs="Arial"/>
          <w:sz w:val="24"/>
          <w:szCs w:val="24"/>
        </w:rPr>
        <w:t>and the extension of the entitlements</w:t>
      </w:r>
      <w:r w:rsidR="00837C09">
        <w:rPr>
          <w:rFonts w:ascii="Arial" w:hAnsi="Arial" w:cs="Arial"/>
          <w:sz w:val="24"/>
          <w:szCs w:val="24"/>
        </w:rPr>
        <w:t>"</w:t>
      </w:r>
      <w:r w:rsidR="001E2E1C">
        <w:rPr>
          <w:rFonts w:ascii="Arial" w:hAnsi="Arial" w:cs="Arial"/>
          <w:sz w:val="24"/>
          <w:szCs w:val="24"/>
        </w:rPr>
        <w:t xml:space="preserve"> </w:t>
      </w:r>
      <w:r w:rsidR="00E55974">
        <w:rPr>
          <w:rFonts w:ascii="Arial" w:hAnsi="Arial" w:cs="Arial"/>
          <w:sz w:val="24"/>
          <w:szCs w:val="24"/>
        </w:rPr>
        <w:t>setting out proposals as t</w:t>
      </w:r>
      <w:r w:rsidR="000874F4">
        <w:rPr>
          <w:rFonts w:ascii="Arial" w:hAnsi="Arial" w:cs="Arial"/>
          <w:sz w:val="24"/>
          <w:szCs w:val="24"/>
        </w:rPr>
        <w:t xml:space="preserve">o how local authorities will be funded for </w:t>
      </w:r>
      <w:r w:rsidR="004B6BAE">
        <w:rPr>
          <w:rFonts w:ascii="Arial" w:hAnsi="Arial" w:cs="Arial"/>
          <w:sz w:val="24"/>
          <w:szCs w:val="24"/>
        </w:rPr>
        <w:t xml:space="preserve">new </w:t>
      </w:r>
      <w:r w:rsidR="000874F4">
        <w:rPr>
          <w:rFonts w:ascii="Arial" w:hAnsi="Arial" w:cs="Arial"/>
          <w:sz w:val="24"/>
          <w:szCs w:val="24"/>
        </w:rPr>
        <w:t xml:space="preserve">pupils of working parents </w:t>
      </w:r>
      <w:r w:rsidR="004B6BAE">
        <w:rPr>
          <w:rFonts w:ascii="Arial" w:hAnsi="Arial" w:cs="Arial"/>
          <w:sz w:val="24"/>
          <w:szCs w:val="24"/>
        </w:rPr>
        <w:t xml:space="preserve">aged </w:t>
      </w:r>
      <w:r w:rsidR="00174EF1">
        <w:rPr>
          <w:rFonts w:ascii="Arial" w:hAnsi="Arial" w:cs="Arial"/>
          <w:sz w:val="24"/>
          <w:szCs w:val="24"/>
        </w:rPr>
        <w:t>nine</w:t>
      </w:r>
      <w:r w:rsidR="00462B88">
        <w:rPr>
          <w:rFonts w:ascii="Arial" w:hAnsi="Arial" w:cs="Arial"/>
          <w:sz w:val="24"/>
          <w:szCs w:val="24"/>
        </w:rPr>
        <w:t xml:space="preserve"> </w:t>
      </w:r>
      <w:r w:rsidR="004B6BAE">
        <w:rPr>
          <w:rFonts w:ascii="Arial" w:hAnsi="Arial" w:cs="Arial"/>
          <w:sz w:val="24"/>
          <w:szCs w:val="24"/>
        </w:rPr>
        <w:t>months up to an</w:t>
      </w:r>
      <w:r w:rsidR="0048772F">
        <w:rPr>
          <w:rFonts w:ascii="Arial" w:hAnsi="Arial" w:cs="Arial"/>
          <w:sz w:val="24"/>
          <w:szCs w:val="24"/>
        </w:rPr>
        <w:t>d</w:t>
      </w:r>
      <w:r w:rsidR="004B6BAE">
        <w:rPr>
          <w:rFonts w:ascii="Arial" w:hAnsi="Arial" w:cs="Arial"/>
          <w:sz w:val="24"/>
          <w:szCs w:val="24"/>
        </w:rPr>
        <w:t xml:space="preserve"> including </w:t>
      </w:r>
      <w:r w:rsidR="00174EF1">
        <w:rPr>
          <w:rFonts w:ascii="Arial" w:hAnsi="Arial" w:cs="Arial"/>
          <w:sz w:val="24"/>
          <w:szCs w:val="24"/>
        </w:rPr>
        <w:t>two</w:t>
      </w:r>
      <w:r w:rsidR="004B6BAE">
        <w:rPr>
          <w:rFonts w:ascii="Arial" w:hAnsi="Arial" w:cs="Arial"/>
          <w:sz w:val="24"/>
          <w:szCs w:val="24"/>
        </w:rPr>
        <w:t xml:space="preserve"> years old.</w:t>
      </w:r>
    </w:p>
    <w:p w14:paraId="5D9F9824" w14:textId="77777777" w:rsidR="00D916C4" w:rsidRDefault="00D916C4" w:rsidP="00D916C4">
      <w:pPr>
        <w:pStyle w:val="ListParagraph"/>
        <w:ind w:left="1080"/>
        <w:rPr>
          <w:rFonts w:ascii="Arial" w:hAnsi="Arial" w:cs="Arial"/>
          <w:sz w:val="24"/>
          <w:szCs w:val="24"/>
        </w:rPr>
      </w:pPr>
    </w:p>
    <w:p w14:paraId="79E93F3B" w14:textId="4E18DB54" w:rsidR="009A2D2B" w:rsidRDefault="00695B4D" w:rsidP="000F104B">
      <w:pPr>
        <w:pStyle w:val="ListParagraph"/>
        <w:numPr>
          <w:ilvl w:val="1"/>
          <w:numId w:val="1"/>
        </w:numPr>
        <w:ind w:left="1080" w:hanging="720"/>
        <w:rPr>
          <w:rFonts w:ascii="Arial" w:hAnsi="Arial" w:cs="Arial"/>
          <w:sz w:val="24"/>
          <w:szCs w:val="24"/>
        </w:rPr>
      </w:pPr>
      <w:r>
        <w:rPr>
          <w:rFonts w:ascii="Arial" w:hAnsi="Arial" w:cs="Arial"/>
          <w:sz w:val="24"/>
          <w:szCs w:val="24"/>
        </w:rPr>
        <w:t>The Governments response to the consultation</w:t>
      </w:r>
      <w:r w:rsidR="00D916C4">
        <w:rPr>
          <w:rStyle w:val="FootnoteReference"/>
          <w:rFonts w:ascii="Arial" w:hAnsi="Arial" w:cs="Arial"/>
          <w:sz w:val="24"/>
          <w:szCs w:val="24"/>
        </w:rPr>
        <w:footnoteReference w:id="2"/>
      </w:r>
      <w:r>
        <w:rPr>
          <w:rFonts w:ascii="Arial" w:hAnsi="Arial" w:cs="Arial"/>
          <w:sz w:val="24"/>
          <w:szCs w:val="24"/>
        </w:rPr>
        <w:t xml:space="preserve"> was published on the 29 November followed by the operational guide</w:t>
      </w:r>
      <w:r w:rsidR="00590087">
        <w:rPr>
          <w:rFonts w:ascii="Arial" w:hAnsi="Arial" w:cs="Arial"/>
          <w:sz w:val="24"/>
          <w:szCs w:val="24"/>
        </w:rPr>
        <w:t xml:space="preserve"> and the hourly rates that </w:t>
      </w:r>
      <w:r w:rsidR="008D00DC">
        <w:rPr>
          <w:rFonts w:ascii="Arial" w:hAnsi="Arial" w:cs="Arial"/>
          <w:sz w:val="24"/>
          <w:szCs w:val="24"/>
        </w:rPr>
        <w:t>l</w:t>
      </w:r>
      <w:r w:rsidR="00590087">
        <w:rPr>
          <w:rFonts w:ascii="Arial" w:hAnsi="Arial" w:cs="Arial"/>
          <w:sz w:val="24"/>
          <w:szCs w:val="24"/>
        </w:rPr>
        <w:t xml:space="preserve">ocal </w:t>
      </w:r>
      <w:r w:rsidR="00A07C85">
        <w:rPr>
          <w:rFonts w:ascii="Arial" w:hAnsi="Arial" w:cs="Arial"/>
          <w:sz w:val="24"/>
          <w:szCs w:val="24"/>
        </w:rPr>
        <w:t>a</w:t>
      </w:r>
      <w:r w:rsidR="00590087">
        <w:rPr>
          <w:rFonts w:ascii="Arial" w:hAnsi="Arial" w:cs="Arial"/>
          <w:sz w:val="24"/>
          <w:szCs w:val="24"/>
        </w:rPr>
        <w:t>uthorities will receive for 2024-25</w:t>
      </w:r>
      <w:r w:rsidR="009A2D2B">
        <w:rPr>
          <w:rFonts w:ascii="Arial" w:hAnsi="Arial" w:cs="Arial"/>
          <w:sz w:val="24"/>
          <w:szCs w:val="24"/>
        </w:rPr>
        <w:t>.</w:t>
      </w:r>
    </w:p>
    <w:p w14:paraId="042BB565" w14:textId="77777777" w:rsidR="009A2D2B" w:rsidRPr="009A2D2B" w:rsidRDefault="009A2D2B" w:rsidP="009A2D2B">
      <w:pPr>
        <w:pStyle w:val="ListParagraph"/>
        <w:rPr>
          <w:rFonts w:ascii="Arial" w:hAnsi="Arial" w:cs="Arial"/>
          <w:sz w:val="24"/>
          <w:szCs w:val="24"/>
        </w:rPr>
      </w:pPr>
    </w:p>
    <w:p w14:paraId="69F4B157" w14:textId="5113C140" w:rsidR="001F0FD4" w:rsidRDefault="00A55558" w:rsidP="000F104B">
      <w:pPr>
        <w:pStyle w:val="ListParagraph"/>
        <w:numPr>
          <w:ilvl w:val="1"/>
          <w:numId w:val="1"/>
        </w:numPr>
        <w:ind w:left="1080" w:hanging="720"/>
        <w:rPr>
          <w:rFonts w:ascii="Arial" w:hAnsi="Arial" w:cs="Arial"/>
          <w:sz w:val="24"/>
          <w:szCs w:val="24"/>
        </w:rPr>
      </w:pPr>
      <w:r>
        <w:rPr>
          <w:rFonts w:ascii="Arial" w:hAnsi="Arial" w:cs="Arial"/>
          <w:sz w:val="24"/>
          <w:szCs w:val="24"/>
        </w:rPr>
        <w:t xml:space="preserve">The main </w:t>
      </w:r>
      <w:r w:rsidR="00DE71A6">
        <w:rPr>
          <w:rFonts w:ascii="Arial" w:hAnsi="Arial" w:cs="Arial"/>
          <w:sz w:val="24"/>
          <w:szCs w:val="24"/>
        </w:rPr>
        <w:t>ch</w:t>
      </w:r>
      <w:r w:rsidR="00593C7C">
        <w:rPr>
          <w:rFonts w:ascii="Arial" w:hAnsi="Arial" w:cs="Arial"/>
          <w:sz w:val="24"/>
          <w:szCs w:val="24"/>
        </w:rPr>
        <w:t>an</w:t>
      </w:r>
      <w:r w:rsidR="00DE71A6">
        <w:rPr>
          <w:rFonts w:ascii="Arial" w:hAnsi="Arial" w:cs="Arial"/>
          <w:sz w:val="24"/>
          <w:szCs w:val="24"/>
        </w:rPr>
        <w:t>ges for 202</w:t>
      </w:r>
      <w:r w:rsidR="00071EDC">
        <w:rPr>
          <w:rFonts w:ascii="Arial" w:hAnsi="Arial" w:cs="Arial"/>
          <w:sz w:val="24"/>
          <w:szCs w:val="24"/>
        </w:rPr>
        <w:t>4</w:t>
      </w:r>
      <w:r w:rsidR="00DE71A6">
        <w:rPr>
          <w:rFonts w:ascii="Arial" w:hAnsi="Arial" w:cs="Arial"/>
          <w:sz w:val="24"/>
          <w:szCs w:val="24"/>
        </w:rPr>
        <w:t>-2</w:t>
      </w:r>
      <w:r w:rsidR="00071EDC">
        <w:rPr>
          <w:rFonts w:ascii="Arial" w:hAnsi="Arial" w:cs="Arial"/>
          <w:sz w:val="24"/>
          <w:szCs w:val="24"/>
        </w:rPr>
        <w:t>5</w:t>
      </w:r>
      <w:r w:rsidR="00DE71A6">
        <w:rPr>
          <w:rFonts w:ascii="Arial" w:hAnsi="Arial" w:cs="Arial"/>
          <w:sz w:val="24"/>
          <w:szCs w:val="24"/>
        </w:rPr>
        <w:t xml:space="preserve"> are:</w:t>
      </w:r>
    </w:p>
    <w:p w14:paraId="515314C6" w14:textId="77777777" w:rsidR="00071EDC" w:rsidRPr="00071EDC" w:rsidRDefault="00071EDC" w:rsidP="00071EDC">
      <w:pPr>
        <w:pStyle w:val="ListParagraph"/>
        <w:rPr>
          <w:rFonts w:ascii="Arial" w:hAnsi="Arial" w:cs="Arial"/>
          <w:sz w:val="24"/>
          <w:szCs w:val="24"/>
        </w:rPr>
      </w:pPr>
    </w:p>
    <w:p w14:paraId="57E0F3F6" w14:textId="5D6B7275" w:rsidR="00D776B8" w:rsidRDefault="00BC7F98" w:rsidP="004C4129">
      <w:pPr>
        <w:pStyle w:val="ListParagraph"/>
        <w:numPr>
          <w:ilvl w:val="1"/>
          <w:numId w:val="32"/>
        </w:numPr>
        <w:rPr>
          <w:rFonts w:ascii="Arial" w:hAnsi="Arial" w:cs="Arial"/>
          <w:sz w:val="24"/>
          <w:szCs w:val="24"/>
        </w:rPr>
      </w:pPr>
      <w:r>
        <w:rPr>
          <w:rFonts w:ascii="Arial" w:hAnsi="Arial" w:cs="Arial"/>
          <w:sz w:val="24"/>
          <w:szCs w:val="24"/>
        </w:rPr>
        <w:t>a</w:t>
      </w:r>
      <w:r w:rsidR="00382F27">
        <w:rPr>
          <w:rFonts w:ascii="Arial" w:hAnsi="Arial" w:cs="Arial"/>
          <w:sz w:val="24"/>
          <w:szCs w:val="24"/>
        </w:rPr>
        <w:t xml:space="preserve"> </w:t>
      </w:r>
      <w:r w:rsidR="00C405C2">
        <w:rPr>
          <w:rFonts w:ascii="Arial" w:hAnsi="Arial" w:cs="Arial"/>
          <w:sz w:val="24"/>
          <w:szCs w:val="24"/>
        </w:rPr>
        <w:t>new funding formula for distributing</w:t>
      </w:r>
      <w:r w:rsidR="00E053B4">
        <w:rPr>
          <w:rFonts w:ascii="Arial" w:hAnsi="Arial" w:cs="Arial"/>
          <w:sz w:val="24"/>
          <w:szCs w:val="24"/>
        </w:rPr>
        <w:t xml:space="preserve"> funding </w:t>
      </w:r>
      <w:r w:rsidR="00B52CE1">
        <w:rPr>
          <w:rFonts w:ascii="Arial" w:hAnsi="Arial" w:cs="Arial"/>
          <w:sz w:val="24"/>
          <w:szCs w:val="24"/>
        </w:rPr>
        <w:t>to local authorities</w:t>
      </w:r>
      <w:r w:rsidR="00046CBB">
        <w:rPr>
          <w:rFonts w:ascii="Arial" w:hAnsi="Arial" w:cs="Arial"/>
          <w:sz w:val="24"/>
          <w:szCs w:val="24"/>
        </w:rPr>
        <w:t xml:space="preserve"> for</w:t>
      </w:r>
      <w:r w:rsidR="00D776B8">
        <w:rPr>
          <w:rFonts w:ascii="Arial" w:hAnsi="Arial" w:cs="Arial"/>
          <w:sz w:val="24"/>
          <w:szCs w:val="24"/>
        </w:rPr>
        <w:t>:</w:t>
      </w:r>
    </w:p>
    <w:p w14:paraId="3A826A83" w14:textId="27C6C1CA" w:rsidR="00D776B8" w:rsidRDefault="00174EF1" w:rsidP="00071EDC">
      <w:pPr>
        <w:pStyle w:val="ListParagraph"/>
        <w:numPr>
          <w:ilvl w:val="2"/>
          <w:numId w:val="32"/>
        </w:numPr>
        <w:rPr>
          <w:rFonts w:ascii="Arial" w:hAnsi="Arial" w:cs="Arial"/>
          <w:sz w:val="24"/>
          <w:szCs w:val="24"/>
        </w:rPr>
      </w:pPr>
      <w:r>
        <w:rPr>
          <w:rFonts w:ascii="Arial" w:hAnsi="Arial" w:cs="Arial"/>
          <w:sz w:val="24"/>
          <w:szCs w:val="24"/>
        </w:rPr>
        <w:t xml:space="preserve">two </w:t>
      </w:r>
      <w:r w:rsidR="00046CBB">
        <w:rPr>
          <w:rFonts w:ascii="Arial" w:hAnsi="Arial" w:cs="Arial"/>
          <w:sz w:val="24"/>
          <w:szCs w:val="24"/>
        </w:rPr>
        <w:t>year</w:t>
      </w:r>
      <w:r w:rsidR="004E2C4C">
        <w:rPr>
          <w:rFonts w:ascii="Arial" w:hAnsi="Arial" w:cs="Arial"/>
          <w:sz w:val="24"/>
          <w:szCs w:val="24"/>
        </w:rPr>
        <w:t xml:space="preserve"> </w:t>
      </w:r>
      <w:r w:rsidR="00046CBB">
        <w:rPr>
          <w:rFonts w:ascii="Arial" w:hAnsi="Arial" w:cs="Arial"/>
          <w:sz w:val="24"/>
          <w:szCs w:val="24"/>
        </w:rPr>
        <w:t xml:space="preserve">olds </w:t>
      </w:r>
      <w:r w:rsidR="004B1291">
        <w:rPr>
          <w:rFonts w:ascii="Arial" w:hAnsi="Arial" w:cs="Arial"/>
          <w:sz w:val="24"/>
          <w:szCs w:val="24"/>
        </w:rPr>
        <w:t xml:space="preserve">covering both </w:t>
      </w:r>
      <w:r w:rsidR="006717EC">
        <w:rPr>
          <w:rFonts w:ascii="Arial" w:hAnsi="Arial" w:cs="Arial"/>
          <w:sz w:val="24"/>
          <w:szCs w:val="24"/>
        </w:rPr>
        <w:t xml:space="preserve">the existing entitlement for disadvantaged children and the new working parent </w:t>
      </w:r>
      <w:r w:rsidR="00071EDC">
        <w:rPr>
          <w:rFonts w:ascii="Arial" w:hAnsi="Arial" w:cs="Arial"/>
          <w:sz w:val="24"/>
          <w:szCs w:val="24"/>
        </w:rPr>
        <w:t>entitlements, and</w:t>
      </w:r>
    </w:p>
    <w:p w14:paraId="3C31BEED" w14:textId="36FFF86F" w:rsidR="000F104B" w:rsidRDefault="007E3F9A" w:rsidP="00071EDC">
      <w:pPr>
        <w:pStyle w:val="ListParagraph"/>
        <w:numPr>
          <w:ilvl w:val="2"/>
          <w:numId w:val="32"/>
        </w:numPr>
        <w:rPr>
          <w:rFonts w:ascii="Arial" w:hAnsi="Arial" w:cs="Arial"/>
          <w:sz w:val="24"/>
          <w:szCs w:val="24"/>
        </w:rPr>
      </w:pPr>
      <w:r>
        <w:rPr>
          <w:rFonts w:ascii="Arial" w:hAnsi="Arial" w:cs="Arial"/>
          <w:sz w:val="24"/>
          <w:szCs w:val="24"/>
        </w:rPr>
        <w:t xml:space="preserve">those from </w:t>
      </w:r>
      <w:r w:rsidR="004E2C4C">
        <w:rPr>
          <w:rFonts w:ascii="Arial" w:hAnsi="Arial" w:cs="Arial"/>
          <w:sz w:val="24"/>
          <w:szCs w:val="24"/>
        </w:rPr>
        <w:t>nine</w:t>
      </w:r>
      <w:r>
        <w:rPr>
          <w:rFonts w:ascii="Arial" w:hAnsi="Arial" w:cs="Arial"/>
          <w:sz w:val="24"/>
          <w:szCs w:val="24"/>
        </w:rPr>
        <w:t xml:space="preserve"> months to </w:t>
      </w:r>
      <w:r w:rsidR="004E2C4C">
        <w:rPr>
          <w:rFonts w:ascii="Arial" w:hAnsi="Arial" w:cs="Arial"/>
          <w:sz w:val="24"/>
          <w:szCs w:val="24"/>
        </w:rPr>
        <w:t>two</w:t>
      </w:r>
      <w:r>
        <w:rPr>
          <w:rFonts w:ascii="Arial" w:hAnsi="Arial" w:cs="Arial"/>
          <w:sz w:val="24"/>
          <w:szCs w:val="24"/>
        </w:rPr>
        <w:t xml:space="preserve"> years old</w:t>
      </w:r>
      <w:r w:rsidR="00D70851">
        <w:rPr>
          <w:rFonts w:ascii="Arial" w:hAnsi="Arial" w:cs="Arial"/>
          <w:sz w:val="24"/>
          <w:szCs w:val="24"/>
        </w:rPr>
        <w:t xml:space="preserve"> (known as the under 2s) </w:t>
      </w:r>
      <w:r w:rsidR="00046CBB">
        <w:rPr>
          <w:rFonts w:ascii="Arial" w:hAnsi="Arial" w:cs="Arial"/>
          <w:sz w:val="24"/>
          <w:szCs w:val="24"/>
        </w:rPr>
        <w:t>from 2024</w:t>
      </w:r>
      <w:r w:rsidR="00FB7A98">
        <w:rPr>
          <w:rFonts w:ascii="Arial" w:hAnsi="Arial" w:cs="Arial"/>
          <w:sz w:val="24"/>
          <w:szCs w:val="24"/>
        </w:rPr>
        <w:t>-25</w:t>
      </w:r>
      <w:r w:rsidR="005D7533">
        <w:rPr>
          <w:rFonts w:ascii="Arial" w:hAnsi="Arial" w:cs="Arial"/>
          <w:sz w:val="24"/>
          <w:szCs w:val="24"/>
        </w:rPr>
        <w:t>.</w:t>
      </w:r>
    </w:p>
    <w:p w14:paraId="62588460" w14:textId="5E998071" w:rsidR="00D23708" w:rsidRDefault="00BC7F98" w:rsidP="004C4129">
      <w:pPr>
        <w:pStyle w:val="ListParagraph"/>
        <w:numPr>
          <w:ilvl w:val="1"/>
          <w:numId w:val="32"/>
        </w:numPr>
        <w:rPr>
          <w:rFonts w:ascii="Arial" w:hAnsi="Arial" w:cs="Arial"/>
          <w:sz w:val="24"/>
          <w:szCs w:val="24"/>
        </w:rPr>
      </w:pPr>
      <w:r>
        <w:rPr>
          <w:rFonts w:ascii="Arial" w:hAnsi="Arial" w:cs="Arial"/>
          <w:sz w:val="24"/>
          <w:szCs w:val="24"/>
        </w:rPr>
        <w:t>s</w:t>
      </w:r>
      <w:r w:rsidR="0005356C">
        <w:rPr>
          <w:rFonts w:ascii="Arial" w:hAnsi="Arial" w:cs="Arial"/>
          <w:sz w:val="24"/>
          <w:szCs w:val="24"/>
        </w:rPr>
        <w:t>etting an expectation that local authorities</w:t>
      </w:r>
      <w:r w:rsidR="00811319">
        <w:rPr>
          <w:rFonts w:ascii="Arial" w:hAnsi="Arial" w:cs="Arial"/>
          <w:sz w:val="24"/>
          <w:szCs w:val="24"/>
        </w:rPr>
        <w:t xml:space="preserve"> have </w:t>
      </w:r>
      <w:r w:rsidR="00DF4618">
        <w:rPr>
          <w:rFonts w:ascii="Arial" w:hAnsi="Arial" w:cs="Arial"/>
          <w:sz w:val="24"/>
          <w:szCs w:val="24"/>
        </w:rPr>
        <w:t>S</w:t>
      </w:r>
      <w:r w:rsidR="00811319">
        <w:rPr>
          <w:rFonts w:ascii="Arial" w:hAnsi="Arial" w:cs="Arial"/>
          <w:sz w:val="24"/>
          <w:szCs w:val="24"/>
        </w:rPr>
        <w:t xml:space="preserve">pecial </w:t>
      </w:r>
      <w:r w:rsidR="00DF4618">
        <w:rPr>
          <w:rFonts w:ascii="Arial" w:hAnsi="Arial" w:cs="Arial"/>
          <w:sz w:val="24"/>
          <w:szCs w:val="24"/>
        </w:rPr>
        <w:t>E</w:t>
      </w:r>
      <w:r w:rsidR="00811319">
        <w:rPr>
          <w:rFonts w:ascii="Arial" w:hAnsi="Arial" w:cs="Arial"/>
          <w:sz w:val="24"/>
          <w:szCs w:val="24"/>
        </w:rPr>
        <w:t xml:space="preserve">ducation </w:t>
      </w:r>
      <w:r w:rsidR="00DF4618">
        <w:rPr>
          <w:rFonts w:ascii="Arial" w:hAnsi="Arial" w:cs="Arial"/>
          <w:sz w:val="24"/>
          <w:szCs w:val="24"/>
        </w:rPr>
        <w:t>I</w:t>
      </w:r>
      <w:r w:rsidR="00811319">
        <w:rPr>
          <w:rFonts w:ascii="Arial" w:hAnsi="Arial" w:cs="Arial"/>
          <w:sz w:val="24"/>
          <w:szCs w:val="24"/>
        </w:rPr>
        <w:t xml:space="preserve">nclusion </w:t>
      </w:r>
      <w:r w:rsidR="00DF4618">
        <w:rPr>
          <w:rFonts w:ascii="Arial" w:hAnsi="Arial" w:cs="Arial"/>
          <w:sz w:val="24"/>
          <w:szCs w:val="24"/>
        </w:rPr>
        <w:t>F</w:t>
      </w:r>
      <w:r w:rsidR="00811319">
        <w:rPr>
          <w:rFonts w:ascii="Arial" w:hAnsi="Arial" w:cs="Arial"/>
          <w:sz w:val="24"/>
          <w:szCs w:val="24"/>
        </w:rPr>
        <w:t>unds (SENDIF)</w:t>
      </w:r>
      <w:r w:rsidR="006F3EDF">
        <w:rPr>
          <w:rFonts w:ascii="Arial" w:hAnsi="Arial" w:cs="Arial"/>
          <w:sz w:val="24"/>
          <w:szCs w:val="24"/>
        </w:rPr>
        <w:t xml:space="preserve"> for all pupils with </w:t>
      </w:r>
      <w:r w:rsidR="00B21B98">
        <w:rPr>
          <w:rFonts w:ascii="Arial" w:hAnsi="Arial" w:cs="Arial"/>
          <w:sz w:val="24"/>
          <w:szCs w:val="24"/>
        </w:rPr>
        <w:t xml:space="preserve">low and emerging needs across all existing and new </w:t>
      </w:r>
      <w:proofErr w:type="gramStart"/>
      <w:r w:rsidR="00B21B98">
        <w:rPr>
          <w:rFonts w:ascii="Arial" w:hAnsi="Arial" w:cs="Arial"/>
          <w:sz w:val="24"/>
          <w:szCs w:val="24"/>
        </w:rPr>
        <w:t>entitlements</w:t>
      </w:r>
      <w:proofErr w:type="gramEnd"/>
    </w:p>
    <w:p w14:paraId="69556EB9" w14:textId="5D619AA3" w:rsidR="007363E1" w:rsidRDefault="00BC7F98" w:rsidP="004C4129">
      <w:pPr>
        <w:pStyle w:val="ListParagraph"/>
        <w:numPr>
          <w:ilvl w:val="1"/>
          <w:numId w:val="32"/>
        </w:numPr>
        <w:rPr>
          <w:rFonts w:ascii="Arial" w:hAnsi="Arial" w:cs="Arial"/>
          <w:sz w:val="24"/>
          <w:szCs w:val="24"/>
        </w:rPr>
      </w:pPr>
      <w:r>
        <w:rPr>
          <w:rFonts w:ascii="Arial" w:hAnsi="Arial" w:cs="Arial"/>
          <w:sz w:val="24"/>
          <w:szCs w:val="24"/>
        </w:rPr>
        <w:t>e</w:t>
      </w:r>
      <w:r w:rsidR="0092575D">
        <w:rPr>
          <w:rFonts w:ascii="Arial" w:hAnsi="Arial" w:cs="Arial"/>
          <w:sz w:val="24"/>
          <w:szCs w:val="24"/>
        </w:rPr>
        <w:t>xtend</w:t>
      </w:r>
      <w:r w:rsidR="009468E6">
        <w:rPr>
          <w:rFonts w:ascii="Arial" w:hAnsi="Arial" w:cs="Arial"/>
          <w:sz w:val="24"/>
          <w:szCs w:val="24"/>
        </w:rPr>
        <w:t>ing</w:t>
      </w:r>
      <w:r w:rsidR="0092575D">
        <w:rPr>
          <w:rFonts w:ascii="Arial" w:hAnsi="Arial" w:cs="Arial"/>
          <w:sz w:val="24"/>
          <w:szCs w:val="24"/>
        </w:rPr>
        <w:t xml:space="preserve"> eligibility for the </w:t>
      </w:r>
      <w:r w:rsidR="004F0D08">
        <w:rPr>
          <w:rFonts w:ascii="Arial" w:hAnsi="Arial" w:cs="Arial"/>
          <w:sz w:val="24"/>
          <w:szCs w:val="24"/>
        </w:rPr>
        <w:t>E</w:t>
      </w:r>
      <w:r w:rsidR="0092575D">
        <w:rPr>
          <w:rFonts w:ascii="Arial" w:hAnsi="Arial" w:cs="Arial"/>
          <w:sz w:val="24"/>
          <w:szCs w:val="24"/>
        </w:rPr>
        <w:t xml:space="preserve">arly </w:t>
      </w:r>
      <w:r w:rsidR="004F0D08">
        <w:rPr>
          <w:rFonts w:ascii="Arial" w:hAnsi="Arial" w:cs="Arial"/>
          <w:sz w:val="24"/>
          <w:szCs w:val="24"/>
        </w:rPr>
        <w:t>Y</w:t>
      </w:r>
      <w:r w:rsidR="0092575D">
        <w:rPr>
          <w:rFonts w:ascii="Arial" w:hAnsi="Arial" w:cs="Arial"/>
          <w:sz w:val="24"/>
          <w:szCs w:val="24"/>
        </w:rPr>
        <w:t xml:space="preserve">ears </w:t>
      </w:r>
      <w:r w:rsidR="004F0D08">
        <w:rPr>
          <w:rFonts w:ascii="Arial" w:hAnsi="Arial" w:cs="Arial"/>
          <w:sz w:val="24"/>
          <w:szCs w:val="24"/>
        </w:rPr>
        <w:t>P</w:t>
      </w:r>
      <w:r w:rsidR="0092575D">
        <w:rPr>
          <w:rFonts w:ascii="Arial" w:hAnsi="Arial" w:cs="Arial"/>
          <w:sz w:val="24"/>
          <w:szCs w:val="24"/>
        </w:rPr>
        <w:t xml:space="preserve">upil </w:t>
      </w:r>
      <w:r w:rsidR="004F0D08">
        <w:rPr>
          <w:rFonts w:ascii="Arial" w:hAnsi="Arial" w:cs="Arial"/>
          <w:sz w:val="24"/>
          <w:szCs w:val="24"/>
        </w:rPr>
        <w:t>P</w:t>
      </w:r>
      <w:r w:rsidR="0092575D">
        <w:rPr>
          <w:rFonts w:ascii="Arial" w:hAnsi="Arial" w:cs="Arial"/>
          <w:sz w:val="24"/>
          <w:szCs w:val="24"/>
        </w:rPr>
        <w:t xml:space="preserve">remium (EYPP) and the </w:t>
      </w:r>
      <w:r w:rsidR="004F0D08">
        <w:rPr>
          <w:rFonts w:ascii="Arial" w:hAnsi="Arial" w:cs="Arial"/>
          <w:sz w:val="24"/>
          <w:szCs w:val="24"/>
        </w:rPr>
        <w:t>D</w:t>
      </w:r>
      <w:r w:rsidR="0092575D">
        <w:rPr>
          <w:rFonts w:ascii="Arial" w:hAnsi="Arial" w:cs="Arial"/>
          <w:sz w:val="24"/>
          <w:szCs w:val="24"/>
        </w:rPr>
        <w:t xml:space="preserve">isability </w:t>
      </w:r>
      <w:r w:rsidR="004F0D08">
        <w:rPr>
          <w:rFonts w:ascii="Arial" w:hAnsi="Arial" w:cs="Arial"/>
          <w:sz w:val="24"/>
          <w:szCs w:val="24"/>
        </w:rPr>
        <w:t>A</w:t>
      </w:r>
      <w:r w:rsidR="0092575D">
        <w:rPr>
          <w:rFonts w:ascii="Arial" w:hAnsi="Arial" w:cs="Arial"/>
          <w:sz w:val="24"/>
          <w:szCs w:val="24"/>
        </w:rPr>
        <w:t xml:space="preserve">ccess fund (DAF) </w:t>
      </w:r>
      <w:r w:rsidR="009F7F01">
        <w:rPr>
          <w:rFonts w:ascii="Arial" w:hAnsi="Arial" w:cs="Arial"/>
          <w:sz w:val="24"/>
          <w:szCs w:val="24"/>
        </w:rPr>
        <w:t xml:space="preserve">to eligible children aged </w:t>
      </w:r>
      <w:r w:rsidR="00B11099">
        <w:rPr>
          <w:rFonts w:ascii="Arial" w:hAnsi="Arial" w:cs="Arial"/>
          <w:sz w:val="24"/>
          <w:szCs w:val="24"/>
        </w:rPr>
        <w:t>two</w:t>
      </w:r>
      <w:r w:rsidR="009F7F01">
        <w:rPr>
          <w:rFonts w:ascii="Arial" w:hAnsi="Arial" w:cs="Arial"/>
          <w:sz w:val="24"/>
          <w:szCs w:val="24"/>
        </w:rPr>
        <w:t xml:space="preserve"> years and under accessing the entitlements from 2024-2025</w:t>
      </w:r>
    </w:p>
    <w:p w14:paraId="4A3BBB9C" w14:textId="42D3B37F" w:rsidR="004C57D4" w:rsidRPr="007363E1" w:rsidRDefault="00BC7F98" w:rsidP="004C4129">
      <w:pPr>
        <w:pStyle w:val="ListParagraph"/>
        <w:numPr>
          <w:ilvl w:val="1"/>
          <w:numId w:val="32"/>
        </w:numPr>
        <w:rPr>
          <w:rFonts w:ascii="Arial" w:hAnsi="Arial" w:cs="Arial"/>
          <w:sz w:val="24"/>
          <w:szCs w:val="24"/>
        </w:rPr>
      </w:pPr>
      <w:r>
        <w:rPr>
          <w:rFonts w:ascii="Arial" w:hAnsi="Arial" w:cs="Arial"/>
          <w:sz w:val="24"/>
          <w:szCs w:val="24"/>
        </w:rPr>
        <w:t>e</w:t>
      </w:r>
      <w:r w:rsidR="008272CD">
        <w:rPr>
          <w:rFonts w:ascii="Arial" w:hAnsi="Arial" w:cs="Arial"/>
          <w:sz w:val="24"/>
          <w:szCs w:val="24"/>
        </w:rPr>
        <w:t xml:space="preserve">xtending the 95% pass through requirement to the </w:t>
      </w:r>
      <w:r w:rsidR="00DA26DC">
        <w:rPr>
          <w:rFonts w:ascii="Arial" w:hAnsi="Arial" w:cs="Arial"/>
          <w:sz w:val="24"/>
          <w:szCs w:val="24"/>
        </w:rPr>
        <w:t xml:space="preserve">existing </w:t>
      </w:r>
      <w:r w:rsidR="00B11099">
        <w:rPr>
          <w:rFonts w:ascii="Arial" w:hAnsi="Arial" w:cs="Arial"/>
          <w:sz w:val="24"/>
          <w:szCs w:val="24"/>
        </w:rPr>
        <w:t>two</w:t>
      </w:r>
      <w:r w:rsidR="00141D6C">
        <w:rPr>
          <w:rFonts w:ascii="Arial" w:hAnsi="Arial" w:cs="Arial"/>
          <w:sz w:val="24"/>
          <w:szCs w:val="24"/>
        </w:rPr>
        <w:t xml:space="preserve"> year olds and the new entitlements including the under 2s</w:t>
      </w:r>
    </w:p>
    <w:p w14:paraId="3DA34967" w14:textId="7FE50380" w:rsidR="00450A83" w:rsidRDefault="00BC7F98" w:rsidP="004C4129">
      <w:pPr>
        <w:pStyle w:val="ListParagraph"/>
        <w:numPr>
          <w:ilvl w:val="1"/>
          <w:numId w:val="32"/>
        </w:numPr>
        <w:rPr>
          <w:rFonts w:ascii="Arial" w:hAnsi="Arial" w:cs="Arial"/>
          <w:sz w:val="24"/>
          <w:szCs w:val="24"/>
        </w:rPr>
      </w:pPr>
      <w:r>
        <w:rPr>
          <w:rFonts w:ascii="Arial" w:hAnsi="Arial" w:cs="Arial"/>
          <w:sz w:val="24"/>
          <w:szCs w:val="24"/>
        </w:rPr>
        <w:t>b</w:t>
      </w:r>
      <w:r w:rsidR="00CB2D55">
        <w:rPr>
          <w:rFonts w:ascii="Arial" w:hAnsi="Arial" w:cs="Arial"/>
          <w:sz w:val="24"/>
          <w:szCs w:val="24"/>
        </w:rPr>
        <w:t>ring</w:t>
      </w:r>
      <w:r w:rsidR="009634B8">
        <w:rPr>
          <w:rFonts w:ascii="Arial" w:hAnsi="Arial" w:cs="Arial"/>
          <w:sz w:val="24"/>
          <w:szCs w:val="24"/>
        </w:rPr>
        <w:t xml:space="preserve">ing </w:t>
      </w:r>
      <w:r w:rsidR="00CB2D55">
        <w:rPr>
          <w:rFonts w:ascii="Arial" w:hAnsi="Arial" w:cs="Arial"/>
          <w:sz w:val="24"/>
          <w:szCs w:val="24"/>
        </w:rPr>
        <w:t>the existing two year olds</w:t>
      </w:r>
      <w:r w:rsidR="00FB7D08">
        <w:rPr>
          <w:rFonts w:ascii="Arial" w:hAnsi="Arial" w:cs="Arial"/>
          <w:sz w:val="24"/>
          <w:szCs w:val="24"/>
        </w:rPr>
        <w:t xml:space="preserve">, </w:t>
      </w:r>
      <w:r w:rsidR="009634B8">
        <w:rPr>
          <w:rFonts w:ascii="Arial" w:hAnsi="Arial" w:cs="Arial"/>
          <w:sz w:val="24"/>
          <w:szCs w:val="24"/>
        </w:rPr>
        <w:t xml:space="preserve">the new </w:t>
      </w:r>
      <w:r w:rsidR="004124C1">
        <w:rPr>
          <w:rFonts w:ascii="Arial" w:hAnsi="Arial" w:cs="Arial"/>
          <w:sz w:val="24"/>
          <w:szCs w:val="24"/>
        </w:rPr>
        <w:t xml:space="preserve">working </w:t>
      </w:r>
      <w:r w:rsidR="00D16AAB">
        <w:rPr>
          <w:rFonts w:ascii="Arial" w:hAnsi="Arial" w:cs="Arial"/>
          <w:sz w:val="24"/>
          <w:szCs w:val="24"/>
        </w:rPr>
        <w:t>parent</w:t>
      </w:r>
      <w:r w:rsidR="004124C1">
        <w:rPr>
          <w:rFonts w:ascii="Arial" w:hAnsi="Arial" w:cs="Arial"/>
          <w:sz w:val="24"/>
          <w:szCs w:val="24"/>
        </w:rPr>
        <w:t xml:space="preserve"> and under 2s local funding formula in line with the </w:t>
      </w:r>
      <w:r w:rsidR="009C2EE1">
        <w:rPr>
          <w:rFonts w:ascii="Arial" w:hAnsi="Arial" w:cs="Arial"/>
          <w:sz w:val="24"/>
          <w:szCs w:val="24"/>
        </w:rPr>
        <w:t>three</w:t>
      </w:r>
      <w:r w:rsidR="004124C1">
        <w:rPr>
          <w:rFonts w:ascii="Arial" w:hAnsi="Arial" w:cs="Arial"/>
          <w:sz w:val="24"/>
          <w:szCs w:val="24"/>
        </w:rPr>
        <w:t xml:space="preserve"> and </w:t>
      </w:r>
      <w:r w:rsidR="009C2EE1">
        <w:rPr>
          <w:rFonts w:ascii="Arial" w:hAnsi="Arial" w:cs="Arial"/>
          <w:sz w:val="24"/>
          <w:szCs w:val="24"/>
        </w:rPr>
        <w:t>four</w:t>
      </w:r>
      <w:r w:rsidR="004124C1">
        <w:rPr>
          <w:rFonts w:ascii="Arial" w:hAnsi="Arial" w:cs="Arial"/>
          <w:sz w:val="24"/>
          <w:szCs w:val="24"/>
        </w:rPr>
        <w:t xml:space="preserve"> year old </w:t>
      </w:r>
      <w:r w:rsidR="00D16AAB">
        <w:rPr>
          <w:rFonts w:ascii="Arial" w:hAnsi="Arial" w:cs="Arial"/>
          <w:sz w:val="24"/>
          <w:szCs w:val="24"/>
        </w:rPr>
        <w:t>formula and providing local authorities the flexibility to include</w:t>
      </w:r>
      <w:r w:rsidR="00FA028F">
        <w:rPr>
          <w:rFonts w:ascii="Arial" w:hAnsi="Arial" w:cs="Arial"/>
          <w:sz w:val="24"/>
          <w:szCs w:val="24"/>
        </w:rPr>
        <w:t xml:space="preserve"> </w:t>
      </w:r>
      <w:r w:rsidR="00FB7D08">
        <w:rPr>
          <w:rFonts w:ascii="Arial" w:hAnsi="Arial" w:cs="Arial"/>
          <w:sz w:val="24"/>
          <w:szCs w:val="24"/>
        </w:rPr>
        <w:t>funding for deprivation</w:t>
      </w:r>
      <w:r w:rsidR="00CD0059">
        <w:rPr>
          <w:rFonts w:ascii="Arial" w:hAnsi="Arial" w:cs="Arial"/>
          <w:sz w:val="24"/>
          <w:szCs w:val="24"/>
        </w:rPr>
        <w:t>, growth conting</w:t>
      </w:r>
      <w:r w:rsidR="00A07C85">
        <w:rPr>
          <w:rFonts w:ascii="Arial" w:hAnsi="Arial" w:cs="Arial"/>
          <w:sz w:val="24"/>
          <w:szCs w:val="24"/>
        </w:rPr>
        <w:t>e</w:t>
      </w:r>
      <w:r w:rsidR="00CD0059">
        <w:rPr>
          <w:rFonts w:ascii="Arial" w:hAnsi="Arial" w:cs="Arial"/>
          <w:sz w:val="24"/>
          <w:szCs w:val="24"/>
        </w:rPr>
        <w:t>ncies</w:t>
      </w:r>
      <w:r w:rsidR="00A7538B">
        <w:rPr>
          <w:rFonts w:ascii="Arial" w:hAnsi="Arial" w:cs="Arial"/>
          <w:sz w:val="24"/>
          <w:szCs w:val="24"/>
        </w:rPr>
        <w:t xml:space="preserve"> and supplements.</w:t>
      </w:r>
    </w:p>
    <w:p w14:paraId="4C864A27" w14:textId="77777777" w:rsidR="00450A83" w:rsidRPr="00450A83" w:rsidRDefault="00450A83" w:rsidP="00450A83">
      <w:pPr>
        <w:pStyle w:val="ListParagraph"/>
        <w:textAlignment w:val="baseline"/>
        <w:rPr>
          <w:rFonts w:ascii="Arial" w:hAnsi="Arial" w:cs="Arial"/>
          <w:sz w:val="24"/>
          <w:szCs w:val="24"/>
        </w:rPr>
      </w:pPr>
    </w:p>
    <w:p w14:paraId="7416A9BB" w14:textId="421D2973" w:rsidR="00C13840" w:rsidRDefault="00C13840" w:rsidP="00140E2D">
      <w:pPr>
        <w:pStyle w:val="ListParagraph"/>
        <w:numPr>
          <w:ilvl w:val="1"/>
          <w:numId w:val="9"/>
        </w:numPr>
        <w:ind w:left="1134" w:hanging="708"/>
        <w:rPr>
          <w:rFonts w:ascii="Arial" w:hAnsi="Arial" w:cs="Arial"/>
          <w:sz w:val="24"/>
          <w:szCs w:val="24"/>
        </w:rPr>
      </w:pPr>
      <w:bookmarkStart w:id="0" w:name="_Hlk120019160"/>
      <w:r>
        <w:rPr>
          <w:rFonts w:ascii="Arial" w:hAnsi="Arial" w:cs="Arial"/>
          <w:sz w:val="24"/>
          <w:szCs w:val="24"/>
        </w:rPr>
        <w:t xml:space="preserve">The funding received by the </w:t>
      </w:r>
      <w:r w:rsidR="00A07C85">
        <w:rPr>
          <w:rFonts w:ascii="Arial" w:hAnsi="Arial" w:cs="Arial"/>
          <w:sz w:val="24"/>
          <w:szCs w:val="24"/>
        </w:rPr>
        <w:t>L</w:t>
      </w:r>
      <w:r>
        <w:rPr>
          <w:rFonts w:ascii="Arial" w:hAnsi="Arial" w:cs="Arial"/>
          <w:sz w:val="24"/>
          <w:szCs w:val="24"/>
        </w:rPr>
        <w:t xml:space="preserve">ocal </w:t>
      </w:r>
      <w:r w:rsidR="00A07C85">
        <w:rPr>
          <w:rFonts w:ascii="Arial" w:hAnsi="Arial" w:cs="Arial"/>
          <w:sz w:val="24"/>
          <w:szCs w:val="24"/>
        </w:rPr>
        <w:t>A</w:t>
      </w:r>
      <w:r>
        <w:rPr>
          <w:rFonts w:ascii="Arial" w:hAnsi="Arial" w:cs="Arial"/>
          <w:sz w:val="24"/>
          <w:szCs w:val="24"/>
        </w:rPr>
        <w:t>uthority includes the Early Years Supplementary Grant paid to providers from September 20</w:t>
      </w:r>
      <w:r w:rsidR="006C6865">
        <w:rPr>
          <w:rFonts w:ascii="Arial" w:hAnsi="Arial" w:cs="Arial"/>
          <w:sz w:val="24"/>
          <w:szCs w:val="24"/>
        </w:rPr>
        <w:t xml:space="preserve">23, which has been </w:t>
      </w:r>
      <w:r w:rsidR="00A929D5">
        <w:rPr>
          <w:rFonts w:ascii="Arial" w:hAnsi="Arial" w:cs="Arial"/>
          <w:sz w:val="24"/>
          <w:szCs w:val="24"/>
        </w:rPr>
        <w:t xml:space="preserve">included </w:t>
      </w:r>
      <w:r w:rsidR="00375AC1">
        <w:rPr>
          <w:rFonts w:ascii="Arial" w:hAnsi="Arial" w:cs="Arial"/>
          <w:sz w:val="24"/>
          <w:szCs w:val="24"/>
        </w:rPr>
        <w:t>within the early years block</w:t>
      </w:r>
      <w:r w:rsidR="00F11D4A">
        <w:rPr>
          <w:rFonts w:ascii="Arial" w:hAnsi="Arial" w:cs="Arial"/>
          <w:sz w:val="24"/>
          <w:szCs w:val="24"/>
        </w:rPr>
        <w:t xml:space="preserve"> of the Dedicated School Grant and therefore the hourly rates received by </w:t>
      </w:r>
      <w:r w:rsidR="00712A1F">
        <w:rPr>
          <w:rFonts w:ascii="Arial" w:hAnsi="Arial" w:cs="Arial"/>
          <w:sz w:val="24"/>
          <w:szCs w:val="24"/>
        </w:rPr>
        <w:t>local authorities.</w:t>
      </w:r>
    </w:p>
    <w:p w14:paraId="3C1627DE" w14:textId="77777777" w:rsidR="00712A1F" w:rsidRDefault="00712A1F" w:rsidP="00712A1F">
      <w:pPr>
        <w:pStyle w:val="ListParagraph"/>
        <w:ind w:left="1134"/>
        <w:rPr>
          <w:rFonts w:ascii="Arial" w:hAnsi="Arial" w:cs="Arial"/>
          <w:sz w:val="24"/>
          <w:szCs w:val="24"/>
        </w:rPr>
      </w:pPr>
    </w:p>
    <w:p w14:paraId="60FACB5E" w14:textId="75B8D733" w:rsidR="00DE4676" w:rsidRDefault="00DE4676" w:rsidP="00140E2D">
      <w:pPr>
        <w:pStyle w:val="ListParagraph"/>
        <w:numPr>
          <w:ilvl w:val="1"/>
          <w:numId w:val="9"/>
        </w:numPr>
        <w:ind w:left="1134" w:hanging="708"/>
        <w:rPr>
          <w:rFonts w:ascii="Arial" w:hAnsi="Arial" w:cs="Arial"/>
          <w:sz w:val="24"/>
          <w:szCs w:val="24"/>
        </w:rPr>
      </w:pPr>
      <w:r>
        <w:rPr>
          <w:rFonts w:ascii="Arial" w:hAnsi="Arial" w:cs="Arial"/>
          <w:sz w:val="24"/>
          <w:szCs w:val="24"/>
        </w:rPr>
        <w:t>Ther</w:t>
      </w:r>
      <w:r w:rsidR="00406C8B">
        <w:rPr>
          <w:rFonts w:ascii="Arial" w:hAnsi="Arial" w:cs="Arial"/>
          <w:sz w:val="24"/>
          <w:szCs w:val="24"/>
        </w:rPr>
        <w:t>e</w:t>
      </w:r>
      <w:r>
        <w:rPr>
          <w:rFonts w:ascii="Arial" w:hAnsi="Arial" w:cs="Arial"/>
          <w:sz w:val="24"/>
          <w:szCs w:val="24"/>
        </w:rPr>
        <w:t xml:space="preserve"> are no changes to the funding formula for universal </w:t>
      </w:r>
      <w:r w:rsidR="00B159C7">
        <w:rPr>
          <w:rFonts w:ascii="Arial" w:hAnsi="Arial" w:cs="Arial"/>
          <w:sz w:val="24"/>
          <w:szCs w:val="24"/>
        </w:rPr>
        <w:t>three</w:t>
      </w:r>
      <w:r>
        <w:rPr>
          <w:rFonts w:ascii="Arial" w:hAnsi="Arial" w:cs="Arial"/>
          <w:sz w:val="24"/>
          <w:szCs w:val="24"/>
        </w:rPr>
        <w:t xml:space="preserve"> and </w:t>
      </w:r>
      <w:r w:rsidR="00B159C7">
        <w:rPr>
          <w:rFonts w:ascii="Arial" w:hAnsi="Arial" w:cs="Arial"/>
          <w:sz w:val="24"/>
          <w:szCs w:val="24"/>
        </w:rPr>
        <w:t>four</w:t>
      </w:r>
      <w:r>
        <w:rPr>
          <w:rFonts w:ascii="Arial" w:hAnsi="Arial" w:cs="Arial"/>
          <w:sz w:val="24"/>
          <w:szCs w:val="24"/>
        </w:rPr>
        <w:t xml:space="preserve"> year olds </w:t>
      </w:r>
      <w:r w:rsidR="0014437A">
        <w:rPr>
          <w:rFonts w:ascii="Arial" w:hAnsi="Arial" w:cs="Arial"/>
          <w:sz w:val="24"/>
          <w:szCs w:val="24"/>
        </w:rPr>
        <w:t xml:space="preserve">or the additional </w:t>
      </w:r>
      <w:r w:rsidR="003E00CE">
        <w:rPr>
          <w:rFonts w:ascii="Arial" w:hAnsi="Arial" w:cs="Arial"/>
          <w:sz w:val="24"/>
          <w:szCs w:val="24"/>
        </w:rPr>
        <w:t>h</w:t>
      </w:r>
      <w:r w:rsidR="0014437A">
        <w:rPr>
          <w:rFonts w:ascii="Arial" w:hAnsi="Arial" w:cs="Arial"/>
          <w:sz w:val="24"/>
          <w:szCs w:val="24"/>
        </w:rPr>
        <w:t xml:space="preserve">ours for </w:t>
      </w:r>
      <w:r w:rsidR="00B159C7">
        <w:rPr>
          <w:rFonts w:ascii="Arial" w:hAnsi="Arial" w:cs="Arial"/>
          <w:sz w:val="24"/>
          <w:szCs w:val="24"/>
        </w:rPr>
        <w:t>three</w:t>
      </w:r>
      <w:r w:rsidR="0014437A">
        <w:rPr>
          <w:rFonts w:ascii="Arial" w:hAnsi="Arial" w:cs="Arial"/>
          <w:sz w:val="24"/>
          <w:szCs w:val="24"/>
        </w:rPr>
        <w:t xml:space="preserve"> and </w:t>
      </w:r>
      <w:r w:rsidR="00B159C7">
        <w:rPr>
          <w:rFonts w:ascii="Arial" w:hAnsi="Arial" w:cs="Arial"/>
          <w:sz w:val="24"/>
          <w:szCs w:val="24"/>
        </w:rPr>
        <w:t xml:space="preserve">four </w:t>
      </w:r>
      <w:r w:rsidR="0014437A">
        <w:rPr>
          <w:rFonts w:ascii="Arial" w:hAnsi="Arial" w:cs="Arial"/>
          <w:sz w:val="24"/>
          <w:szCs w:val="24"/>
        </w:rPr>
        <w:t>year olds.</w:t>
      </w:r>
    </w:p>
    <w:p w14:paraId="3FC07B3E" w14:textId="77777777" w:rsidR="0014437A" w:rsidRDefault="0014437A" w:rsidP="0014437A">
      <w:pPr>
        <w:pStyle w:val="ListParagraph"/>
        <w:ind w:left="1134"/>
        <w:rPr>
          <w:rFonts w:ascii="Arial" w:hAnsi="Arial" w:cs="Arial"/>
          <w:sz w:val="24"/>
          <w:szCs w:val="24"/>
        </w:rPr>
      </w:pPr>
    </w:p>
    <w:p w14:paraId="710F3780" w14:textId="40B3A2A4" w:rsidR="00712A1F" w:rsidRDefault="000F104B" w:rsidP="00712A1F">
      <w:pPr>
        <w:pStyle w:val="ListParagraph"/>
        <w:numPr>
          <w:ilvl w:val="1"/>
          <w:numId w:val="9"/>
        </w:numPr>
        <w:spacing w:after="0"/>
        <w:ind w:left="1134" w:hanging="709"/>
        <w:rPr>
          <w:rFonts w:ascii="Arial" w:hAnsi="Arial" w:cs="Arial"/>
          <w:sz w:val="24"/>
          <w:szCs w:val="24"/>
        </w:rPr>
      </w:pPr>
      <w:r w:rsidRPr="00D16280">
        <w:rPr>
          <w:rFonts w:ascii="Arial" w:hAnsi="Arial" w:cs="Arial"/>
          <w:sz w:val="24"/>
          <w:szCs w:val="24"/>
        </w:rPr>
        <w:t>Portsmouth is consulting with providers on the proposals for the 202</w:t>
      </w:r>
      <w:r w:rsidR="00D944D6">
        <w:rPr>
          <w:rFonts w:ascii="Arial" w:hAnsi="Arial" w:cs="Arial"/>
          <w:sz w:val="24"/>
          <w:szCs w:val="24"/>
        </w:rPr>
        <w:t>4</w:t>
      </w:r>
      <w:r w:rsidRPr="00D16280">
        <w:rPr>
          <w:rFonts w:ascii="Arial" w:hAnsi="Arial" w:cs="Arial"/>
          <w:sz w:val="24"/>
          <w:szCs w:val="24"/>
        </w:rPr>
        <w:t>-2</w:t>
      </w:r>
      <w:r w:rsidR="00D944D6">
        <w:rPr>
          <w:rFonts w:ascii="Arial" w:hAnsi="Arial" w:cs="Arial"/>
          <w:sz w:val="24"/>
          <w:szCs w:val="24"/>
        </w:rPr>
        <w:t>5</w:t>
      </w:r>
      <w:r w:rsidRPr="00D16280">
        <w:rPr>
          <w:rFonts w:ascii="Arial" w:hAnsi="Arial" w:cs="Arial"/>
          <w:sz w:val="24"/>
          <w:szCs w:val="24"/>
        </w:rPr>
        <w:t xml:space="preserve"> funding formula </w:t>
      </w:r>
      <w:r w:rsidR="00047098">
        <w:rPr>
          <w:rFonts w:ascii="Arial" w:hAnsi="Arial" w:cs="Arial"/>
          <w:sz w:val="24"/>
          <w:szCs w:val="24"/>
        </w:rPr>
        <w:t xml:space="preserve">for </w:t>
      </w:r>
      <w:r w:rsidR="00E51700">
        <w:rPr>
          <w:rFonts w:ascii="Arial" w:hAnsi="Arial" w:cs="Arial"/>
          <w:sz w:val="24"/>
          <w:szCs w:val="24"/>
        </w:rPr>
        <w:t>E</w:t>
      </w:r>
      <w:r w:rsidR="00047098">
        <w:rPr>
          <w:rFonts w:ascii="Arial" w:hAnsi="Arial" w:cs="Arial"/>
          <w:sz w:val="24"/>
          <w:szCs w:val="24"/>
        </w:rPr>
        <w:t>arly Years settings</w:t>
      </w:r>
      <w:r w:rsidR="00E51700">
        <w:rPr>
          <w:rFonts w:ascii="Arial" w:hAnsi="Arial" w:cs="Arial"/>
          <w:sz w:val="24"/>
          <w:szCs w:val="24"/>
        </w:rPr>
        <w:t xml:space="preserve">, the responses </w:t>
      </w:r>
      <w:r w:rsidRPr="00D16280">
        <w:rPr>
          <w:rFonts w:ascii="Arial" w:hAnsi="Arial" w:cs="Arial"/>
          <w:sz w:val="24"/>
          <w:szCs w:val="24"/>
        </w:rPr>
        <w:t xml:space="preserve">will then inform </w:t>
      </w:r>
      <w:r w:rsidRPr="00D16280">
        <w:rPr>
          <w:rFonts w:ascii="Arial" w:hAnsi="Arial" w:cs="Arial"/>
          <w:sz w:val="24"/>
          <w:szCs w:val="24"/>
        </w:rPr>
        <w:lastRenderedPageBreak/>
        <w:t xml:space="preserve">the proposals that are taken to Schools Forum and Cabinet </w:t>
      </w:r>
      <w:r w:rsidR="009A65F2" w:rsidRPr="00D16280">
        <w:rPr>
          <w:rFonts w:ascii="Arial" w:hAnsi="Arial" w:cs="Arial"/>
          <w:sz w:val="24"/>
          <w:szCs w:val="24"/>
        </w:rPr>
        <w:t>M</w:t>
      </w:r>
      <w:r w:rsidRPr="00D16280">
        <w:rPr>
          <w:rFonts w:ascii="Arial" w:hAnsi="Arial" w:cs="Arial"/>
          <w:sz w:val="24"/>
          <w:szCs w:val="24"/>
        </w:rPr>
        <w:t>ember for endorsement and approval in early 202</w:t>
      </w:r>
      <w:r w:rsidR="00BA7532">
        <w:rPr>
          <w:rFonts w:ascii="Arial" w:hAnsi="Arial" w:cs="Arial"/>
          <w:sz w:val="24"/>
          <w:szCs w:val="24"/>
        </w:rPr>
        <w:t>4</w:t>
      </w:r>
      <w:r w:rsidRPr="00D16280">
        <w:rPr>
          <w:rFonts w:ascii="Arial" w:hAnsi="Arial" w:cs="Arial"/>
          <w:sz w:val="24"/>
          <w:szCs w:val="24"/>
        </w:rPr>
        <w:t>.</w:t>
      </w:r>
    </w:p>
    <w:p w14:paraId="4CB905E0" w14:textId="77777777" w:rsidR="00712A1F" w:rsidRPr="00712A1F" w:rsidRDefault="00712A1F" w:rsidP="00712A1F">
      <w:pPr>
        <w:spacing w:after="0"/>
        <w:rPr>
          <w:rFonts w:ascii="Arial" w:hAnsi="Arial" w:cs="Arial"/>
          <w:sz w:val="24"/>
          <w:szCs w:val="24"/>
        </w:rPr>
      </w:pPr>
    </w:p>
    <w:bookmarkEnd w:id="0"/>
    <w:p w14:paraId="0AB04779" w14:textId="562C9782" w:rsidR="00004E21" w:rsidRDefault="00E3665B" w:rsidP="003B7B18">
      <w:pPr>
        <w:pStyle w:val="ListParagraph"/>
        <w:numPr>
          <w:ilvl w:val="0"/>
          <w:numId w:val="1"/>
        </w:numPr>
        <w:rPr>
          <w:rFonts w:ascii="Arial" w:hAnsi="Arial" w:cs="Arial"/>
          <w:b/>
          <w:bCs/>
          <w:sz w:val="24"/>
          <w:szCs w:val="24"/>
        </w:rPr>
      </w:pPr>
      <w:r>
        <w:rPr>
          <w:rFonts w:ascii="Arial" w:hAnsi="Arial" w:cs="Arial"/>
          <w:b/>
          <w:bCs/>
          <w:sz w:val="24"/>
          <w:szCs w:val="24"/>
        </w:rPr>
        <w:t>Early Years funding 2024-25</w:t>
      </w:r>
    </w:p>
    <w:p w14:paraId="6E886A30" w14:textId="77777777" w:rsidR="0054350E" w:rsidRPr="004C4129" w:rsidRDefault="0054350E" w:rsidP="004C4129">
      <w:pPr>
        <w:pStyle w:val="ListParagraph"/>
        <w:ind w:left="360"/>
        <w:rPr>
          <w:rFonts w:ascii="Arial" w:hAnsi="Arial" w:cs="Arial"/>
          <w:b/>
          <w:bCs/>
          <w:sz w:val="24"/>
          <w:szCs w:val="24"/>
        </w:rPr>
      </w:pPr>
    </w:p>
    <w:p w14:paraId="2F47EC9D" w14:textId="26254012" w:rsidR="007363E1" w:rsidRPr="004C4129" w:rsidRDefault="009D4C72" w:rsidP="003B7B18">
      <w:pPr>
        <w:pStyle w:val="ListParagraph"/>
        <w:numPr>
          <w:ilvl w:val="1"/>
          <w:numId w:val="1"/>
        </w:numPr>
        <w:ind w:left="1080" w:hanging="720"/>
        <w:rPr>
          <w:rFonts w:ascii="Arial" w:hAnsi="Arial" w:cs="Arial"/>
          <w:sz w:val="24"/>
          <w:szCs w:val="24"/>
        </w:rPr>
      </w:pPr>
      <w:r>
        <w:rPr>
          <w:rFonts w:ascii="Arial" w:hAnsi="Arial" w:cs="Arial"/>
          <w:sz w:val="24"/>
          <w:szCs w:val="24"/>
        </w:rPr>
        <w:t>From April 2024</w:t>
      </w:r>
      <w:r w:rsidR="00F74388">
        <w:rPr>
          <w:rFonts w:ascii="Arial" w:hAnsi="Arial" w:cs="Arial"/>
          <w:sz w:val="24"/>
          <w:szCs w:val="24"/>
        </w:rPr>
        <w:t xml:space="preserve"> the DfE are</w:t>
      </w:r>
      <w:r w:rsidR="00AF1A81">
        <w:rPr>
          <w:rFonts w:ascii="Arial" w:hAnsi="Arial" w:cs="Arial"/>
          <w:sz w:val="24"/>
          <w:szCs w:val="24"/>
        </w:rPr>
        <w:t xml:space="preserve"> </w:t>
      </w:r>
      <w:r w:rsidR="003B7B18">
        <w:rPr>
          <w:rFonts w:ascii="Arial" w:hAnsi="Arial" w:cs="Arial"/>
          <w:sz w:val="24"/>
          <w:szCs w:val="24"/>
        </w:rPr>
        <w:t xml:space="preserve">extending the early years entitlements </w:t>
      </w:r>
      <w:r w:rsidR="006B47DD">
        <w:rPr>
          <w:rFonts w:ascii="Arial" w:hAnsi="Arial" w:cs="Arial"/>
          <w:sz w:val="24"/>
          <w:szCs w:val="24"/>
        </w:rPr>
        <w:t>to include:</w:t>
      </w:r>
    </w:p>
    <w:p w14:paraId="6E14622B" w14:textId="18FC6990" w:rsidR="002A3B3A" w:rsidRPr="000D21E3" w:rsidRDefault="002A3B3A" w:rsidP="000D21E3">
      <w:pPr>
        <w:pStyle w:val="ListParagraph"/>
        <w:numPr>
          <w:ilvl w:val="1"/>
          <w:numId w:val="32"/>
        </w:numPr>
        <w:rPr>
          <w:rFonts w:ascii="Arial" w:hAnsi="Arial" w:cs="Arial"/>
          <w:sz w:val="24"/>
          <w:szCs w:val="24"/>
        </w:rPr>
      </w:pPr>
      <w:r w:rsidRPr="000D21E3">
        <w:rPr>
          <w:rFonts w:ascii="Arial" w:hAnsi="Arial" w:cs="Arial"/>
          <w:sz w:val="24"/>
          <w:szCs w:val="24"/>
        </w:rPr>
        <w:t xml:space="preserve">15 hours entitlement for eligible working parents of </w:t>
      </w:r>
      <w:r w:rsidR="00C805F6">
        <w:rPr>
          <w:rFonts w:ascii="Arial" w:hAnsi="Arial" w:cs="Arial"/>
          <w:sz w:val="24"/>
          <w:szCs w:val="24"/>
        </w:rPr>
        <w:t xml:space="preserve">two </w:t>
      </w:r>
      <w:r w:rsidRPr="000D21E3">
        <w:rPr>
          <w:rFonts w:ascii="Arial" w:hAnsi="Arial" w:cs="Arial"/>
          <w:sz w:val="24"/>
          <w:szCs w:val="24"/>
        </w:rPr>
        <w:t>year</w:t>
      </w:r>
      <w:r w:rsidR="00C805F6">
        <w:rPr>
          <w:rFonts w:ascii="Arial" w:hAnsi="Arial" w:cs="Arial"/>
          <w:sz w:val="24"/>
          <w:szCs w:val="24"/>
        </w:rPr>
        <w:t xml:space="preserve"> </w:t>
      </w:r>
      <w:r w:rsidRPr="000D21E3">
        <w:rPr>
          <w:rFonts w:ascii="Arial" w:hAnsi="Arial" w:cs="Arial"/>
          <w:sz w:val="24"/>
          <w:szCs w:val="24"/>
        </w:rPr>
        <w:t xml:space="preserve">old children (new entitlement from 1 April 2024) </w:t>
      </w:r>
    </w:p>
    <w:p w14:paraId="2B968977" w14:textId="47C70E9B" w:rsidR="009D4C72" w:rsidRPr="00F67900" w:rsidRDefault="009D4C72" w:rsidP="000D21E3">
      <w:pPr>
        <w:pStyle w:val="ListParagraph"/>
        <w:numPr>
          <w:ilvl w:val="1"/>
          <w:numId w:val="32"/>
        </w:numPr>
        <w:rPr>
          <w:rFonts w:ascii="Arial" w:hAnsi="Arial" w:cs="Arial"/>
          <w:color w:val="0B0C0C"/>
        </w:rPr>
      </w:pPr>
      <w:r w:rsidRPr="000D21E3">
        <w:rPr>
          <w:rFonts w:ascii="Arial" w:hAnsi="Arial" w:cs="Arial"/>
          <w:sz w:val="24"/>
          <w:szCs w:val="24"/>
        </w:rPr>
        <w:t xml:space="preserve">the 15 hours entitlement for eligible working parents of children from </w:t>
      </w:r>
      <w:r w:rsidR="00364971">
        <w:rPr>
          <w:rFonts w:ascii="Arial" w:hAnsi="Arial" w:cs="Arial"/>
          <w:sz w:val="24"/>
          <w:szCs w:val="24"/>
        </w:rPr>
        <w:t>nine</w:t>
      </w:r>
      <w:r w:rsidRPr="00426410">
        <w:rPr>
          <w:rFonts w:ascii="Arial" w:hAnsi="Arial" w:cs="Arial"/>
          <w:color w:val="0B0C0C"/>
          <w:sz w:val="24"/>
          <w:szCs w:val="24"/>
        </w:rPr>
        <w:t xml:space="preserve"> months to </w:t>
      </w:r>
      <w:r w:rsidR="00364971">
        <w:rPr>
          <w:rFonts w:ascii="Arial" w:hAnsi="Arial" w:cs="Arial"/>
          <w:color w:val="0B0C0C"/>
          <w:sz w:val="24"/>
          <w:szCs w:val="24"/>
        </w:rPr>
        <w:t>two</w:t>
      </w:r>
      <w:r w:rsidRPr="00426410">
        <w:rPr>
          <w:rFonts w:ascii="Arial" w:hAnsi="Arial" w:cs="Arial"/>
          <w:color w:val="0B0C0C"/>
          <w:sz w:val="24"/>
          <w:szCs w:val="24"/>
        </w:rPr>
        <w:t xml:space="preserve"> years old (new entitlement from 1 September 2024)</w:t>
      </w:r>
      <w:r w:rsidR="000D21E3">
        <w:rPr>
          <w:rFonts w:ascii="Arial" w:hAnsi="Arial" w:cs="Arial"/>
          <w:color w:val="0B0C0C"/>
          <w:sz w:val="24"/>
          <w:szCs w:val="24"/>
        </w:rPr>
        <w:t>.</w:t>
      </w:r>
    </w:p>
    <w:p w14:paraId="334FA14D" w14:textId="77777777" w:rsidR="00F67900" w:rsidRPr="006B47DD" w:rsidRDefault="00F67900" w:rsidP="00F67900">
      <w:pPr>
        <w:pStyle w:val="ListParagraph"/>
        <w:ind w:left="1440"/>
        <w:rPr>
          <w:rFonts w:ascii="Arial" w:hAnsi="Arial" w:cs="Arial"/>
          <w:color w:val="0B0C0C"/>
        </w:rPr>
      </w:pPr>
    </w:p>
    <w:p w14:paraId="64EC42BF" w14:textId="55918000" w:rsidR="006B47DD" w:rsidRPr="0014419F" w:rsidRDefault="0014419F" w:rsidP="0014419F">
      <w:pPr>
        <w:pStyle w:val="ListParagraph"/>
        <w:numPr>
          <w:ilvl w:val="1"/>
          <w:numId w:val="1"/>
        </w:numPr>
        <w:ind w:left="1080" w:hanging="720"/>
        <w:rPr>
          <w:rFonts w:ascii="Arial" w:hAnsi="Arial" w:cs="Arial"/>
          <w:sz w:val="24"/>
          <w:szCs w:val="24"/>
        </w:rPr>
      </w:pPr>
      <w:r w:rsidRPr="0014419F">
        <w:rPr>
          <w:rFonts w:ascii="Arial" w:hAnsi="Arial" w:cs="Arial"/>
          <w:sz w:val="24"/>
          <w:szCs w:val="24"/>
        </w:rPr>
        <w:t>There are no changes to the current entitlements:</w:t>
      </w:r>
    </w:p>
    <w:p w14:paraId="635FDCC3" w14:textId="3956FC70" w:rsidR="006B47DD" w:rsidRPr="000D21E3" w:rsidRDefault="006B47DD" w:rsidP="006B47DD">
      <w:pPr>
        <w:pStyle w:val="ListParagraph"/>
        <w:numPr>
          <w:ilvl w:val="1"/>
          <w:numId w:val="32"/>
        </w:numPr>
        <w:rPr>
          <w:rFonts w:ascii="Arial" w:hAnsi="Arial" w:cs="Arial"/>
          <w:sz w:val="24"/>
          <w:szCs w:val="24"/>
        </w:rPr>
      </w:pPr>
      <w:r w:rsidRPr="000D21E3">
        <w:rPr>
          <w:rFonts w:ascii="Arial" w:hAnsi="Arial" w:cs="Arial"/>
          <w:sz w:val="24"/>
          <w:szCs w:val="24"/>
        </w:rPr>
        <w:t xml:space="preserve">universal 15 hours entitlement for all </w:t>
      </w:r>
      <w:r w:rsidR="00364971">
        <w:rPr>
          <w:rFonts w:ascii="Arial" w:hAnsi="Arial" w:cs="Arial"/>
          <w:sz w:val="24"/>
          <w:szCs w:val="24"/>
        </w:rPr>
        <w:t>three</w:t>
      </w:r>
      <w:r w:rsidRPr="000D21E3">
        <w:rPr>
          <w:rFonts w:ascii="Arial" w:hAnsi="Arial" w:cs="Arial"/>
          <w:sz w:val="24"/>
          <w:szCs w:val="24"/>
        </w:rPr>
        <w:t xml:space="preserve"> and</w:t>
      </w:r>
      <w:r w:rsidR="00364971">
        <w:rPr>
          <w:rFonts w:ascii="Arial" w:hAnsi="Arial" w:cs="Arial"/>
          <w:sz w:val="24"/>
          <w:szCs w:val="24"/>
        </w:rPr>
        <w:t xml:space="preserve"> four</w:t>
      </w:r>
      <w:r w:rsidR="00CC0ECB">
        <w:rPr>
          <w:rFonts w:ascii="Arial" w:hAnsi="Arial" w:cs="Arial"/>
          <w:sz w:val="24"/>
          <w:szCs w:val="24"/>
        </w:rPr>
        <w:t xml:space="preserve"> </w:t>
      </w:r>
      <w:r w:rsidRPr="000D21E3">
        <w:rPr>
          <w:rFonts w:ascii="Arial" w:hAnsi="Arial" w:cs="Arial"/>
          <w:sz w:val="24"/>
          <w:szCs w:val="24"/>
        </w:rPr>
        <w:t>year</w:t>
      </w:r>
      <w:r w:rsidR="00364971">
        <w:rPr>
          <w:rFonts w:ascii="Arial" w:hAnsi="Arial" w:cs="Arial"/>
          <w:sz w:val="24"/>
          <w:szCs w:val="24"/>
        </w:rPr>
        <w:t xml:space="preserve"> </w:t>
      </w:r>
      <w:r w:rsidRPr="000D21E3">
        <w:rPr>
          <w:rFonts w:ascii="Arial" w:hAnsi="Arial" w:cs="Arial"/>
          <w:sz w:val="24"/>
          <w:szCs w:val="24"/>
        </w:rPr>
        <w:t>olds</w:t>
      </w:r>
    </w:p>
    <w:p w14:paraId="6FA509C4" w14:textId="18E89A73" w:rsidR="006B47DD" w:rsidRDefault="006B47DD" w:rsidP="006B47DD">
      <w:pPr>
        <w:pStyle w:val="ListParagraph"/>
        <w:numPr>
          <w:ilvl w:val="1"/>
          <w:numId w:val="32"/>
        </w:numPr>
        <w:rPr>
          <w:rFonts w:ascii="Arial" w:hAnsi="Arial" w:cs="Arial"/>
          <w:sz w:val="24"/>
          <w:szCs w:val="24"/>
        </w:rPr>
      </w:pPr>
      <w:r w:rsidRPr="000D21E3">
        <w:rPr>
          <w:rFonts w:ascii="Arial" w:hAnsi="Arial" w:cs="Arial"/>
          <w:sz w:val="24"/>
          <w:szCs w:val="24"/>
        </w:rPr>
        <w:t xml:space="preserve">additional 15 hours entitlement for eligible working parents of </w:t>
      </w:r>
      <w:r w:rsidR="00CC0ECB">
        <w:rPr>
          <w:rFonts w:ascii="Arial" w:hAnsi="Arial" w:cs="Arial"/>
          <w:sz w:val="24"/>
          <w:szCs w:val="24"/>
        </w:rPr>
        <w:t>three</w:t>
      </w:r>
      <w:r w:rsidRPr="000D21E3">
        <w:rPr>
          <w:rFonts w:ascii="Arial" w:hAnsi="Arial" w:cs="Arial"/>
          <w:sz w:val="24"/>
          <w:szCs w:val="24"/>
        </w:rPr>
        <w:t xml:space="preserve"> and </w:t>
      </w:r>
      <w:r w:rsidR="00CC0ECB">
        <w:rPr>
          <w:rFonts w:ascii="Arial" w:hAnsi="Arial" w:cs="Arial"/>
          <w:sz w:val="24"/>
          <w:szCs w:val="24"/>
        </w:rPr>
        <w:t xml:space="preserve">four </w:t>
      </w:r>
      <w:r w:rsidRPr="000D21E3">
        <w:rPr>
          <w:rFonts w:ascii="Arial" w:hAnsi="Arial" w:cs="Arial"/>
          <w:sz w:val="24"/>
          <w:szCs w:val="24"/>
        </w:rPr>
        <w:t>year</w:t>
      </w:r>
      <w:r w:rsidR="00CC0ECB">
        <w:rPr>
          <w:rFonts w:ascii="Arial" w:hAnsi="Arial" w:cs="Arial"/>
          <w:sz w:val="24"/>
          <w:szCs w:val="24"/>
        </w:rPr>
        <w:t xml:space="preserve"> </w:t>
      </w:r>
      <w:r w:rsidRPr="000D21E3">
        <w:rPr>
          <w:rFonts w:ascii="Arial" w:hAnsi="Arial" w:cs="Arial"/>
          <w:sz w:val="24"/>
          <w:szCs w:val="24"/>
        </w:rPr>
        <w:t xml:space="preserve">olds </w:t>
      </w:r>
    </w:p>
    <w:p w14:paraId="297497BF" w14:textId="3F3D460A" w:rsidR="006B47DD" w:rsidRDefault="006B47DD" w:rsidP="006B47DD">
      <w:pPr>
        <w:pStyle w:val="ListParagraph"/>
        <w:numPr>
          <w:ilvl w:val="1"/>
          <w:numId w:val="32"/>
        </w:numPr>
        <w:rPr>
          <w:rFonts w:ascii="Arial" w:hAnsi="Arial" w:cs="Arial"/>
          <w:sz w:val="24"/>
          <w:szCs w:val="24"/>
        </w:rPr>
      </w:pPr>
      <w:r w:rsidRPr="000D21E3">
        <w:rPr>
          <w:rFonts w:ascii="Arial" w:hAnsi="Arial" w:cs="Arial"/>
          <w:sz w:val="24"/>
          <w:szCs w:val="24"/>
        </w:rPr>
        <w:t xml:space="preserve">15 hours entitlement for disadvantaged </w:t>
      </w:r>
      <w:r w:rsidR="00CC0ECB">
        <w:rPr>
          <w:rFonts w:ascii="Arial" w:hAnsi="Arial" w:cs="Arial"/>
          <w:sz w:val="24"/>
          <w:szCs w:val="24"/>
        </w:rPr>
        <w:t>two</w:t>
      </w:r>
      <w:r w:rsidR="002A1D47">
        <w:rPr>
          <w:rFonts w:ascii="Arial" w:hAnsi="Arial" w:cs="Arial"/>
          <w:sz w:val="24"/>
          <w:szCs w:val="24"/>
        </w:rPr>
        <w:t xml:space="preserve"> </w:t>
      </w:r>
      <w:r w:rsidRPr="000D21E3">
        <w:rPr>
          <w:rFonts w:ascii="Arial" w:hAnsi="Arial" w:cs="Arial"/>
          <w:sz w:val="24"/>
          <w:szCs w:val="24"/>
        </w:rPr>
        <w:t>year</w:t>
      </w:r>
      <w:r w:rsidR="002A1D47">
        <w:rPr>
          <w:rFonts w:ascii="Arial" w:hAnsi="Arial" w:cs="Arial"/>
          <w:sz w:val="24"/>
          <w:szCs w:val="24"/>
        </w:rPr>
        <w:t xml:space="preserve"> </w:t>
      </w:r>
      <w:r w:rsidRPr="000D21E3">
        <w:rPr>
          <w:rFonts w:ascii="Arial" w:hAnsi="Arial" w:cs="Arial"/>
          <w:sz w:val="24"/>
          <w:szCs w:val="24"/>
        </w:rPr>
        <w:t>olds</w:t>
      </w:r>
      <w:r w:rsidR="00F67900">
        <w:rPr>
          <w:rFonts w:ascii="Arial" w:hAnsi="Arial" w:cs="Arial"/>
          <w:sz w:val="24"/>
          <w:szCs w:val="24"/>
        </w:rPr>
        <w:t>.</w:t>
      </w:r>
    </w:p>
    <w:p w14:paraId="71ED7249" w14:textId="77777777" w:rsidR="00310CE9" w:rsidRPr="000D21E3" w:rsidRDefault="00310CE9" w:rsidP="00310CE9">
      <w:pPr>
        <w:pStyle w:val="ListParagraph"/>
        <w:ind w:left="1440"/>
        <w:rPr>
          <w:rFonts w:ascii="Arial" w:hAnsi="Arial" w:cs="Arial"/>
          <w:sz w:val="24"/>
          <w:szCs w:val="24"/>
        </w:rPr>
      </w:pPr>
    </w:p>
    <w:p w14:paraId="6B396B48" w14:textId="0E1BD42D" w:rsidR="00310CE9" w:rsidRDefault="00310CE9" w:rsidP="00310CE9">
      <w:pPr>
        <w:pStyle w:val="ListParagraph"/>
        <w:numPr>
          <w:ilvl w:val="0"/>
          <w:numId w:val="1"/>
        </w:numPr>
        <w:rPr>
          <w:rFonts w:ascii="Arial" w:hAnsi="Arial" w:cs="Arial"/>
          <w:b/>
          <w:bCs/>
          <w:sz w:val="24"/>
          <w:szCs w:val="24"/>
        </w:rPr>
      </w:pPr>
      <w:r>
        <w:rPr>
          <w:rFonts w:ascii="Arial" w:hAnsi="Arial" w:cs="Arial"/>
          <w:b/>
          <w:bCs/>
          <w:sz w:val="24"/>
          <w:szCs w:val="24"/>
        </w:rPr>
        <w:t xml:space="preserve">Local </w:t>
      </w:r>
      <w:r w:rsidR="00BA5D05">
        <w:rPr>
          <w:rFonts w:ascii="Arial" w:hAnsi="Arial" w:cs="Arial"/>
          <w:b/>
          <w:bCs/>
          <w:sz w:val="24"/>
          <w:szCs w:val="24"/>
        </w:rPr>
        <w:t>A</w:t>
      </w:r>
      <w:r>
        <w:rPr>
          <w:rFonts w:ascii="Arial" w:hAnsi="Arial" w:cs="Arial"/>
          <w:b/>
          <w:bCs/>
          <w:sz w:val="24"/>
          <w:szCs w:val="24"/>
        </w:rPr>
        <w:t xml:space="preserve">uthority </w:t>
      </w:r>
      <w:r w:rsidR="00BA5D05">
        <w:rPr>
          <w:rFonts w:ascii="Arial" w:hAnsi="Arial" w:cs="Arial"/>
          <w:b/>
          <w:bCs/>
          <w:sz w:val="24"/>
          <w:szCs w:val="24"/>
        </w:rPr>
        <w:t xml:space="preserve">National </w:t>
      </w:r>
      <w:r w:rsidRPr="004C4129">
        <w:rPr>
          <w:rFonts w:ascii="Arial" w:hAnsi="Arial" w:cs="Arial"/>
          <w:b/>
          <w:bCs/>
          <w:sz w:val="24"/>
          <w:szCs w:val="24"/>
        </w:rPr>
        <w:t xml:space="preserve">Funding </w:t>
      </w:r>
      <w:r w:rsidR="00BA5D05">
        <w:rPr>
          <w:rFonts w:ascii="Arial" w:hAnsi="Arial" w:cs="Arial"/>
          <w:b/>
          <w:bCs/>
          <w:sz w:val="24"/>
          <w:szCs w:val="24"/>
        </w:rPr>
        <w:t>F</w:t>
      </w:r>
      <w:r w:rsidRPr="004C4129">
        <w:rPr>
          <w:rFonts w:ascii="Arial" w:hAnsi="Arial" w:cs="Arial"/>
          <w:b/>
          <w:bCs/>
          <w:sz w:val="24"/>
          <w:szCs w:val="24"/>
        </w:rPr>
        <w:t xml:space="preserve">ormula for </w:t>
      </w:r>
      <w:proofErr w:type="gramStart"/>
      <w:r w:rsidR="002A1D47">
        <w:rPr>
          <w:rFonts w:ascii="Arial" w:hAnsi="Arial" w:cs="Arial"/>
          <w:b/>
          <w:bCs/>
          <w:sz w:val="24"/>
          <w:szCs w:val="24"/>
        </w:rPr>
        <w:t xml:space="preserve">two </w:t>
      </w:r>
      <w:r w:rsidRPr="004C4129">
        <w:rPr>
          <w:rFonts w:ascii="Arial" w:hAnsi="Arial" w:cs="Arial"/>
          <w:b/>
          <w:bCs/>
          <w:sz w:val="24"/>
          <w:szCs w:val="24"/>
        </w:rPr>
        <w:t>year</w:t>
      </w:r>
      <w:r w:rsidR="002A1D47">
        <w:rPr>
          <w:rFonts w:ascii="Arial" w:hAnsi="Arial" w:cs="Arial"/>
          <w:b/>
          <w:bCs/>
          <w:sz w:val="24"/>
          <w:szCs w:val="24"/>
        </w:rPr>
        <w:t xml:space="preserve"> </w:t>
      </w:r>
      <w:r w:rsidRPr="004C4129">
        <w:rPr>
          <w:rFonts w:ascii="Arial" w:hAnsi="Arial" w:cs="Arial"/>
          <w:b/>
          <w:bCs/>
          <w:sz w:val="24"/>
          <w:szCs w:val="24"/>
        </w:rPr>
        <w:t>olds</w:t>
      </w:r>
      <w:proofErr w:type="gramEnd"/>
      <w:r w:rsidRPr="004C4129">
        <w:rPr>
          <w:rFonts w:ascii="Arial" w:hAnsi="Arial" w:cs="Arial"/>
          <w:b/>
          <w:bCs/>
          <w:sz w:val="24"/>
          <w:szCs w:val="24"/>
        </w:rPr>
        <w:t xml:space="preserve"> and children aged </w:t>
      </w:r>
      <w:r w:rsidR="00D1737B">
        <w:rPr>
          <w:rFonts w:ascii="Arial" w:hAnsi="Arial" w:cs="Arial"/>
          <w:b/>
          <w:bCs/>
          <w:sz w:val="24"/>
          <w:szCs w:val="24"/>
        </w:rPr>
        <w:t>nine</w:t>
      </w:r>
      <w:r w:rsidRPr="004C4129">
        <w:rPr>
          <w:rFonts w:ascii="Arial" w:hAnsi="Arial" w:cs="Arial"/>
          <w:b/>
          <w:bCs/>
          <w:sz w:val="24"/>
          <w:szCs w:val="24"/>
        </w:rPr>
        <w:t xml:space="preserve"> months up to </w:t>
      </w:r>
      <w:r w:rsidR="00D1737B">
        <w:rPr>
          <w:rFonts w:ascii="Arial" w:hAnsi="Arial" w:cs="Arial"/>
          <w:b/>
          <w:bCs/>
          <w:sz w:val="24"/>
          <w:szCs w:val="24"/>
        </w:rPr>
        <w:t>two</w:t>
      </w:r>
      <w:r w:rsidRPr="004C4129">
        <w:rPr>
          <w:rFonts w:ascii="Arial" w:hAnsi="Arial" w:cs="Arial"/>
          <w:b/>
          <w:bCs/>
          <w:sz w:val="24"/>
          <w:szCs w:val="24"/>
        </w:rPr>
        <w:t xml:space="preserve"> years old</w:t>
      </w:r>
    </w:p>
    <w:p w14:paraId="14D59894" w14:textId="77777777" w:rsidR="00310CE9" w:rsidRPr="000E0484" w:rsidRDefault="00310CE9" w:rsidP="00310CE9">
      <w:pPr>
        <w:pStyle w:val="ListParagraph"/>
        <w:rPr>
          <w:rFonts w:ascii="Arial" w:hAnsi="Arial" w:cs="Arial"/>
          <w:b/>
          <w:bCs/>
          <w:sz w:val="24"/>
          <w:szCs w:val="24"/>
        </w:rPr>
      </w:pPr>
    </w:p>
    <w:p w14:paraId="614B1D23" w14:textId="6F65C737" w:rsidR="00310CE9" w:rsidRPr="009C0DC3" w:rsidRDefault="00310CE9" w:rsidP="00585FF3">
      <w:pPr>
        <w:pStyle w:val="ListParagraph"/>
        <w:numPr>
          <w:ilvl w:val="1"/>
          <w:numId w:val="1"/>
        </w:numPr>
        <w:ind w:left="1080" w:hanging="720"/>
        <w:rPr>
          <w:rFonts w:ascii="Arial" w:hAnsi="Arial" w:cs="Arial"/>
          <w:sz w:val="24"/>
          <w:szCs w:val="24"/>
        </w:rPr>
      </w:pPr>
      <w:r w:rsidRPr="009C0DC3">
        <w:rPr>
          <w:rFonts w:ascii="Arial" w:hAnsi="Arial" w:cs="Arial"/>
          <w:sz w:val="24"/>
          <w:szCs w:val="24"/>
        </w:rPr>
        <w:t>For 2024 to 2025, the DfE are introducing a new</w:t>
      </w:r>
      <w:r>
        <w:rPr>
          <w:rFonts w:ascii="Arial" w:hAnsi="Arial" w:cs="Arial"/>
          <w:sz w:val="24"/>
          <w:szCs w:val="24"/>
        </w:rPr>
        <w:t xml:space="preserve"> </w:t>
      </w:r>
      <w:r w:rsidRPr="009C0DC3">
        <w:rPr>
          <w:rFonts w:ascii="Arial" w:hAnsi="Arial" w:cs="Arial"/>
          <w:sz w:val="24"/>
          <w:szCs w:val="24"/>
        </w:rPr>
        <w:t>National Funding Formula </w:t>
      </w:r>
      <w:r w:rsidR="00BA5D05">
        <w:rPr>
          <w:rFonts w:ascii="Arial" w:hAnsi="Arial" w:cs="Arial"/>
          <w:sz w:val="24"/>
          <w:szCs w:val="24"/>
        </w:rPr>
        <w:t xml:space="preserve">(NFF) </w:t>
      </w:r>
      <w:r w:rsidRPr="009C0DC3">
        <w:rPr>
          <w:rFonts w:ascii="Arial" w:hAnsi="Arial" w:cs="Arial"/>
          <w:sz w:val="24"/>
          <w:szCs w:val="24"/>
        </w:rPr>
        <w:t xml:space="preserve">for the existing entitlement for disadvantaged </w:t>
      </w:r>
      <w:r w:rsidR="00D1737B">
        <w:rPr>
          <w:rFonts w:ascii="Arial" w:hAnsi="Arial" w:cs="Arial"/>
          <w:sz w:val="24"/>
          <w:szCs w:val="24"/>
        </w:rPr>
        <w:t>two</w:t>
      </w:r>
      <w:r w:rsidR="00263C07">
        <w:rPr>
          <w:rFonts w:ascii="Arial" w:hAnsi="Arial" w:cs="Arial"/>
          <w:sz w:val="24"/>
          <w:szCs w:val="24"/>
        </w:rPr>
        <w:t xml:space="preserve"> </w:t>
      </w:r>
      <w:r w:rsidRPr="009C0DC3">
        <w:rPr>
          <w:rFonts w:ascii="Arial" w:hAnsi="Arial" w:cs="Arial"/>
          <w:sz w:val="24"/>
          <w:szCs w:val="24"/>
        </w:rPr>
        <w:t>year</w:t>
      </w:r>
      <w:r w:rsidR="00263C07">
        <w:rPr>
          <w:rFonts w:ascii="Arial" w:hAnsi="Arial" w:cs="Arial"/>
          <w:sz w:val="24"/>
          <w:szCs w:val="24"/>
        </w:rPr>
        <w:t xml:space="preserve"> </w:t>
      </w:r>
      <w:r w:rsidRPr="009C0DC3">
        <w:rPr>
          <w:rFonts w:ascii="Arial" w:hAnsi="Arial" w:cs="Arial"/>
          <w:sz w:val="24"/>
          <w:szCs w:val="24"/>
        </w:rPr>
        <w:t xml:space="preserve">olds and for the new working parent entitlements for children aged </w:t>
      </w:r>
      <w:r w:rsidR="00263C07">
        <w:rPr>
          <w:rFonts w:ascii="Arial" w:hAnsi="Arial" w:cs="Arial"/>
          <w:sz w:val="24"/>
          <w:szCs w:val="24"/>
        </w:rPr>
        <w:t>nine</w:t>
      </w:r>
      <w:r w:rsidRPr="009C0DC3">
        <w:rPr>
          <w:rFonts w:ascii="Arial" w:hAnsi="Arial" w:cs="Arial"/>
          <w:sz w:val="24"/>
          <w:szCs w:val="24"/>
        </w:rPr>
        <w:t xml:space="preserve"> months up to and including </w:t>
      </w:r>
      <w:r w:rsidR="00976765">
        <w:rPr>
          <w:rFonts w:ascii="Arial" w:hAnsi="Arial" w:cs="Arial"/>
          <w:sz w:val="24"/>
          <w:szCs w:val="24"/>
        </w:rPr>
        <w:t xml:space="preserve">two </w:t>
      </w:r>
      <w:r w:rsidRPr="009C0DC3">
        <w:rPr>
          <w:rFonts w:ascii="Arial" w:hAnsi="Arial" w:cs="Arial"/>
          <w:sz w:val="24"/>
          <w:szCs w:val="24"/>
        </w:rPr>
        <w:t xml:space="preserve">year olds. The funding formula will reflect the existing </w:t>
      </w:r>
      <w:r w:rsidR="000E5678">
        <w:rPr>
          <w:rFonts w:ascii="Arial" w:hAnsi="Arial" w:cs="Arial"/>
          <w:sz w:val="24"/>
          <w:szCs w:val="24"/>
        </w:rPr>
        <w:t>NFF</w:t>
      </w:r>
      <w:r w:rsidRPr="009C0DC3">
        <w:rPr>
          <w:rFonts w:ascii="Arial" w:hAnsi="Arial" w:cs="Arial"/>
          <w:sz w:val="24"/>
          <w:szCs w:val="24"/>
        </w:rPr>
        <w:t xml:space="preserve"> for the </w:t>
      </w:r>
      <w:r w:rsidR="00976765">
        <w:rPr>
          <w:rFonts w:ascii="Arial" w:hAnsi="Arial" w:cs="Arial"/>
          <w:sz w:val="24"/>
          <w:szCs w:val="24"/>
        </w:rPr>
        <w:t>three</w:t>
      </w:r>
      <w:r w:rsidRPr="009C0DC3">
        <w:rPr>
          <w:rFonts w:ascii="Arial" w:hAnsi="Arial" w:cs="Arial"/>
          <w:sz w:val="24"/>
          <w:szCs w:val="24"/>
        </w:rPr>
        <w:t xml:space="preserve"> and </w:t>
      </w:r>
      <w:r w:rsidR="00976765">
        <w:rPr>
          <w:rFonts w:ascii="Arial" w:hAnsi="Arial" w:cs="Arial"/>
          <w:sz w:val="24"/>
          <w:szCs w:val="24"/>
        </w:rPr>
        <w:t xml:space="preserve">four </w:t>
      </w:r>
      <w:r w:rsidR="00976765" w:rsidRPr="009C0DC3">
        <w:rPr>
          <w:rFonts w:ascii="Arial" w:hAnsi="Arial" w:cs="Arial"/>
          <w:sz w:val="24"/>
          <w:szCs w:val="24"/>
        </w:rPr>
        <w:t>year old</w:t>
      </w:r>
      <w:r w:rsidRPr="009C0DC3">
        <w:rPr>
          <w:rFonts w:ascii="Arial" w:hAnsi="Arial" w:cs="Arial"/>
          <w:sz w:val="24"/>
          <w:szCs w:val="24"/>
        </w:rPr>
        <w:t xml:space="preserve"> entitlements and will include:</w:t>
      </w:r>
    </w:p>
    <w:p w14:paraId="19A9AA79" w14:textId="77777777" w:rsidR="00310CE9" w:rsidRPr="00C92906" w:rsidRDefault="00310CE9" w:rsidP="00C92906">
      <w:pPr>
        <w:pStyle w:val="ListParagraph"/>
        <w:numPr>
          <w:ilvl w:val="1"/>
          <w:numId w:val="32"/>
        </w:numPr>
        <w:rPr>
          <w:rFonts w:ascii="Arial" w:hAnsi="Arial" w:cs="Arial"/>
          <w:sz w:val="24"/>
          <w:szCs w:val="24"/>
        </w:rPr>
      </w:pPr>
      <w:r w:rsidRPr="00C92906">
        <w:rPr>
          <w:rFonts w:ascii="Arial" w:hAnsi="Arial" w:cs="Arial"/>
          <w:sz w:val="24"/>
          <w:szCs w:val="24"/>
        </w:rPr>
        <w:t>a universal base rate of funding for each child (89.5% of funding)</w:t>
      </w:r>
    </w:p>
    <w:p w14:paraId="1CFDA6DF" w14:textId="77777777" w:rsidR="00310CE9" w:rsidRPr="00C92906" w:rsidRDefault="00310CE9" w:rsidP="00C92906">
      <w:pPr>
        <w:pStyle w:val="ListParagraph"/>
        <w:numPr>
          <w:ilvl w:val="1"/>
          <w:numId w:val="32"/>
        </w:numPr>
        <w:rPr>
          <w:rFonts w:ascii="Arial" w:hAnsi="Arial" w:cs="Arial"/>
          <w:sz w:val="24"/>
          <w:szCs w:val="24"/>
        </w:rPr>
      </w:pPr>
      <w:r w:rsidRPr="00C92906">
        <w:rPr>
          <w:rFonts w:ascii="Arial" w:hAnsi="Arial" w:cs="Arial"/>
          <w:sz w:val="24"/>
          <w:szCs w:val="24"/>
        </w:rPr>
        <w:t>an additional needs factor (10.5% of funding)</w:t>
      </w:r>
    </w:p>
    <w:p w14:paraId="49F7745B" w14:textId="77777777" w:rsidR="00310CE9" w:rsidRPr="00C92906" w:rsidRDefault="00310CE9" w:rsidP="00C92906">
      <w:pPr>
        <w:pStyle w:val="ListParagraph"/>
        <w:numPr>
          <w:ilvl w:val="1"/>
          <w:numId w:val="32"/>
        </w:numPr>
        <w:rPr>
          <w:rFonts w:ascii="Arial" w:hAnsi="Arial" w:cs="Arial"/>
          <w:sz w:val="24"/>
          <w:szCs w:val="24"/>
        </w:rPr>
      </w:pPr>
      <w:r w:rsidRPr="00C92906">
        <w:rPr>
          <w:rFonts w:ascii="Arial" w:hAnsi="Arial" w:cs="Arial"/>
          <w:sz w:val="24"/>
          <w:szCs w:val="24"/>
        </w:rPr>
        <w:t>an area cost adjustment (ACA) to reflect variations in costs across England.</w:t>
      </w:r>
    </w:p>
    <w:p w14:paraId="35379B81" w14:textId="77777777" w:rsidR="00310CE9" w:rsidRDefault="00310CE9" w:rsidP="00310CE9">
      <w:pPr>
        <w:pStyle w:val="ListParagraph"/>
        <w:ind w:left="360"/>
        <w:rPr>
          <w:rFonts w:ascii="Arial" w:hAnsi="Arial" w:cs="Arial"/>
          <w:b/>
          <w:bCs/>
          <w:sz w:val="24"/>
          <w:szCs w:val="24"/>
        </w:rPr>
      </w:pPr>
      <w:r>
        <w:rPr>
          <w:rFonts w:ascii="Arial" w:hAnsi="Arial" w:cs="Arial"/>
          <w:noProof/>
          <w:sz w:val="24"/>
          <w:szCs w:val="24"/>
        </w:rPr>
        <w:drawing>
          <wp:anchor distT="0" distB="0" distL="114300" distR="114300" simplePos="0" relativeHeight="251658240" behindDoc="0" locked="0" layoutInCell="1" allowOverlap="1" wp14:anchorId="6860F2C0" wp14:editId="6A4D92BA">
            <wp:simplePos x="0" y="0"/>
            <wp:positionH relativeFrom="margin">
              <wp:align>center</wp:align>
            </wp:positionH>
            <wp:positionV relativeFrom="paragraph">
              <wp:posOffset>168910</wp:posOffset>
            </wp:positionV>
            <wp:extent cx="4681643" cy="1005840"/>
            <wp:effectExtent l="0" t="0" r="5080" b="3810"/>
            <wp:wrapNone/>
            <wp:docPr id="478307891" name="Picture 47830789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643" cy="1005840"/>
                    </a:xfrm>
                    <a:prstGeom prst="rect">
                      <a:avLst/>
                    </a:prstGeom>
                    <a:noFill/>
                  </pic:spPr>
                </pic:pic>
              </a:graphicData>
            </a:graphic>
          </wp:anchor>
        </w:drawing>
      </w:r>
    </w:p>
    <w:p w14:paraId="3155728A" w14:textId="77777777" w:rsidR="00310CE9" w:rsidRDefault="00310CE9" w:rsidP="00310CE9">
      <w:pPr>
        <w:pStyle w:val="ListParagraph"/>
        <w:ind w:left="360"/>
        <w:rPr>
          <w:rFonts w:ascii="Arial" w:hAnsi="Arial" w:cs="Arial"/>
          <w:b/>
          <w:bCs/>
          <w:sz w:val="24"/>
          <w:szCs w:val="24"/>
        </w:rPr>
      </w:pPr>
    </w:p>
    <w:p w14:paraId="3617E755" w14:textId="77777777" w:rsidR="00310CE9" w:rsidRDefault="00310CE9" w:rsidP="00310CE9">
      <w:pPr>
        <w:pStyle w:val="ListParagraph"/>
        <w:ind w:left="360"/>
        <w:rPr>
          <w:rFonts w:ascii="Arial" w:hAnsi="Arial" w:cs="Arial"/>
          <w:b/>
          <w:bCs/>
          <w:sz w:val="24"/>
          <w:szCs w:val="24"/>
        </w:rPr>
      </w:pPr>
    </w:p>
    <w:p w14:paraId="4E12817E" w14:textId="77777777" w:rsidR="00310CE9" w:rsidRDefault="00310CE9" w:rsidP="00310CE9">
      <w:pPr>
        <w:pStyle w:val="ListParagraph"/>
        <w:ind w:left="360"/>
        <w:rPr>
          <w:rFonts w:ascii="Arial" w:hAnsi="Arial" w:cs="Arial"/>
          <w:b/>
          <w:bCs/>
          <w:sz w:val="24"/>
          <w:szCs w:val="24"/>
        </w:rPr>
      </w:pPr>
    </w:p>
    <w:p w14:paraId="36FEA1E8" w14:textId="77777777" w:rsidR="00310CE9" w:rsidRDefault="00310CE9" w:rsidP="00310CE9">
      <w:pPr>
        <w:pStyle w:val="ListParagraph"/>
        <w:ind w:left="360"/>
        <w:rPr>
          <w:rFonts w:ascii="Arial" w:hAnsi="Arial" w:cs="Arial"/>
          <w:b/>
          <w:bCs/>
          <w:sz w:val="24"/>
          <w:szCs w:val="24"/>
        </w:rPr>
      </w:pPr>
    </w:p>
    <w:p w14:paraId="619600AB" w14:textId="77777777" w:rsidR="00310CE9" w:rsidRDefault="00310CE9" w:rsidP="00310CE9">
      <w:pPr>
        <w:pStyle w:val="ListParagraph"/>
        <w:ind w:left="360"/>
        <w:rPr>
          <w:rFonts w:ascii="Arial" w:hAnsi="Arial" w:cs="Arial"/>
          <w:b/>
          <w:bCs/>
          <w:sz w:val="24"/>
          <w:szCs w:val="24"/>
        </w:rPr>
      </w:pPr>
    </w:p>
    <w:p w14:paraId="52A49396" w14:textId="77777777" w:rsidR="00310CE9" w:rsidRDefault="00310CE9" w:rsidP="00310CE9">
      <w:pPr>
        <w:pStyle w:val="ListParagraph"/>
        <w:ind w:left="360"/>
        <w:rPr>
          <w:rFonts w:ascii="Arial" w:hAnsi="Arial" w:cs="Arial"/>
          <w:b/>
          <w:bCs/>
          <w:sz w:val="24"/>
          <w:szCs w:val="24"/>
        </w:rPr>
      </w:pPr>
    </w:p>
    <w:p w14:paraId="5D53F248" w14:textId="65E9E5F1" w:rsidR="007465B3" w:rsidRDefault="007465B3" w:rsidP="00585FF3">
      <w:pPr>
        <w:pStyle w:val="ListParagraph"/>
        <w:numPr>
          <w:ilvl w:val="1"/>
          <w:numId w:val="1"/>
        </w:numPr>
        <w:ind w:left="1080" w:hanging="720"/>
        <w:rPr>
          <w:rFonts w:ascii="Arial" w:hAnsi="Arial" w:cs="Arial"/>
          <w:sz w:val="24"/>
          <w:szCs w:val="24"/>
        </w:rPr>
      </w:pPr>
      <w:r w:rsidRPr="29028FE8">
        <w:rPr>
          <w:rFonts w:ascii="Arial" w:hAnsi="Arial" w:cs="Arial"/>
          <w:sz w:val="24"/>
          <w:szCs w:val="24"/>
        </w:rPr>
        <w:t xml:space="preserve">Although the structure of the </w:t>
      </w:r>
      <w:r w:rsidR="00976765">
        <w:rPr>
          <w:rFonts w:ascii="Arial" w:hAnsi="Arial" w:cs="Arial"/>
          <w:sz w:val="24"/>
          <w:szCs w:val="24"/>
        </w:rPr>
        <w:t>two</w:t>
      </w:r>
      <w:r w:rsidRPr="29028FE8">
        <w:rPr>
          <w:rFonts w:ascii="Arial" w:hAnsi="Arial" w:cs="Arial"/>
          <w:sz w:val="24"/>
          <w:szCs w:val="24"/>
        </w:rPr>
        <w:t xml:space="preserve"> year old and the under </w:t>
      </w:r>
      <w:r w:rsidR="00AD393B" w:rsidRPr="29028FE8">
        <w:rPr>
          <w:rFonts w:ascii="Arial" w:hAnsi="Arial" w:cs="Arial"/>
          <w:sz w:val="24"/>
          <w:szCs w:val="24"/>
        </w:rPr>
        <w:t>2s formula are the same</w:t>
      </w:r>
      <w:r w:rsidR="00365E82" w:rsidRPr="29028FE8">
        <w:rPr>
          <w:rFonts w:ascii="Arial" w:hAnsi="Arial" w:cs="Arial"/>
          <w:sz w:val="24"/>
          <w:szCs w:val="24"/>
        </w:rPr>
        <w:t>,</w:t>
      </w:r>
      <w:r w:rsidR="00AD393B" w:rsidRPr="29028FE8">
        <w:rPr>
          <w:rFonts w:ascii="Arial" w:hAnsi="Arial" w:cs="Arial"/>
          <w:sz w:val="24"/>
          <w:szCs w:val="24"/>
        </w:rPr>
        <w:t xml:space="preserve"> the rates themselves will vary by age with a higher rate for the under 2</w:t>
      </w:r>
      <w:r w:rsidR="00813590" w:rsidRPr="29028FE8">
        <w:rPr>
          <w:rFonts w:ascii="Arial" w:hAnsi="Arial" w:cs="Arial"/>
          <w:sz w:val="24"/>
          <w:szCs w:val="24"/>
        </w:rPr>
        <w:t>s</w:t>
      </w:r>
      <w:r w:rsidR="00AD393B" w:rsidRPr="29028FE8">
        <w:rPr>
          <w:rFonts w:ascii="Arial" w:hAnsi="Arial" w:cs="Arial"/>
          <w:sz w:val="24"/>
          <w:szCs w:val="24"/>
        </w:rPr>
        <w:t xml:space="preserve"> to reflect the differences </w:t>
      </w:r>
      <w:r w:rsidR="00813590" w:rsidRPr="29028FE8">
        <w:rPr>
          <w:rFonts w:ascii="Arial" w:hAnsi="Arial" w:cs="Arial"/>
          <w:sz w:val="24"/>
          <w:szCs w:val="24"/>
        </w:rPr>
        <w:t>in costs.</w:t>
      </w:r>
    </w:p>
    <w:p w14:paraId="0CE74B75" w14:textId="47C14A80" w:rsidR="009A582F" w:rsidRDefault="009B5665" w:rsidP="007465B3">
      <w:pPr>
        <w:pStyle w:val="ListParagraph"/>
        <w:ind w:left="1080"/>
        <w:rPr>
          <w:rFonts w:ascii="Arial" w:hAnsi="Arial" w:cs="Arial"/>
          <w:sz w:val="24"/>
          <w:szCs w:val="24"/>
        </w:rPr>
      </w:pPr>
      <w:r>
        <w:rPr>
          <w:rFonts w:ascii="Arial" w:hAnsi="Arial" w:cs="Arial"/>
          <w:sz w:val="24"/>
          <w:szCs w:val="24"/>
        </w:rPr>
        <w:t xml:space="preserve"> </w:t>
      </w:r>
    </w:p>
    <w:p w14:paraId="219C52C3" w14:textId="54392901" w:rsidR="00F66467" w:rsidRDefault="00310CE9" w:rsidP="00585FF3">
      <w:pPr>
        <w:pStyle w:val="ListParagraph"/>
        <w:numPr>
          <w:ilvl w:val="1"/>
          <w:numId w:val="1"/>
        </w:numPr>
        <w:ind w:left="1080" w:hanging="720"/>
        <w:rPr>
          <w:rFonts w:ascii="Arial" w:hAnsi="Arial" w:cs="Arial"/>
          <w:sz w:val="24"/>
          <w:szCs w:val="24"/>
        </w:rPr>
      </w:pPr>
      <w:r w:rsidRPr="00C74A63">
        <w:rPr>
          <w:rFonts w:ascii="Arial" w:hAnsi="Arial" w:cs="Arial"/>
          <w:sz w:val="24"/>
          <w:szCs w:val="24"/>
        </w:rPr>
        <w:t xml:space="preserve">The DfE recognises that the </w:t>
      </w:r>
      <w:r w:rsidR="0059183B">
        <w:rPr>
          <w:rFonts w:ascii="Arial" w:hAnsi="Arial" w:cs="Arial"/>
          <w:sz w:val="24"/>
          <w:szCs w:val="24"/>
        </w:rPr>
        <w:t>census</w:t>
      </w:r>
      <w:r w:rsidRPr="00C74A63">
        <w:rPr>
          <w:rFonts w:ascii="Arial" w:hAnsi="Arial" w:cs="Arial"/>
          <w:sz w:val="24"/>
          <w:szCs w:val="24"/>
        </w:rPr>
        <w:t xml:space="preserve"> data used to calculate the funding to local authorities </w:t>
      </w:r>
      <w:r w:rsidR="008D7E91">
        <w:rPr>
          <w:rFonts w:ascii="Arial" w:hAnsi="Arial" w:cs="Arial"/>
          <w:sz w:val="24"/>
          <w:szCs w:val="24"/>
        </w:rPr>
        <w:t xml:space="preserve">for the new entitlements </w:t>
      </w:r>
      <w:r w:rsidRPr="00C74A63">
        <w:rPr>
          <w:rFonts w:ascii="Arial" w:hAnsi="Arial" w:cs="Arial"/>
          <w:sz w:val="24"/>
          <w:szCs w:val="24"/>
        </w:rPr>
        <w:t>will not be available until the January 2025 census</w:t>
      </w:r>
      <w:r>
        <w:rPr>
          <w:rFonts w:ascii="Arial" w:hAnsi="Arial" w:cs="Arial"/>
          <w:sz w:val="24"/>
          <w:szCs w:val="24"/>
        </w:rPr>
        <w:t>.</w:t>
      </w:r>
      <w:r w:rsidR="00AC2DE4">
        <w:rPr>
          <w:rFonts w:ascii="Arial" w:hAnsi="Arial" w:cs="Arial"/>
          <w:sz w:val="24"/>
          <w:szCs w:val="24"/>
        </w:rPr>
        <w:t xml:space="preserve"> To make the funding as accurate as possible for local authorities</w:t>
      </w:r>
      <w:r w:rsidR="00632C5E">
        <w:rPr>
          <w:rFonts w:ascii="Arial" w:hAnsi="Arial" w:cs="Arial"/>
          <w:sz w:val="24"/>
          <w:szCs w:val="24"/>
        </w:rPr>
        <w:t>,</w:t>
      </w:r>
      <w:r w:rsidR="00E20AD9">
        <w:rPr>
          <w:rFonts w:ascii="Arial" w:hAnsi="Arial" w:cs="Arial"/>
          <w:sz w:val="24"/>
          <w:szCs w:val="24"/>
        </w:rPr>
        <w:t xml:space="preserve"> the DfE will be funding local authorities as follows:</w:t>
      </w:r>
      <w:r w:rsidR="00AC2DE4">
        <w:rPr>
          <w:rFonts w:ascii="Arial" w:hAnsi="Arial" w:cs="Arial"/>
          <w:sz w:val="24"/>
          <w:szCs w:val="24"/>
        </w:rPr>
        <w:t xml:space="preserve"> </w:t>
      </w:r>
    </w:p>
    <w:p w14:paraId="6810289C" w14:textId="4DC95457" w:rsidR="00F66467" w:rsidRDefault="00F334F6" w:rsidP="00C92906">
      <w:pPr>
        <w:pStyle w:val="ListParagraph"/>
        <w:numPr>
          <w:ilvl w:val="1"/>
          <w:numId w:val="32"/>
        </w:numPr>
        <w:rPr>
          <w:rFonts w:ascii="Arial" w:hAnsi="Arial" w:cs="Arial"/>
          <w:sz w:val="24"/>
          <w:szCs w:val="24"/>
        </w:rPr>
      </w:pPr>
      <w:r>
        <w:rPr>
          <w:rFonts w:ascii="Arial" w:hAnsi="Arial" w:cs="Arial"/>
          <w:sz w:val="24"/>
          <w:szCs w:val="24"/>
        </w:rPr>
        <w:t>i</w:t>
      </w:r>
      <w:r w:rsidR="00F66467">
        <w:rPr>
          <w:rFonts w:ascii="Arial" w:hAnsi="Arial" w:cs="Arial"/>
          <w:sz w:val="24"/>
          <w:szCs w:val="24"/>
        </w:rPr>
        <w:t xml:space="preserve">ndicative allocations in December 2023 based on estimated </w:t>
      </w:r>
      <w:proofErr w:type="gramStart"/>
      <w:r w:rsidR="00F66467">
        <w:rPr>
          <w:rFonts w:ascii="Arial" w:hAnsi="Arial" w:cs="Arial"/>
          <w:sz w:val="24"/>
          <w:szCs w:val="24"/>
        </w:rPr>
        <w:t>numbers</w:t>
      </w:r>
      <w:proofErr w:type="gramEnd"/>
    </w:p>
    <w:p w14:paraId="0EBEB7D0" w14:textId="2FA15751" w:rsidR="00310CE9" w:rsidRDefault="00F334F6" w:rsidP="00C92906">
      <w:pPr>
        <w:pStyle w:val="ListParagraph"/>
        <w:numPr>
          <w:ilvl w:val="1"/>
          <w:numId w:val="32"/>
        </w:numPr>
        <w:rPr>
          <w:rFonts w:ascii="Arial" w:hAnsi="Arial" w:cs="Arial"/>
          <w:sz w:val="24"/>
          <w:szCs w:val="24"/>
        </w:rPr>
      </w:pPr>
      <w:r>
        <w:rPr>
          <w:rFonts w:ascii="Arial" w:hAnsi="Arial" w:cs="Arial"/>
          <w:sz w:val="24"/>
          <w:szCs w:val="24"/>
        </w:rPr>
        <w:lastRenderedPageBreak/>
        <w:t>f</w:t>
      </w:r>
      <w:r w:rsidR="00F66467">
        <w:rPr>
          <w:rFonts w:ascii="Arial" w:hAnsi="Arial" w:cs="Arial"/>
          <w:sz w:val="24"/>
          <w:szCs w:val="24"/>
        </w:rPr>
        <w:t xml:space="preserve">inal allocations will be adjusted following </w:t>
      </w:r>
      <w:r w:rsidR="00C92906">
        <w:rPr>
          <w:rFonts w:ascii="Arial" w:hAnsi="Arial" w:cs="Arial"/>
          <w:sz w:val="24"/>
          <w:szCs w:val="24"/>
        </w:rPr>
        <w:t>t</w:t>
      </w:r>
      <w:r w:rsidR="00632C5E">
        <w:rPr>
          <w:rFonts w:ascii="Arial" w:hAnsi="Arial" w:cs="Arial"/>
          <w:sz w:val="24"/>
          <w:szCs w:val="24"/>
        </w:rPr>
        <w:t>wo</w:t>
      </w:r>
      <w:r w:rsidR="00C92906">
        <w:rPr>
          <w:rFonts w:ascii="Arial" w:hAnsi="Arial" w:cs="Arial"/>
          <w:sz w:val="24"/>
          <w:szCs w:val="24"/>
        </w:rPr>
        <w:t xml:space="preserve"> additional head counts in the summer and autumn terms 2024.</w:t>
      </w:r>
    </w:p>
    <w:p w14:paraId="2A158BD6" w14:textId="77777777" w:rsidR="00A53E77" w:rsidRDefault="00A53E77" w:rsidP="00280951">
      <w:pPr>
        <w:pStyle w:val="ListParagraph"/>
        <w:ind w:left="1080"/>
        <w:rPr>
          <w:rFonts w:ascii="Arial" w:hAnsi="Arial" w:cs="Arial"/>
          <w:sz w:val="24"/>
          <w:szCs w:val="24"/>
        </w:rPr>
      </w:pPr>
    </w:p>
    <w:p w14:paraId="459E63A1" w14:textId="308B63B8" w:rsidR="00310CE9" w:rsidRDefault="00B4473E" w:rsidP="00585FF3">
      <w:pPr>
        <w:pStyle w:val="ListParagraph"/>
        <w:numPr>
          <w:ilvl w:val="1"/>
          <w:numId w:val="1"/>
        </w:numPr>
        <w:ind w:left="1080" w:hanging="720"/>
        <w:rPr>
          <w:rFonts w:ascii="Arial" w:hAnsi="Arial" w:cs="Arial"/>
          <w:sz w:val="24"/>
          <w:szCs w:val="24"/>
        </w:rPr>
      </w:pPr>
      <w:r>
        <w:rPr>
          <w:rFonts w:ascii="Arial" w:hAnsi="Arial" w:cs="Arial"/>
          <w:sz w:val="24"/>
          <w:szCs w:val="24"/>
        </w:rPr>
        <w:t>This will provide some reassurance to local authorities</w:t>
      </w:r>
      <w:r w:rsidR="008D7E91">
        <w:rPr>
          <w:rFonts w:ascii="Arial" w:hAnsi="Arial" w:cs="Arial"/>
          <w:sz w:val="24"/>
          <w:szCs w:val="24"/>
        </w:rPr>
        <w:t xml:space="preserve"> and ensure they are funded for actual take up.</w:t>
      </w:r>
    </w:p>
    <w:p w14:paraId="704760E7" w14:textId="77777777" w:rsidR="00C37C3D" w:rsidRPr="00C74A63" w:rsidRDefault="00C37C3D" w:rsidP="00C37C3D">
      <w:pPr>
        <w:pStyle w:val="ListParagraph"/>
        <w:ind w:left="1080"/>
        <w:rPr>
          <w:rFonts w:ascii="Arial" w:hAnsi="Arial" w:cs="Arial"/>
          <w:sz w:val="24"/>
          <w:szCs w:val="24"/>
        </w:rPr>
      </w:pPr>
    </w:p>
    <w:p w14:paraId="729B053F" w14:textId="4CDD4CF1" w:rsidR="00172286" w:rsidRDefault="00585FF3" w:rsidP="00C37C3D">
      <w:pPr>
        <w:pStyle w:val="ListParagraph"/>
        <w:numPr>
          <w:ilvl w:val="0"/>
          <w:numId w:val="1"/>
        </w:numPr>
        <w:rPr>
          <w:rFonts w:ascii="Arial" w:hAnsi="Arial" w:cs="Arial"/>
          <w:b/>
          <w:bCs/>
          <w:sz w:val="24"/>
          <w:szCs w:val="24"/>
        </w:rPr>
      </w:pPr>
      <w:r>
        <w:rPr>
          <w:rFonts w:ascii="Arial" w:hAnsi="Arial" w:cs="Arial"/>
          <w:b/>
          <w:bCs/>
          <w:sz w:val="24"/>
          <w:szCs w:val="24"/>
        </w:rPr>
        <w:t>Funding to Early Years settings 2024-25</w:t>
      </w:r>
    </w:p>
    <w:p w14:paraId="4434F1E3" w14:textId="77777777" w:rsidR="00585FF3" w:rsidRDefault="00585FF3" w:rsidP="00585FF3">
      <w:pPr>
        <w:pStyle w:val="ListParagraph"/>
        <w:ind w:left="360"/>
        <w:rPr>
          <w:rFonts w:ascii="Arial" w:hAnsi="Arial" w:cs="Arial"/>
          <w:b/>
          <w:bCs/>
          <w:sz w:val="24"/>
          <w:szCs w:val="24"/>
        </w:rPr>
      </w:pPr>
    </w:p>
    <w:p w14:paraId="3C8DCF3E" w14:textId="358E75C1" w:rsidR="002650AE" w:rsidRDefault="00904CA6" w:rsidP="00625A02">
      <w:pPr>
        <w:pStyle w:val="ListParagraph"/>
        <w:numPr>
          <w:ilvl w:val="1"/>
          <w:numId w:val="1"/>
        </w:numPr>
        <w:rPr>
          <w:rFonts w:ascii="Arial" w:hAnsi="Arial" w:cs="Arial"/>
          <w:b/>
          <w:bCs/>
          <w:sz w:val="24"/>
          <w:szCs w:val="24"/>
        </w:rPr>
      </w:pPr>
      <w:r>
        <w:rPr>
          <w:rFonts w:ascii="Arial" w:hAnsi="Arial" w:cs="Arial"/>
          <w:b/>
          <w:bCs/>
          <w:sz w:val="24"/>
          <w:szCs w:val="24"/>
        </w:rPr>
        <w:t>Three</w:t>
      </w:r>
      <w:r w:rsidR="00625A02" w:rsidRPr="00625A02">
        <w:rPr>
          <w:rFonts w:ascii="Arial" w:hAnsi="Arial" w:cs="Arial"/>
          <w:b/>
          <w:bCs/>
          <w:sz w:val="24"/>
          <w:szCs w:val="24"/>
        </w:rPr>
        <w:t xml:space="preserve"> and </w:t>
      </w:r>
      <w:r w:rsidR="00690DCC">
        <w:rPr>
          <w:rFonts w:ascii="Arial" w:hAnsi="Arial" w:cs="Arial"/>
          <w:b/>
          <w:bCs/>
          <w:sz w:val="24"/>
          <w:szCs w:val="24"/>
        </w:rPr>
        <w:t>f</w:t>
      </w:r>
      <w:r>
        <w:rPr>
          <w:rFonts w:ascii="Arial" w:hAnsi="Arial" w:cs="Arial"/>
          <w:b/>
          <w:bCs/>
          <w:sz w:val="24"/>
          <w:szCs w:val="24"/>
        </w:rPr>
        <w:t>our</w:t>
      </w:r>
      <w:r w:rsidR="00625A02" w:rsidRPr="00625A02">
        <w:rPr>
          <w:rFonts w:ascii="Arial" w:hAnsi="Arial" w:cs="Arial"/>
          <w:b/>
          <w:bCs/>
          <w:sz w:val="24"/>
          <w:szCs w:val="24"/>
        </w:rPr>
        <w:t xml:space="preserve"> year olds, universal and additional hours entitlements.</w:t>
      </w:r>
    </w:p>
    <w:p w14:paraId="073C6A81" w14:textId="77777777" w:rsidR="00625A02" w:rsidRPr="00625A02" w:rsidRDefault="00625A02" w:rsidP="00625A02">
      <w:pPr>
        <w:pStyle w:val="ListParagraph"/>
        <w:ind w:left="792"/>
        <w:rPr>
          <w:rFonts w:ascii="Arial" w:hAnsi="Arial" w:cs="Arial"/>
          <w:b/>
          <w:bCs/>
          <w:sz w:val="24"/>
          <w:szCs w:val="24"/>
        </w:rPr>
      </w:pPr>
    </w:p>
    <w:p w14:paraId="0AB8F745" w14:textId="6AE79A6A" w:rsidR="00183EAD" w:rsidRPr="004C4129" w:rsidRDefault="003C06C4" w:rsidP="00CF27C6">
      <w:pPr>
        <w:pStyle w:val="ListParagraph"/>
        <w:numPr>
          <w:ilvl w:val="2"/>
          <w:numId w:val="1"/>
        </w:numPr>
        <w:spacing w:after="0"/>
        <w:ind w:left="1571" w:hanging="851"/>
        <w:rPr>
          <w:rFonts w:ascii="Arial" w:hAnsi="Arial" w:cs="Arial"/>
          <w:sz w:val="24"/>
          <w:szCs w:val="24"/>
        </w:rPr>
      </w:pPr>
      <w:r w:rsidRPr="004C4129">
        <w:rPr>
          <w:rFonts w:ascii="Arial" w:hAnsi="Arial" w:cs="Arial"/>
          <w:sz w:val="24"/>
          <w:szCs w:val="24"/>
        </w:rPr>
        <w:t>Portsmouth</w:t>
      </w:r>
      <w:r w:rsidR="00246E79" w:rsidRPr="004C4129">
        <w:rPr>
          <w:rFonts w:ascii="Arial" w:hAnsi="Arial" w:cs="Arial"/>
          <w:sz w:val="24"/>
          <w:szCs w:val="24"/>
        </w:rPr>
        <w:t xml:space="preserve"> </w:t>
      </w:r>
      <w:r w:rsidR="005B483B" w:rsidRPr="004C4129">
        <w:rPr>
          <w:rFonts w:ascii="Arial" w:hAnsi="Arial" w:cs="Arial"/>
          <w:sz w:val="24"/>
          <w:szCs w:val="24"/>
        </w:rPr>
        <w:t xml:space="preserve">will </w:t>
      </w:r>
      <w:r w:rsidR="00246E79" w:rsidRPr="004C4129">
        <w:rPr>
          <w:rFonts w:ascii="Arial" w:hAnsi="Arial" w:cs="Arial"/>
          <w:sz w:val="24"/>
          <w:szCs w:val="24"/>
        </w:rPr>
        <w:t xml:space="preserve">receive </w:t>
      </w:r>
      <w:r w:rsidR="00E00136" w:rsidRPr="004C4129">
        <w:rPr>
          <w:rFonts w:ascii="Arial" w:hAnsi="Arial" w:cs="Arial"/>
          <w:sz w:val="24"/>
          <w:szCs w:val="24"/>
        </w:rPr>
        <w:t>£6.1</w:t>
      </w:r>
      <w:r w:rsidR="008A0319">
        <w:rPr>
          <w:rFonts w:ascii="Arial" w:hAnsi="Arial" w:cs="Arial"/>
          <w:sz w:val="24"/>
          <w:szCs w:val="24"/>
        </w:rPr>
        <w:t>3</w:t>
      </w:r>
      <w:r w:rsidR="00E00136" w:rsidRPr="004C4129">
        <w:rPr>
          <w:rFonts w:ascii="Arial" w:hAnsi="Arial" w:cs="Arial"/>
          <w:sz w:val="24"/>
          <w:szCs w:val="24"/>
        </w:rPr>
        <w:t xml:space="preserve"> </w:t>
      </w:r>
      <w:r w:rsidR="00246E79" w:rsidRPr="004C4129">
        <w:rPr>
          <w:rFonts w:ascii="Arial" w:hAnsi="Arial" w:cs="Arial"/>
          <w:sz w:val="24"/>
          <w:szCs w:val="24"/>
        </w:rPr>
        <w:t xml:space="preserve">per hour for </w:t>
      </w:r>
      <w:r w:rsidR="00CF4025" w:rsidRPr="004C4129">
        <w:rPr>
          <w:rFonts w:ascii="Arial" w:hAnsi="Arial" w:cs="Arial"/>
          <w:sz w:val="24"/>
          <w:szCs w:val="24"/>
        </w:rPr>
        <w:t>three and four</w:t>
      </w:r>
      <w:r w:rsidR="00690DCC">
        <w:rPr>
          <w:rFonts w:ascii="Arial" w:hAnsi="Arial" w:cs="Arial"/>
          <w:sz w:val="24"/>
          <w:szCs w:val="24"/>
        </w:rPr>
        <w:t xml:space="preserve"> </w:t>
      </w:r>
      <w:r w:rsidR="00CF4025" w:rsidRPr="004C4129">
        <w:rPr>
          <w:rFonts w:ascii="Arial" w:hAnsi="Arial" w:cs="Arial"/>
          <w:sz w:val="24"/>
          <w:szCs w:val="24"/>
        </w:rPr>
        <w:t>year</w:t>
      </w:r>
      <w:r w:rsidR="00690DCC">
        <w:rPr>
          <w:rFonts w:ascii="Arial" w:hAnsi="Arial" w:cs="Arial"/>
          <w:sz w:val="24"/>
          <w:szCs w:val="24"/>
        </w:rPr>
        <w:t xml:space="preserve"> </w:t>
      </w:r>
      <w:r w:rsidR="00CF4025" w:rsidRPr="004C4129">
        <w:rPr>
          <w:rFonts w:ascii="Arial" w:hAnsi="Arial" w:cs="Arial"/>
          <w:sz w:val="24"/>
          <w:szCs w:val="24"/>
        </w:rPr>
        <w:t>olds</w:t>
      </w:r>
      <w:r w:rsidR="00C2680C" w:rsidRPr="004C4129">
        <w:rPr>
          <w:rFonts w:ascii="Arial" w:hAnsi="Arial" w:cs="Arial"/>
          <w:sz w:val="24"/>
          <w:szCs w:val="24"/>
        </w:rPr>
        <w:t>, i</w:t>
      </w:r>
      <w:r w:rsidR="00246E79" w:rsidRPr="004C4129">
        <w:rPr>
          <w:rFonts w:ascii="Arial" w:hAnsi="Arial" w:cs="Arial"/>
          <w:sz w:val="24"/>
          <w:szCs w:val="24"/>
        </w:rPr>
        <w:t xml:space="preserve">t is proposed that the funding will be allocated as set out in the </w:t>
      </w:r>
      <w:r w:rsidR="005467CA" w:rsidRPr="004C4129">
        <w:rPr>
          <w:rFonts w:ascii="Arial" w:hAnsi="Arial" w:cs="Arial"/>
          <w:sz w:val="24"/>
          <w:szCs w:val="24"/>
        </w:rPr>
        <w:t>t</w:t>
      </w:r>
      <w:r w:rsidR="00246E79" w:rsidRPr="004C4129">
        <w:rPr>
          <w:rFonts w:ascii="Arial" w:hAnsi="Arial" w:cs="Arial"/>
          <w:sz w:val="24"/>
          <w:szCs w:val="24"/>
        </w:rPr>
        <w:t>able below.</w:t>
      </w:r>
    </w:p>
    <w:p w14:paraId="075B370E" w14:textId="77777777" w:rsidR="009568C5" w:rsidRPr="00E63253" w:rsidRDefault="009568C5" w:rsidP="00E63253">
      <w:pPr>
        <w:spacing w:after="0"/>
        <w:rPr>
          <w:rFonts w:ascii="Arial" w:hAnsi="Arial" w:cs="Arial"/>
          <w:b/>
          <w:bCs/>
          <w:sz w:val="24"/>
          <w:szCs w:val="24"/>
        </w:rPr>
      </w:pPr>
    </w:p>
    <w:tbl>
      <w:tblPr>
        <w:tblStyle w:val="TableGrid0"/>
        <w:tblW w:w="8995" w:type="dxa"/>
        <w:tblInd w:w="0" w:type="dxa"/>
        <w:tblCellMar>
          <w:top w:w="8" w:type="dxa"/>
          <w:left w:w="182" w:type="dxa"/>
          <w:right w:w="115" w:type="dxa"/>
        </w:tblCellMar>
        <w:tblLook w:val="04A0" w:firstRow="1" w:lastRow="0" w:firstColumn="1" w:lastColumn="0" w:noHBand="0" w:noVBand="1"/>
      </w:tblPr>
      <w:tblGrid>
        <w:gridCol w:w="3695"/>
        <w:gridCol w:w="1070"/>
        <w:gridCol w:w="1551"/>
        <w:gridCol w:w="1131"/>
        <w:gridCol w:w="1548"/>
      </w:tblGrid>
      <w:tr w:rsidR="00662ABD" w:rsidRPr="004C15EC" w14:paraId="5017F8CB" w14:textId="77777777" w:rsidTr="00421CA7">
        <w:trPr>
          <w:trHeight w:val="310"/>
        </w:trPr>
        <w:tc>
          <w:tcPr>
            <w:tcW w:w="8995" w:type="dxa"/>
            <w:gridSpan w:val="5"/>
            <w:tcBorders>
              <w:top w:val="single" w:sz="4" w:space="0" w:color="auto"/>
              <w:left w:val="single" w:sz="4" w:space="0" w:color="auto"/>
              <w:bottom w:val="single" w:sz="4" w:space="0" w:color="auto"/>
              <w:right w:val="single" w:sz="4" w:space="0" w:color="000000"/>
            </w:tcBorders>
          </w:tcPr>
          <w:p w14:paraId="45685F2C" w14:textId="095F7FE9" w:rsidR="00662ABD" w:rsidRPr="000637E0" w:rsidRDefault="00662ABD" w:rsidP="00662ABD">
            <w:pPr>
              <w:ind w:right="64"/>
              <w:rPr>
                <w:rFonts w:ascii="Arial" w:hAnsi="Arial" w:cs="Arial"/>
                <w:b/>
              </w:rPr>
            </w:pPr>
            <w:bookmarkStart w:id="1" w:name="_Hlk119945172"/>
            <w:r w:rsidRPr="000637E0">
              <w:rPr>
                <w:rFonts w:ascii="Arial" w:hAnsi="Arial" w:cs="Arial"/>
                <w:b/>
              </w:rPr>
              <w:t xml:space="preserve">Table </w:t>
            </w:r>
            <w:r w:rsidR="00535245">
              <w:rPr>
                <w:rFonts w:ascii="Arial" w:hAnsi="Arial" w:cs="Arial"/>
                <w:b/>
              </w:rPr>
              <w:t>1</w:t>
            </w:r>
            <w:r w:rsidRPr="000637E0">
              <w:rPr>
                <w:rFonts w:ascii="Arial" w:hAnsi="Arial" w:cs="Arial"/>
                <w:b/>
              </w:rPr>
              <w:t>: Three and Four-year-old funding formula</w:t>
            </w:r>
          </w:p>
        </w:tc>
      </w:tr>
      <w:tr w:rsidR="000637E0" w:rsidRPr="004C15EC" w14:paraId="51018650" w14:textId="31697AB7" w:rsidTr="00662ABD">
        <w:trPr>
          <w:trHeight w:val="310"/>
        </w:trPr>
        <w:tc>
          <w:tcPr>
            <w:tcW w:w="3695" w:type="dxa"/>
            <w:tcBorders>
              <w:top w:val="single" w:sz="4" w:space="0" w:color="auto"/>
              <w:left w:val="single" w:sz="4" w:space="0" w:color="auto"/>
              <w:bottom w:val="single" w:sz="4" w:space="0" w:color="auto"/>
              <w:right w:val="single" w:sz="4" w:space="0" w:color="auto"/>
            </w:tcBorders>
          </w:tcPr>
          <w:p w14:paraId="04B0BCED" w14:textId="056479C0" w:rsidR="000637E0" w:rsidRPr="000637E0" w:rsidRDefault="000637E0" w:rsidP="00421CA7">
            <w:pPr>
              <w:spacing w:line="259" w:lineRule="auto"/>
              <w:rPr>
                <w:rFonts w:ascii="Arial" w:hAnsi="Arial" w:cs="Arial"/>
              </w:rPr>
            </w:pPr>
          </w:p>
        </w:tc>
        <w:tc>
          <w:tcPr>
            <w:tcW w:w="1070" w:type="dxa"/>
            <w:tcBorders>
              <w:top w:val="single" w:sz="4" w:space="0" w:color="000000"/>
              <w:left w:val="single" w:sz="4" w:space="0" w:color="auto"/>
              <w:bottom w:val="single" w:sz="4" w:space="0" w:color="000000"/>
              <w:right w:val="single" w:sz="4" w:space="0" w:color="000000"/>
            </w:tcBorders>
          </w:tcPr>
          <w:p w14:paraId="3F5363EB" w14:textId="5712AB57" w:rsidR="000637E0" w:rsidRPr="000637E0" w:rsidRDefault="000637E0" w:rsidP="00662ABD">
            <w:pPr>
              <w:spacing w:line="259" w:lineRule="auto"/>
              <w:ind w:left="-180" w:right="64"/>
              <w:jc w:val="center"/>
              <w:rPr>
                <w:rFonts w:ascii="Arial" w:hAnsi="Arial" w:cs="Arial"/>
                <w:b/>
              </w:rPr>
            </w:pPr>
            <w:r w:rsidRPr="000637E0">
              <w:rPr>
                <w:rFonts w:ascii="Arial" w:hAnsi="Arial" w:cs="Arial"/>
                <w:b/>
              </w:rPr>
              <w:t xml:space="preserve"> 202</w:t>
            </w:r>
            <w:r w:rsidR="0042727F">
              <w:rPr>
                <w:rFonts w:ascii="Arial" w:hAnsi="Arial" w:cs="Arial"/>
                <w:b/>
              </w:rPr>
              <w:t>3</w:t>
            </w:r>
            <w:r w:rsidRPr="000637E0">
              <w:rPr>
                <w:rFonts w:ascii="Arial" w:hAnsi="Arial" w:cs="Arial"/>
                <w:b/>
              </w:rPr>
              <w:t>-2</w:t>
            </w:r>
            <w:r w:rsidR="0042727F">
              <w:rPr>
                <w:rFonts w:ascii="Arial" w:hAnsi="Arial" w:cs="Arial"/>
                <w:b/>
              </w:rPr>
              <w:t>4</w:t>
            </w:r>
            <w:r w:rsidRPr="000637E0">
              <w:rPr>
                <w:rFonts w:ascii="Arial" w:hAnsi="Arial" w:cs="Arial"/>
                <w:b/>
              </w:rPr>
              <w:t xml:space="preserve"> </w:t>
            </w:r>
          </w:p>
          <w:p w14:paraId="0B4C92A3" w14:textId="0F0B4B46" w:rsidR="000637E0" w:rsidRPr="000637E0" w:rsidRDefault="000637E0" w:rsidP="00421CA7">
            <w:pPr>
              <w:spacing w:line="259" w:lineRule="auto"/>
              <w:ind w:right="64"/>
              <w:jc w:val="center"/>
              <w:rPr>
                <w:rFonts w:ascii="Arial" w:hAnsi="Arial" w:cs="Arial"/>
              </w:rPr>
            </w:pPr>
            <w:r w:rsidRPr="000637E0">
              <w:rPr>
                <w:rFonts w:ascii="Arial" w:hAnsi="Arial" w:cs="Arial"/>
                <w:b/>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E46FD40" w14:textId="4D773554" w:rsidR="000637E0" w:rsidRPr="000637E0" w:rsidRDefault="000637E0" w:rsidP="00421CA7">
            <w:pPr>
              <w:ind w:right="67"/>
              <w:jc w:val="center"/>
              <w:rPr>
                <w:rFonts w:ascii="Arial" w:hAnsi="Arial" w:cs="Arial"/>
                <w:b/>
                <w:bCs/>
              </w:rPr>
            </w:pPr>
            <w:r w:rsidRPr="000637E0">
              <w:rPr>
                <w:rFonts w:ascii="Arial" w:hAnsi="Arial" w:cs="Arial"/>
                <w:b/>
                <w:bCs/>
              </w:rPr>
              <w:t>202</w:t>
            </w:r>
            <w:r w:rsidR="0042727F">
              <w:rPr>
                <w:rFonts w:ascii="Arial" w:hAnsi="Arial" w:cs="Arial"/>
                <w:b/>
                <w:bCs/>
              </w:rPr>
              <w:t>3</w:t>
            </w:r>
            <w:r w:rsidRPr="000637E0">
              <w:rPr>
                <w:rFonts w:ascii="Arial" w:hAnsi="Arial" w:cs="Arial"/>
                <w:b/>
                <w:bCs/>
              </w:rPr>
              <w:t>-2</w:t>
            </w:r>
            <w:r w:rsidR="0042727F">
              <w:rPr>
                <w:rFonts w:ascii="Arial" w:hAnsi="Arial" w:cs="Arial"/>
                <w:b/>
                <w:bCs/>
              </w:rPr>
              <w:t>4</w:t>
            </w:r>
            <w:r w:rsidRPr="000637E0">
              <w:rPr>
                <w:rFonts w:ascii="Arial" w:hAnsi="Arial" w:cs="Arial"/>
                <w:b/>
                <w:bCs/>
              </w:rPr>
              <w:t xml:space="preserve"> Percentage split</w:t>
            </w:r>
          </w:p>
        </w:tc>
        <w:tc>
          <w:tcPr>
            <w:tcW w:w="1131" w:type="dxa"/>
            <w:tcBorders>
              <w:top w:val="single" w:sz="4" w:space="0" w:color="000000"/>
              <w:left w:val="single" w:sz="4" w:space="0" w:color="000000"/>
              <w:bottom w:val="single" w:sz="4" w:space="0" w:color="auto"/>
              <w:right w:val="single" w:sz="4" w:space="0" w:color="000000"/>
            </w:tcBorders>
          </w:tcPr>
          <w:p w14:paraId="4EC18AC3" w14:textId="386BC968" w:rsidR="000637E0" w:rsidRPr="000637E0" w:rsidRDefault="000637E0" w:rsidP="00662ABD">
            <w:pPr>
              <w:spacing w:line="259" w:lineRule="auto"/>
              <w:ind w:left="-108" w:right="64"/>
              <w:jc w:val="center"/>
              <w:rPr>
                <w:rFonts w:ascii="Arial" w:hAnsi="Arial" w:cs="Arial"/>
                <w:b/>
              </w:rPr>
            </w:pPr>
            <w:r w:rsidRPr="000637E0">
              <w:rPr>
                <w:rFonts w:ascii="Arial" w:hAnsi="Arial" w:cs="Arial"/>
                <w:b/>
              </w:rPr>
              <w:t>202</w:t>
            </w:r>
            <w:r w:rsidR="0042727F">
              <w:rPr>
                <w:rFonts w:ascii="Arial" w:hAnsi="Arial" w:cs="Arial"/>
                <w:b/>
              </w:rPr>
              <w:t>4</w:t>
            </w:r>
            <w:r w:rsidRPr="000637E0">
              <w:rPr>
                <w:rFonts w:ascii="Arial" w:hAnsi="Arial" w:cs="Arial"/>
                <w:b/>
              </w:rPr>
              <w:t>-2</w:t>
            </w:r>
            <w:r w:rsidR="0042727F">
              <w:rPr>
                <w:rFonts w:ascii="Arial" w:hAnsi="Arial" w:cs="Arial"/>
                <w:b/>
              </w:rPr>
              <w:t>5</w:t>
            </w:r>
            <w:r w:rsidRPr="000637E0">
              <w:rPr>
                <w:rFonts w:ascii="Arial" w:hAnsi="Arial" w:cs="Arial"/>
                <w:b/>
              </w:rPr>
              <w:t xml:space="preserve"> </w:t>
            </w:r>
          </w:p>
          <w:p w14:paraId="13A23615" w14:textId="420B8386" w:rsidR="000637E0" w:rsidRPr="000637E0" w:rsidRDefault="000637E0" w:rsidP="00246E79">
            <w:pPr>
              <w:spacing w:line="259" w:lineRule="auto"/>
              <w:ind w:right="64"/>
              <w:jc w:val="center"/>
              <w:rPr>
                <w:rFonts w:ascii="Arial" w:hAnsi="Arial" w:cs="Arial"/>
                <w:b/>
              </w:rPr>
            </w:pPr>
            <w:r w:rsidRPr="000637E0">
              <w:rPr>
                <w:rFonts w:ascii="Arial" w:hAnsi="Arial" w:cs="Arial"/>
                <w:b/>
              </w:rPr>
              <w:t>(£)</w:t>
            </w:r>
          </w:p>
        </w:tc>
        <w:tc>
          <w:tcPr>
            <w:tcW w:w="1548" w:type="dxa"/>
            <w:tcBorders>
              <w:top w:val="single" w:sz="4" w:space="0" w:color="000000"/>
              <w:left w:val="single" w:sz="4" w:space="0" w:color="000000"/>
              <w:bottom w:val="single" w:sz="4" w:space="0" w:color="auto"/>
              <w:right w:val="single" w:sz="4" w:space="0" w:color="000000"/>
            </w:tcBorders>
          </w:tcPr>
          <w:p w14:paraId="3695800B" w14:textId="63AC989A" w:rsidR="000637E0" w:rsidRPr="000637E0" w:rsidRDefault="000637E0" w:rsidP="00246E79">
            <w:pPr>
              <w:ind w:right="64"/>
              <w:jc w:val="center"/>
              <w:rPr>
                <w:rFonts w:ascii="Arial" w:hAnsi="Arial" w:cs="Arial"/>
                <w:b/>
              </w:rPr>
            </w:pPr>
            <w:r w:rsidRPr="000637E0">
              <w:rPr>
                <w:rFonts w:ascii="Arial" w:hAnsi="Arial" w:cs="Arial"/>
                <w:b/>
                <w:bCs/>
              </w:rPr>
              <w:t>202</w:t>
            </w:r>
            <w:r w:rsidR="0042727F">
              <w:rPr>
                <w:rFonts w:ascii="Arial" w:hAnsi="Arial" w:cs="Arial"/>
                <w:b/>
                <w:bCs/>
              </w:rPr>
              <w:t>4</w:t>
            </w:r>
            <w:r w:rsidRPr="000637E0">
              <w:rPr>
                <w:rFonts w:ascii="Arial" w:hAnsi="Arial" w:cs="Arial"/>
                <w:b/>
                <w:bCs/>
              </w:rPr>
              <w:t>-2</w:t>
            </w:r>
            <w:r w:rsidR="0042727F">
              <w:rPr>
                <w:rFonts w:ascii="Arial" w:hAnsi="Arial" w:cs="Arial"/>
                <w:b/>
                <w:bCs/>
              </w:rPr>
              <w:t>5</w:t>
            </w:r>
            <w:r w:rsidRPr="000637E0">
              <w:rPr>
                <w:rFonts w:ascii="Arial" w:hAnsi="Arial" w:cs="Arial"/>
                <w:b/>
                <w:bCs/>
              </w:rPr>
              <w:t xml:space="preserve"> Percentage split</w:t>
            </w:r>
          </w:p>
        </w:tc>
      </w:tr>
      <w:tr w:rsidR="0042727F" w:rsidRPr="004C15EC" w14:paraId="13DD30A6" w14:textId="205DFD5D" w:rsidTr="00662ABD">
        <w:trPr>
          <w:trHeight w:val="310"/>
        </w:trPr>
        <w:tc>
          <w:tcPr>
            <w:tcW w:w="3695" w:type="dxa"/>
            <w:tcBorders>
              <w:top w:val="single" w:sz="4" w:space="0" w:color="auto"/>
              <w:left w:val="single" w:sz="4" w:space="0" w:color="000000"/>
              <w:bottom w:val="single" w:sz="4" w:space="0" w:color="000000"/>
              <w:right w:val="single" w:sz="4" w:space="0" w:color="000000"/>
            </w:tcBorders>
          </w:tcPr>
          <w:p w14:paraId="428A9E3A" w14:textId="05A820CE" w:rsidR="0042727F" w:rsidRPr="000637E0" w:rsidRDefault="0042727F" w:rsidP="0042727F">
            <w:pPr>
              <w:spacing w:line="259" w:lineRule="auto"/>
              <w:rPr>
                <w:rFonts w:ascii="Arial" w:hAnsi="Arial" w:cs="Arial"/>
              </w:rPr>
            </w:pPr>
            <w:r w:rsidRPr="000637E0">
              <w:rPr>
                <w:rFonts w:ascii="Arial" w:hAnsi="Arial" w:cs="Arial"/>
              </w:rPr>
              <w:t xml:space="preserve">Basic hourly rate </w:t>
            </w:r>
            <w:r>
              <w:rPr>
                <w:rFonts w:ascii="Arial" w:hAnsi="Arial" w:cs="Arial"/>
              </w:rPr>
              <w:t>paid to providers</w:t>
            </w:r>
          </w:p>
        </w:tc>
        <w:tc>
          <w:tcPr>
            <w:tcW w:w="1070" w:type="dxa"/>
            <w:tcBorders>
              <w:top w:val="single" w:sz="4" w:space="0" w:color="000000"/>
              <w:left w:val="single" w:sz="4" w:space="0" w:color="000000"/>
              <w:bottom w:val="single" w:sz="4" w:space="0" w:color="000000"/>
              <w:right w:val="single" w:sz="4" w:space="0" w:color="000000"/>
            </w:tcBorders>
          </w:tcPr>
          <w:p w14:paraId="5AE4F7E0" w14:textId="48BDCAC6" w:rsidR="0042727F" w:rsidRPr="000637E0" w:rsidRDefault="0042727F" w:rsidP="0042727F">
            <w:pPr>
              <w:spacing w:line="259" w:lineRule="auto"/>
              <w:ind w:right="64"/>
              <w:jc w:val="right"/>
              <w:rPr>
                <w:rFonts w:ascii="Arial" w:hAnsi="Arial" w:cs="Arial"/>
              </w:rPr>
            </w:pPr>
            <w:r w:rsidRPr="000637E0">
              <w:rPr>
                <w:rFonts w:ascii="Arial" w:hAnsi="Arial" w:cs="Arial"/>
                <w:bCs/>
              </w:rPr>
              <w:t>4.6</w:t>
            </w:r>
            <w:r w:rsidR="006D5572">
              <w:rPr>
                <w:rFonts w:ascii="Arial" w:hAnsi="Arial" w:cs="Arial"/>
                <w:bCs/>
              </w:rPr>
              <w:t>9</w:t>
            </w:r>
          </w:p>
        </w:tc>
        <w:tc>
          <w:tcPr>
            <w:tcW w:w="1551" w:type="dxa"/>
            <w:tcBorders>
              <w:top w:val="single" w:sz="4" w:space="0" w:color="000000"/>
              <w:left w:val="single" w:sz="4" w:space="0" w:color="000000"/>
              <w:bottom w:val="single" w:sz="4" w:space="0" w:color="000000"/>
              <w:right w:val="single" w:sz="4" w:space="0" w:color="auto"/>
            </w:tcBorders>
          </w:tcPr>
          <w:p w14:paraId="36720DD3" w14:textId="2FBB4D7B" w:rsidR="0042727F" w:rsidRPr="000637E0" w:rsidRDefault="0042727F" w:rsidP="0042727F">
            <w:pPr>
              <w:ind w:right="66"/>
              <w:jc w:val="right"/>
              <w:rPr>
                <w:rFonts w:ascii="Arial" w:hAnsi="Arial" w:cs="Arial"/>
              </w:rPr>
            </w:pPr>
            <w:r>
              <w:rPr>
                <w:rFonts w:ascii="Arial" w:hAnsi="Arial" w:cs="Arial"/>
                <w:bCs/>
              </w:rPr>
              <w:t>89%</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D06404B" w14:textId="74B7AB4B" w:rsidR="0042727F" w:rsidRPr="000637E0" w:rsidRDefault="00522816" w:rsidP="0042727F">
            <w:pPr>
              <w:spacing w:line="259" w:lineRule="auto"/>
              <w:ind w:right="64"/>
              <w:jc w:val="right"/>
              <w:rPr>
                <w:rFonts w:ascii="Arial" w:hAnsi="Arial" w:cs="Arial"/>
                <w:bCs/>
              </w:rPr>
            </w:pPr>
            <w:r>
              <w:rPr>
                <w:rFonts w:ascii="Arial" w:hAnsi="Arial" w:cs="Arial"/>
                <w:bCs/>
              </w:rPr>
              <w:t>5.5</w:t>
            </w:r>
            <w:r w:rsidR="00A11BC7">
              <w:rPr>
                <w:rFonts w:ascii="Arial" w:hAnsi="Arial" w:cs="Arial"/>
                <w:bCs/>
              </w:rPr>
              <w:t>0</w:t>
            </w:r>
          </w:p>
        </w:tc>
        <w:tc>
          <w:tcPr>
            <w:tcW w:w="1548" w:type="dxa"/>
            <w:tcBorders>
              <w:top w:val="single" w:sz="4" w:space="0" w:color="auto"/>
              <w:left w:val="single" w:sz="4" w:space="0" w:color="auto"/>
              <w:bottom w:val="single" w:sz="4" w:space="0" w:color="auto"/>
              <w:right w:val="single" w:sz="4" w:space="0" w:color="auto"/>
            </w:tcBorders>
          </w:tcPr>
          <w:p w14:paraId="50CDAAAE" w14:textId="453354F5" w:rsidR="0042727F" w:rsidRPr="000637E0" w:rsidRDefault="00036F7A" w:rsidP="0042727F">
            <w:pPr>
              <w:ind w:right="64"/>
              <w:jc w:val="right"/>
              <w:rPr>
                <w:rFonts w:ascii="Arial" w:hAnsi="Arial" w:cs="Arial"/>
                <w:bCs/>
              </w:rPr>
            </w:pPr>
            <w:r>
              <w:rPr>
                <w:rFonts w:ascii="Arial" w:hAnsi="Arial" w:cs="Arial"/>
                <w:bCs/>
              </w:rPr>
              <w:t>9</w:t>
            </w:r>
            <w:r w:rsidR="00A11BC7">
              <w:rPr>
                <w:rFonts w:ascii="Arial" w:hAnsi="Arial" w:cs="Arial"/>
                <w:bCs/>
              </w:rPr>
              <w:t>0</w:t>
            </w:r>
            <w:r>
              <w:rPr>
                <w:rFonts w:ascii="Arial" w:hAnsi="Arial" w:cs="Arial"/>
                <w:bCs/>
              </w:rPr>
              <w:t>%</w:t>
            </w:r>
          </w:p>
        </w:tc>
      </w:tr>
      <w:tr w:rsidR="0042727F" w:rsidRPr="004C15EC" w14:paraId="1B82AD5E" w14:textId="7D19C381" w:rsidTr="00662ABD">
        <w:trPr>
          <w:trHeight w:val="312"/>
        </w:trPr>
        <w:tc>
          <w:tcPr>
            <w:tcW w:w="3695" w:type="dxa"/>
            <w:tcBorders>
              <w:top w:val="single" w:sz="4" w:space="0" w:color="000000"/>
              <w:left w:val="single" w:sz="4" w:space="0" w:color="000000"/>
              <w:bottom w:val="single" w:sz="4" w:space="0" w:color="000000"/>
              <w:right w:val="single" w:sz="4" w:space="0" w:color="000000"/>
            </w:tcBorders>
          </w:tcPr>
          <w:p w14:paraId="27A01B03" w14:textId="77777777" w:rsidR="0042727F" w:rsidRPr="000637E0" w:rsidRDefault="0042727F" w:rsidP="0042727F">
            <w:pPr>
              <w:spacing w:line="259" w:lineRule="auto"/>
              <w:rPr>
                <w:rFonts w:ascii="Arial" w:hAnsi="Arial" w:cs="Arial"/>
              </w:rPr>
            </w:pPr>
            <w:r w:rsidRPr="000637E0">
              <w:rPr>
                <w:rFonts w:ascii="Arial" w:hAnsi="Arial" w:cs="Arial"/>
              </w:rPr>
              <w:t xml:space="preserve">Deprivation average hourly rate </w:t>
            </w:r>
          </w:p>
        </w:tc>
        <w:tc>
          <w:tcPr>
            <w:tcW w:w="1070" w:type="dxa"/>
            <w:tcBorders>
              <w:top w:val="single" w:sz="4" w:space="0" w:color="000000"/>
              <w:left w:val="single" w:sz="4" w:space="0" w:color="000000"/>
              <w:bottom w:val="single" w:sz="4" w:space="0" w:color="000000"/>
              <w:right w:val="single" w:sz="4" w:space="0" w:color="000000"/>
            </w:tcBorders>
          </w:tcPr>
          <w:p w14:paraId="4438F93D" w14:textId="3F982C8B" w:rsidR="0042727F" w:rsidRPr="000637E0" w:rsidRDefault="0042727F" w:rsidP="0042727F">
            <w:pPr>
              <w:spacing w:line="259" w:lineRule="auto"/>
              <w:ind w:right="64"/>
              <w:jc w:val="right"/>
              <w:rPr>
                <w:rFonts w:ascii="Arial" w:hAnsi="Arial" w:cs="Arial"/>
              </w:rPr>
            </w:pPr>
            <w:r w:rsidRPr="000637E0">
              <w:rPr>
                <w:rFonts w:ascii="Arial" w:hAnsi="Arial" w:cs="Arial"/>
                <w:bCs/>
              </w:rPr>
              <w:t>0.20</w:t>
            </w:r>
          </w:p>
        </w:tc>
        <w:tc>
          <w:tcPr>
            <w:tcW w:w="1551" w:type="dxa"/>
            <w:tcBorders>
              <w:top w:val="single" w:sz="4" w:space="0" w:color="000000"/>
              <w:left w:val="single" w:sz="4" w:space="0" w:color="000000"/>
              <w:bottom w:val="single" w:sz="4" w:space="0" w:color="000000"/>
              <w:right w:val="single" w:sz="4" w:space="0" w:color="auto"/>
            </w:tcBorders>
          </w:tcPr>
          <w:p w14:paraId="38D250BE" w14:textId="4BF1A790" w:rsidR="0042727F" w:rsidRPr="000637E0" w:rsidRDefault="0042727F" w:rsidP="0042727F">
            <w:pPr>
              <w:ind w:right="64"/>
              <w:jc w:val="right"/>
              <w:rPr>
                <w:rFonts w:ascii="Arial" w:hAnsi="Arial" w:cs="Arial"/>
              </w:rPr>
            </w:pPr>
            <w:r>
              <w:rPr>
                <w:rFonts w:ascii="Arial" w:hAnsi="Arial" w:cs="Arial"/>
                <w:bCs/>
              </w:rPr>
              <w:t>4%</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8BE6702" w14:textId="4F26A832" w:rsidR="0042727F" w:rsidRPr="000637E0" w:rsidRDefault="00522816" w:rsidP="0042727F">
            <w:pPr>
              <w:spacing w:line="259" w:lineRule="auto"/>
              <w:ind w:right="64"/>
              <w:jc w:val="right"/>
              <w:rPr>
                <w:rFonts w:ascii="Arial" w:hAnsi="Arial" w:cs="Arial"/>
                <w:bCs/>
              </w:rPr>
            </w:pPr>
            <w:r>
              <w:rPr>
                <w:rFonts w:ascii="Arial" w:hAnsi="Arial" w:cs="Arial"/>
                <w:bCs/>
              </w:rPr>
              <w:t>0.20</w:t>
            </w:r>
          </w:p>
        </w:tc>
        <w:tc>
          <w:tcPr>
            <w:tcW w:w="1548" w:type="dxa"/>
            <w:tcBorders>
              <w:top w:val="single" w:sz="4" w:space="0" w:color="auto"/>
              <w:left w:val="single" w:sz="4" w:space="0" w:color="auto"/>
              <w:bottom w:val="single" w:sz="4" w:space="0" w:color="auto"/>
              <w:right w:val="single" w:sz="4" w:space="0" w:color="auto"/>
            </w:tcBorders>
          </w:tcPr>
          <w:p w14:paraId="606E1416" w14:textId="6960BAFE" w:rsidR="0042727F" w:rsidRPr="000637E0" w:rsidRDefault="00036F7A" w:rsidP="0042727F">
            <w:pPr>
              <w:ind w:right="64"/>
              <w:jc w:val="right"/>
              <w:rPr>
                <w:rFonts w:ascii="Arial" w:hAnsi="Arial" w:cs="Arial"/>
                <w:bCs/>
              </w:rPr>
            </w:pPr>
            <w:r>
              <w:rPr>
                <w:rFonts w:ascii="Arial" w:hAnsi="Arial" w:cs="Arial"/>
                <w:bCs/>
              </w:rPr>
              <w:t>3%</w:t>
            </w:r>
          </w:p>
        </w:tc>
      </w:tr>
      <w:tr w:rsidR="0042727F" w:rsidRPr="004C15EC" w14:paraId="4C369AF9" w14:textId="7A05834E" w:rsidTr="00662ABD">
        <w:trPr>
          <w:trHeight w:val="310"/>
        </w:trPr>
        <w:tc>
          <w:tcPr>
            <w:tcW w:w="3695" w:type="dxa"/>
            <w:tcBorders>
              <w:top w:val="single" w:sz="4" w:space="0" w:color="000000"/>
              <w:left w:val="single" w:sz="4" w:space="0" w:color="000000"/>
              <w:bottom w:val="single" w:sz="4" w:space="0" w:color="000000"/>
              <w:right w:val="single" w:sz="4" w:space="0" w:color="000000"/>
            </w:tcBorders>
          </w:tcPr>
          <w:p w14:paraId="7F41A95D" w14:textId="77777777" w:rsidR="0042727F" w:rsidRPr="000637E0" w:rsidRDefault="0042727F" w:rsidP="0042727F">
            <w:pPr>
              <w:spacing w:line="259" w:lineRule="auto"/>
              <w:rPr>
                <w:rFonts w:ascii="Arial" w:hAnsi="Arial" w:cs="Arial"/>
              </w:rPr>
            </w:pPr>
            <w:r w:rsidRPr="000637E0">
              <w:rPr>
                <w:rFonts w:ascii="Arial" w:hAnsi="Arial" w:cs="Arial"/>
              </w:rPr>
              <w:t xml:space="preserve">SEN Inclusion fund </w:t>
            </w:r>
          </w:p>
        </w:tc>
        <w:tc>
          <w:tcPr>
            <w:tcW w:w="1070" w:type="dxa"/>
            <w:tcBorders>
              <w:top w:val="single" w:sz="4" w:space="0" w:color="000000"/>
              <w:left w:val="single" w:sz="4" w:space="0" w:color="000000"/>
              <w:bottom w:val="single" w:sz="4" w:space="0" w:color="000000"/>
              <w:right w:val="single" w:sz="4" w:space="0" w:color="000000"/>
            </w:tcBorders>
          </w:tcPr>
          <w:p w14:paraId="150B5A29" w14:textId="10B61BB4" w:rsidR="0042727F" w:rsidRPr="000637E0" w:rsidRDefault="0042727F" w:rsidP="0042727F">
            <w:pPr>
              <w:spacing w:line="259" w:lineRule="auto"/>
              <w:ind w:right="64"/>
              <w:jc w:val="right"/>
              <w:rPr>
                <w:rFonts w:ascii="Arial" w:hAnsi="Arial" w:cs="Arial"/>
              </w:rPr>
            </w:pPr>
            <w:r w:rsidRPr="000637E0">
              <w:rPr>
                <w:rFonts w:ascii="Arial" w:hAnsi="Arial" w:cs="Arial"/>
                <w:bCs/>
              </w:rPr>
              <w:t>0.04</w:t>
            </w:r>
          </w:p>
        </w:tc>
        <w:tc>
          <w:tcPr>
            <w:tcW w:w="1551" w:type="dxa"/>
            <w:tcBorders>
              <w:top w:val="single" w:sz="4" w:space="0" w:color="000000"/>
              <w:left w:val="single" w:sz="4" w:space="0" w:color="000000"/>
              <w:bottom w:val="single" w:sz="4" w:space="0" w:color="000000"/>
              <w:right w:val="single" w:sz="4" w:space="0" w:color="auto"/>
            </w:tcBorders>
          </w:tcPr>
          <w:p w14:paraId="2AD02984" w14:textId="35517A72" w:rsidR="0042727F" w:rsidRPr="000637E0" w:rsidRDefault="0042727F" w:rsidP="0042727F">
            <w:pPr>
              <w:ind w:right="64"/>
              <w:jc w:val="right"/>
              <w:rPr>
                <w:rFonts w:ascii="Arial" w:hAnsi="Arial" w:cs="Arial"/>
              </w:rPr>
            </w:pPr>
            <w:r>
              <w:rPr>
                <w:rFonts w:ascii="Arial" w:hAnsi="Arial" w:cs="Arial"/>
                <w:bCs/>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F8E96A8" w14:textId="4BE3765A" w:rsidR="0042727F" w:rsidRPr="000637E0" w:rsidRDefault="00522816" w:rsidP="0042727F">
            <w:pPr>
              <w:spacing w:line="259" w:lineRule="auto"/>
              <w:ind w:right="64"/>
              <w:jc w:val="right"/>
              <w:rPr>
                <w:rFonts w:ascii="Arial" w:hAnsi="Arial" w:cs="Arial"/>
                <w:bCs/>
              </w:rPr>
            </w:pPr>
            <w:r>
              <w:rPr>
                <w:rFonts w:ascii="Arial" w:hAnsi="Arial" w:cs="Arial"/>
                <w:bCs/>
              </w:rPr>
              <w:t>0.04</w:t>
            </w:r>
          </w:p>
        </w:tc>
        <w:tc>
          <w:tcPr>
            <w:tcW w:w="1548" w:type="dxa"/>
            <w:tcBorders>
              <w:top w:val="single" w:sz="4" w:space="0" w:color="auto"/>
              <w:left w:val="single" w:sz="4" w:space="0" w:color="auto"/>
              <w:bottom w:val="single" w:sz="4" w:space="0" w:color="auto"/>
              <w:right w:val="single" w:sz="4" w:space="0" w:color="auto"/>
            </w:tcBorders>
          </w:tcPr>
          <w:p w14:paraId="408B3615" w14:textId="29CD2DA7" w:rsidR="0042727F" w:rsidRPr="000637E0" w:rsidRDefault="00DA4908" w:rsidP="0042727F">
            <w:pPr>
              <w:ind w:right="64"/>
              <w:jc w:val="right"/>
              <w:rPr>
                <w:rFonts w:ascii="Arial" w:hAnsi="Arial" w:cs="Arial"/>
                <w:bCs/>
              </w:rPr>
            </w:pPr>
            <w:r>
              <w:rPr>
                <w:rFonts w:ascii="Arial" w:hAnsi="Arial" w:cs="Arial"/>
                <w:bCs/>
              </w:rPr>
              <w:t>1%</w:t>
            </w:r>
          </w:p>
        </w:tc>
      </w:tr>
      <w:tr w:rsidR="0042727F" w:rsidRPr="004C15EC" w14:paraId="659D5017" w14:textId="37A68917" w:rsidTr="00662ABD">
        <w:trPr>
          <w:trHeight w:val="310"/>
        </w:trPr>
        <w:tc>
          <w:tcPr>
            <w:tcW w:w="3695" w:type="dxa"/>
            <w:tcBorders>
              <w:top w:val="single" w:sz="4" w:space="0" w:color="000000"/>
              <w:left w:val="single" w:sz="4" w:space="0" w:color="000000"/>
              <w:bottom w:val="single" w:sz="4" w:space="0" w:color="000000"/>
              <w:right w:val="single" w:sz="4" w:space="0" w:color="000000"/>
            </w:tcBorders>
          </w:tcPr>
          <w:p w14:paraId="65E42AAE" w14:textId="77777777" w:rsidR="0042727F" w:rsidRPr="000637E0" w:rsidRDefault="0042727F" w:rsidP="0042727F">
            <w:pPr>
              <w:spacing w:line="259" w:lineRule="auto"/>
              <w:rPr>
                <w:rFonts w:ascii="Arial" w:hAnsi="Arial" w:cs="Arial"/>
              </w:rPr>
            </w:pPr>
            <w:r w:rsidRPr="000637E0">
              <w:rPr>
                <w:rFonts w:ascii="Arial" w:hAnsi="Arial" w:cs="Arial"/>
              </w:rPr>
              <w:t xml:space="preserve">Growth contingency fund </w:t>
            </w:r>
          </w:p>
        </w:tc>
        <w:tc>
          <w:tcPr>
            <w:tcW w:w="1070" w:type="dxa"/>
            <w:tcBorders>
              <w:top w:val="single" w:sz="4" w:space="0" w:color="000000"/>
              <w:left w:val="single" w:sz="4" w:space="0" w:color="000000"/>
              <w:bottom w:val="single" w:sz="4" w:space="0" w:color="000000"/>
              <w:right w:val="single" w:sz="4" w:space="0" w:color="000000"/>
            </w:tcBorders>
          </w:tcPr>
          <w:p w14:paraId="7D464872" w14:textId="11D327C8" w:rsidR="0042727F" w:rsidRPr="000637E0" w:rsidRDefault="0042727F" w:rsidP="0042727F">
            <w:pPr>
              <w:spacing w:line="259" w:lineRule="auto"/>
              <w:ind w:right="64"/>
              <w:jc w:val="right"/>
              <w:rPr>
                <w:rFonts w:ascii="Arial" w:hAnsi="Arial" w:cs="Arial"/>
              </w:rPr>
            </w:pPr>
            <w:r w:rsidRPr="000637E0">
              <w:rPr>
                <w:rFonts w:ascii="Arial" w:hAnsi="Arial" w:cs="Arial"/>
                <w:bCs/>
              </w:rPr>
              <w:t>0.06</w:t>
            </w:r>
          </w:p>
        </w:tc>
        <w:tc>
          <w:tcPr>
            <w:tcW w:w="1551" w:type="dxa"/>
            <w:tcBorders>
              <w:top w:val="single" w:sz="4" w:space="0" w:color="000000"/>
              <w:left w:val="single" w:sz="4" w:space="0" w:color="000000"/>
              <w:bottom w:val="single" w:sz="4" w:space="0" w:color="000000"/>
              <w:right w:val="single" w:sz="4" w:space="0" w:color="auto"/>
            </w:tcBorders>
          </w:tcPr>
          <w:p w14:paraId="2C0C202F" w14:textId="6CA9D841" w:rsidR="0042727F" w:rsidRPr="000637E0" w:rsidRDefault="0042727F" w:rsidP="0042727F">
            <w:pPr>
              <w:ind w:right="64"/>
              <w:jc w:val="right"/>
              <w:rPr>
                <w:rFonts w:ascii="Arial" w:hAnsi="Arial" w:cs="Arial"/>
              </w:rPr>
            </w:pPr>
            <w:r>
              <w:rPr>
                <w:rFonts w:ascii="Arial" w:hAnsi="Arial" w:cs="Arial"/>
                <w:bCs/>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C564B8E" w14:textId="24081A77" w:rsidR="0042727F" w:rsidRPr="000637E0" w:rsidRDefault="00522816" w:rsidP="0042727F">
            <w:pPr>
              <w:spacing w:line="259" w:lineRule="auto"/>
              <w:ind w:right="64"/>
              <w:jc w:val="right"/>
              <w:rPr>
                <w:rFonts w:ascii="Arial" w:hAnsi="Arial" w:cs="Arial"/>
                <w:bCs/>
              </w:rPr>
            </w:pPr>
            <w:r>
              <w:rPr>
                <w:rFonts w:ascii="Arial" w:hAnsi="Arial" w:cs="Arial"/>
                <w:bCs/>
              </w:rPr>
              <w:t>0.06</w:t>
            </w:r>
          </w:p>
        </w:tc>
        <w:tc>
          <w:tcPr>
            <w:tcW w:w="1548" w:type="dxa"/>
            <w:tcBorders>
              <w:top w:val="single" w:sz="4" w:space="0" w:color="auto"/>
              <w:left w:val="single" w:sz="4" w:space="0" w:color="auto"/>
              <w:bottom w:val="single" w:sz="4" w:space="0" w:color="auto"/>
              <w:right w:val="single" w:sz="4" w:space="0" w:color="auto"/>
            </w:tcBorders>
          </w:tcPr>
          <w:p w14:paraId="0AE5F972" w14:textId="68A797EB" w:rsidR="0042727F" w:rsidRPr="000637E0" w:rsidRDefault="00DA4908" w:rsidP="0042727F">
            <w:pPr>
              <w:ind w:right="64"/>
              <w:jc w:val="right"/>
              <w:rPr>
                <w:rFonts w:ascii="Arial" w:hAnsi="Arial" w:cs="Arial"/>
                <w:bCs/>
              </w:rPr>
            </w:pPr>
            <w:r>
              <w:rPr>
                <w:rFonts w:ascii="Arial" w:hAnsi="Arial" w:cs="Arial"/>
                <w:bCs/>
              </w:rPr>
              <w:t>1%</w:t>
            </w:r>
          </w:p>
        </w:tc>
      </w:tr>
      <w:tr w:rsidR="0042727F" w:rsidRPr="004C15EC" w14:paraId="3EC47C65" w14:textId="339F45D5" w:rsidTr="00662ABD">
        <w:trPr>
          <w:trHeight w:val="310"/>
        </w:trPr>
        <w:tc>
          <w:tcPr>
            <w:tcW w:w="3695" w:type="dxa"/>
            <w:tcBorders>
              <w:top w:val="single" w:sz="4" w:space="0" w:color="000000"/>
              <w:left w:val="single" w:sz="4" w:space="0" w:color="000000"/>
              <w:bottom w:val="single" w:sz="4" w:space="0" w:color="000000"/>
              <w:right w:val="single" w:sz="4" w:space="0" w:color="000000"/>
            </w:tcBorders>
          </w:tcPr>
          <w:p w14:paraId="5F166376" w14:textId="77777777" w:rsidR="0042727F" w:rsidRPr="000637E0" w:rsidRDefault="0042727F" w:rsidP="0042727F">
            <w:pPr>
              <w:spacing w:line="259" w:lineRule="auto"/>
              <w:rPr>
                <w:rFonts w:ascii="Arial" w:hAnsi="Arial" w:cs="Arial"/>
              </w:rPr>
            </w:pPr>
            <w:r w:rsidRPr="000637E0">
              <w:rPr>
                <w:rFonts w:ascii="Arial" w:hAnsi="Arial" w:cs="Arial"/>
                <w:b/>
              </w:rPr>
              <w:t xml:space="preserve">Total funding passed to settings </w:t>
            </w:r>
          </w:p>
        </w:tc>
        <w:tc>
          <w:tcPr>
            <w:tcW w:w="1070" w:type="dxa"/>
            <w:tcBorders>
              <w:top w:val="single" w:sz="4" w:space="0" w:color="000000"/>
              <w:left w:val="single" w:sz="4" w:space="0" w:color="000000"/>
              <w:bottom w:val="single" w:sz="4" w:space="0" w:color="000000"/>
              <w:right w:val="single" w:sz="4" w:space="0" w:color="000000"/>
            </w:tcBorders>
          </w:tcPr>
          <w:p w14:paraId="78F28F4A" w14:textId="4ADA2315" w:rsidR="0042727F" w:rsidRPr="000637E0" w:rsidRDefault="0042727F" w:rsidP="0042727F">
            <w:pPr>
              <w:spacing w:line="259" w:lineRule="auto"/>
              <w:ind w:right="64"/>
              <w:jc w:val="right"/>
              <w:rPr>
                <w:rFonts w:ascii="Arial" w:hAnsi="Arial" w:cs="Arial"/>
                <w:b/>
                <w:bCs/>
              </w:rPr>
            </w:pPr>
            <w:r w:rsidRPr="000637E0">
              <w:rPr>
                <w:rFonts w:ascii="Arial" w:hAnsi="Arial" w:cs="Arial"/>
                <w:b/>
              </w:rPr>
              <w:t>4.97</w:t>
            </w:r>
          </w:p>
        </w:tc>
        <w:tc>
          <w:tcPr>
            <w:tcW w:w="1551" w:type="dxa"/>
            <w:tcBorders>
              <w:top w:val="single" w:sz="4" w:space="0" w:color="000000"/>
              <w:left w:val="single" w:sz="4" w:space="0" w:color="000000"/>
              <w:bottom w:val="single" w:sz="4" w:space="0" w:color="000000"/>
              <w:right w:val="single" w:sz="4" w:space="0" w:color="auto"/>
            </w:tcBorders>
          </w:tcPr>
          <w:p w14:paraId="4D58A2D6" w14:textId="2D80C501" w:rsidR="0042727F" w:rsidRPr="000637E0" w:rsidRDefault="0042727F" w:rsidP="0042727F">
            <w:pPr>
              <w:ind w:right="66"/>
              <w:jc w:val="right"/>
              <w:rPr>
                <w:rFonts w:ascii="Arial" w:hAnsi="Arial" w:cs="Arial"/>
                <w:b/>
                <w:bCs/>
              </w:rPr>
            </w:pPr>
            <w:r>
              <w:rPr>
                <w:rFonts w:ascii="Arial" w:hAnsi="Arial" w:cs="Arial"/>
                <w:b/>
              </w:rPr>
              <w:t>95%</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C6FF988" w14:textId="5D4F0675" w:rsidR="0042727F" w:rsidRPr="000637E0" w:rsidRDefault="00E52639" w:rsidP="0042727F">
            <w:pPr>
              <w:spacing w:line="259" w:lineRule="auto"/>
              <w:ind w:right="64"/>
              <w:jc w:val="right"/>
              <w:rPr>
                <w:rFonts w:ascii="Arial" w:hAnsi="Arial" w:cs="Arial"/>
                <w:b/>
              </w:rPr>
            </w:pPr>
            <w:r>
              <w:rPr>
                <w:rFonts w:ascii="Arial" w:hAnsi="Arial" w:cs="Arial"/>
                <w:b/>
              </w:rPr>
              <w:t>5.8</w:t>
            </w:r>
            <w:r w:rsidR="00A11BC7">
              <w:rPr>
                <w:rFonts w:ascii="Arial" w:hAnsi="Arial" w:cs="Arial"/>
                <w:b/>
              </w:rPr>
              <w:t>0</w:t>
            </w:r>
          </w:p>
        </w:tc>
        <w:tc>
          <w:tcPr>
            <w:tcW w:w="1548" w:type="dxa"/>
            <w:tcBorders>
              <w:top w:val="single" w:sz="4" w:space="0" w:color="auto"/>
              <w:left w:val="single" w:sz="4" w:space="0" w:color="auto"/>
              <w:bottom w:val="single" w:sz="4" w:space="0" w:color="auto"/>
              <w:right w:val="single" w:sz="4" w:space="0" w:color="auto"/>
            </w:tcBorders>
          </w:tcPr>
          <w:p w14:paraId="0046D7CC" w14:textId="3BB78CF9" w:rsidR="0042727F" w:rsidRPr="000637E0" w:rsidRDefault="00E52639" w:rsidP="0042727F">
            <w:pPr>
              <w:ind w:right="64"/>
              <w:jc w:val="right"/>
              <w:rPr>
                <w:rFonts w:ascii="Arial" w:hAnsi="Arial" w:cs="Arial"/>
                <w:b/>
              </w:rPr>
            </w:pPr>
            <w:r>
              <w:rPr>
                <w:rFonts w:ascii="Arial" w:hAnsi="Arial" w:cs="Arial"/>
                <w:b/>
              </w:rPr>
              <w:t>9</w:t>
            </w:r>
            <w:r w:rsidR="00A11BC7">
              <w:rPr>
                <w:rFonts w:ascii="Arial" w:hAnsi="Arial" w:cs="Arial"/>
                <w:b/>
              </w:rPr>
              <w:t>5</w:t>
            </w:r>
            <w:r>
              <w:rPr>
                <w:rFonts w:ascii="Arial" w:hAnsi="Arial" w:cs="Arial"/>
                <w:b/>
              </w:rPr>
              <w:t>%</w:t>
            </w:r>
          </w:p>
        </w:tc>
      </w:tr>
      <w:tr w:rsidR="0042727F" w:rsidRPr="004C15EC" w14:paraId="266B5FCA" w14:textId="38D1514D" w:rsidTr="00662ABD">
        <w:trPr>
          <w:trHeight w:val="310"/>
        </w:trPr>
        <w:tc>
          <w:tcPr>
            <w:tcW w:w="3695" w:type="dxa"/>
            <w:tcBorders>
              <w:top w:val="single" w:sz="4" w:space="0" w:color="000000"/>
              <w:left w:val="single" w:sz="4" w:space="0" w:color="000000"/>
              <w:bottom w:val="single" w:sz="4" w:space="0" w:color="000000"/>
              <w:right w:val="single" w:sz="4" w:space="0" w:color="000000"/>
            </w:tcBorders>
          </w:tcPr>
          <w:p w14:paraId="12E50C0E" w14:textId="77777777" w:rsidR="0042727F" w:rsidRPr="000637E0" w:rsidRDefault="0042727F" w:rsidP="0042727F">
            <w:pPr>
              <w:spacing w:line="259" w:lineRule="auto"/>
              <w:rPr>
                <w:rFonts w:ascii="Arial" w:hAnsi="Arial" w:cs="Arial"/>
              </w:rPr>
            </w:pPr>
            <w:r w:rsidRPr="000637E0">
              <w:rPr>
                <w:rFonts w:ascii="Arial" w:hAnsi="Arial" w:cs="Arial"/>
              </w:rPr>
              <w:t xml:space="preserve">Centrally retained  </w:t>
            </w:r>
          </w:p>
        </w:tc>
        <w:tc>
          <w:tcPr>
            <w:tcW w:w="1070" w:type="dxa"/>
            <w:tcBorders>
              <w:top w:val="single" w:sz="4" w:space="0" w:color="000000"/>
              <w:left w:val="single" w:sz="4" w:space="0" w:color="000000"/>
              <w:bottom w:val="single" w:sz="4" w:space="0" w:color="000000"/>
              <w:right w:val="single" w:sz="4" w:space="0" w:color="000000"/>
            </w:tcBorders>
          </w:tcPr>
          <w:p w14:paraId="780C34FF" w14:textId="4012922D" w:rsidR="0042727F" w:rsidRPr="000637E0" w:rsidRDefault="0042727F" w:rsidP="0042727F">
            <w:pPr>
              <w:spacing w:line="259" w:lineRule="auto"/>
              <w:ind w:right="64"/>
              <w:jc w:val="right"/>
              <w:rPr>
                <w:rFonts w:ascii="Arial" w:hAnsi="Arial" w:cs="Arial"/>
              </w:rPr>
            </w:pPr>
            <w:r w:rsidRPr="00662ABD">
              <w:rPr>
                <w:rFonts w:ascii="Arial" w:hAnsi="Arial" w:cs="Arial"/>
                <w:bCs/>
              </w:rPr>
              <w:t>0.26</w:t>
            </w:r>
          </w:p>
        </w:tc>
        <w:tc>
          <w:tcPr>
            <w:tcW w:w="1551" w:type="dxa"/>
            <w:tcBorders>
              <w:top w:val="single" w:sz="4" w:space="0" w:color="000000"/>
              <w:left w:val="single" w:sz="4" w:space="0" w:color="000000"/>
              <w:bottom w:val="single" w:sz="4" w:space="0" w:color="000000"/>
              <w:right w:val="single" w:sz="4" w:space="0" w:color="000000"/>
            </w:tcBorders>
          </w:tcPr>
          <w:p w14:paraId="2E06311D" w14:textId="237EA7E2" w:rsidR="0042727F" w:rsidRPr="000637E0" w:rsidRDefault="0042727F" w:rsidP="0042727F">
            <w:pPr>
              <w:ind w:right="64"/>
              <w:jc w:val="right"/>
              <w:rPr>
                <w:rFonts w:ascii="Arial" w:hAnsi="Arial" w:cs="Arial"/>
              </w:rPr>
            </w:pPr>
            <w:r w:rsidRPr="00662ABD">
              <w:rPr>
                <w:rFonts w:ascii="Arial" w:hAnsi="Arial" w:cs="Arial"/>
                <w:bCs/>
              </w:rPr>
              <w:t>5%</w:t>
            </w:r>
          </w:p>
        </w:tc>
        <w:tc>
          <w:tcPr>
            <w:tcW w:w="1131" w:type="dxa"/>
            <w:tcBorders>
              <w:top w:val="single" w:sz="4" w:space="0" w:color="auto"/>
              <w:left w:val="single" w:sz="4" w:space="0" w:color="000000"/>
              <w:bottom w:val="single" w:sz="4" w:space="0" w:color="000000"/>
              <w:right w:val="single" w:sz="4" w:space="0" w:color="000000"/>
            </w:tcBorders>
          </w:tcPr>
          <w:p w14:paraId="075A1885" w14:textId="08FEB2F1" w:rsidR="0042727F" w:rsidRPr="000B788A" w:rsidRDefault="00036F7A" w:rsidP="0042727F">
            <w:pPr>
              <w:spacing w:line="259" w:lineRule="auto"/>
              <w:ind w:right="64"/>
              <w:jc w:val="right"/>
              <w:rPr>
                <w:rFonts w:ascii="Arial" w:hAnsi="Arial" w:cs="Arial"/>
                <w:bCs/>
              </w:rPr>
            </w:pPr>
            <w:r w:rsidRPr="000B788A">
              <w:rPr>
                <w:rFonts w:ascii="Arial" w:hAnsi="Arial" w:cs="Arial"/>
                <w:bCs/>
              </w:rPr>
              <w:t>0.</w:t>
            </w:r>
            <w:r w:rsidR="00A71E79">
              <w:rPr>
                <w:rFonts w:ascii="Arial" w:hAnsi="Arial" w:cs="Arial"/>
                <w:bCs/>
              </w:rPr>
              <w:t>30</w:t>
            </w:r>
          </w:p>
        </w:tc>
        <w:tc>
          <w:tcPr>
            <w:tcW w:w="1548" w:type="dxa"/>
            <w:tcBorders>
              <w:top w:val="single" w:sz="4" w:space="0" w:color="auto"/>
              <w:left w:val="single" w:sz="4" w:space="0" w:color="000000"/>
              <w:bottom w:val="single" w:sz="4" w:space="0" w:color="000000"/>
              <w:right w:val="single" w:sz="4" w:space="0" w:color="000000"/>
            </w:tcBorders>
          </w:tcPr>
          <w:p w14:paraId="5128C68C" w14:textId="2E2373D6" w:rsidR="0042727F" w:rsidRPr="000B788A" w:rsidRDefault="00A71E79" w:rsidP="0042727F">
            <w:pPr>
              <w:ind w:right="64"/>
              <w:jc w:val="right"/>
              <w:rPr>
                <w:rFonts w:ascii="Arial" w:hAnsi="Arial" w:cs="Arial"/>
                <w:bCs/>
              </w:rPr>
            </w:pPr>
            <w:r>
              <w:rPr>
                <w:rFonts w:ascii="Arial" w:hAnsi="Arial" w:cs="Arial"/>
                <w:bCs/>
              </w:rPr>
              <w:t>5</w:t>
            </w:r>
            <w:r w:rsidR="00E52639" w:rsidRPr="000B788A">
              <w:rPr>
                <w:rFonts w:ascii="Arial" w:hAnsi="Arial" w:cs="Arial"/>
                <w:bCs/>
              </w:rPr>
              <w:t>%</w:t>
            </w:r>
          </w:p>
        </w:tc>
      </w:tr>
      <w:tr w:rsidR="0042727F" w:rsidRPr="004C15EC" w14:paraId="683CA655" w14:textId="2455CD57" w:rsidTr="00662ABD">
        <w:trPr>
          <w:trHeight w:val="312"/>
        </w:trPr>
        <w:tc>
          <w:tcPr>
            <w:tcW w:w="3695" w:type="dxa"/>
            <w:tcBorders>
              <w:top w:val="single" w:sz="4" w:space="0" w:color="000000"/>
              <w:left w:val="single" w:sz="4" w:space="0" w:color="000000"/>
              <w:bottom w:val="single" w:sz="4" w:space="0" w:color="000000"/>
              <w:right w:val="single" w:sz="4" w:space="0" w:color="000000"/>
            </w:tcBorders>
          </w:tcPr>
          <w:p w14:paraId="00468813" w14:textId="77777777" w:rsidR="0042727F" w:rsidRPr="000637E0" w:rsidRDefault="0042727F" w:rsidP="0042727F">
            <w:pPr>
              <w:spacing w:line="259" w:lineRule="auto"/>
              <w:rPr>
                <w:rFonts w:ascii="Arial" w:hAnsi="Arial" w:cs="Arial"/>
              </w:rPr>
            </w:pPr>
            <w:r w:rsidRPr="000637E0">
              <w:rPr>
                <w:rFonts w:ascii="Arial" w:hAnsi="Arial" w:cs="Arial"/>
                <w:b/>
              </w:rPr>
              <w:t xml:space="preserve">Total </w:t>
            </w:r>
          </w:p>
        </w:tc>
        <w:tc>
          <w:tcPr>
            <w:tcW w:w="1070" w:type="dxa"/>
            <w:tcBorders>
              <w:top w:val="single" w:sz="4" w:space="0" w:color="000000"/>
              <w:left w:val="single" w:sz="4" w:space="0" w:color="000000"/>
              <w:bottom w:val="single" w:sz="4" w:space="0" w:color="000000"/>
              <w:right w:val="single" w:sz="4" w:space="0" w:color="000000"/>
            </w:tcBorders>
          </w:tcPr>
          <w:p w14:paraId="2CDF0384" w14:textId="4CFB5348" w:rsidR="0042727F" w:rsidRPr="000637E0" w:rsidRDefault="0042727F" w:rsidP="0042727F">
            <w:pPr>
              <w:spacing w:line="259" w:lineRule="auto"/>
              <w:ind w:right="64"/>
              <w:jc w:val="right"/>
              <w:rPr>
                <w:rFonts w:ascii="Arial" w:hAnsi="Arial" w:cs="Arial"/>
                <w:b/>
                <w:bCs/>
              </w:rPr>
            </w:pPr>
            <w:r w:rsidRPr="000637E0">
              <w:rPr>
                <w:rFonts w:ascii="Arial" w:hAnsi="Arial" w:cs="Arial"/>
                <w:b/>
              </w:rPr>
              <w:t>5.23</w:t>
            </w:r>
          </w:p>
        </w:tc>
        <w:tc>
          <w:tcPr>
            <w:tcW w:w="1551" w:type="dxa"/>
            <w:tcBorders>
              <w:top w:val="single" w:sz="4" w:space="0" w:color="000000"/>
              <w:left w:val="single" w:sz="4" w:space="0" w:color="000000"/>
              <w:bottom w:val="single" w:sz="4" w:space="0" w:color="000000"/>
              <w:right w:val="single" w:sz="4" w:space="0" w:color="000000"/>
            </w:tcBorders>
          </w:tcPr>
          <w:p w14:paraId="3D91486F" w14:textId="60B6C440" w:rsidR="0042727F" w:rsidRPr="000637E0" w:rsidRDefault="0042727F" w:rsidP="0042727F">
            <w:pPr>
              <w:ind w:right="67"/>
              <w:jc w:val="right"/>
              <w:rPr>
                <w:rFonts w:ascii="Arial" w:hAnsi="Arial" w:cs="Arial"/>
                <w:b/>
                <w:bCs/>
              </w:rPr>
            </w:pPr>
            <w:r>
              <w:rPr>
                <w:rFonts w:ascii="Arial" w:hAnsi="Arial" w:cs="Arial"/>
                <w:b/>
              </w:rPr>
              <w:t>100%</w:t>
            </w:r>
          </w:p>
        </w:tc>
        <w:tc>
          <w:tcPr>
            <w:tcW w:w="1131" w:type="dxa"/>
            <w:tcBorders>
              <w:top w:val="single" w:sz="4" w:space="0" w:color="000000"/>
              <w:left w:val="single" w:sz="4" w:space="0" w:color="000000"/>
              <w:bottom w:val="single" w:sz="4" w:space="0" w:color="000000"/>
              <w:right w:val="single" w:sz="4" w:space="0" w:color="000000"/>
            </w:tcBorders>
          </w:tcPr>
          <w:p w14:paraId="0296A4CB" w14:textId="025A608D" w:rsidR="0042727F" w:rsidRPr="000637E0" w:rsidRDefault="00036F7A" w:rsidP="0042727F">
            <w:pPr>
              <w:spacing w:line="259" w:lineRule="auto"/>
              <w:ind w:right="64"/>
              <w:jc w:val="right"/>
              <w:rPr>
                <w:rFonts w:ascii="Arial" w:hAnsi="Arial" w:cs="Arial"/>
                <w:b/>
              </w:rPr>
            </w:pPr>
            <w:r>
              <w:rPr>
                <w:rFonts w:ascii="Arial" w:hAnsi="Arial" w:cs="Arial"/>
                <w:b/>
              </w:rPr>
              <w:t>6.10</w:t>
            </w:r>
          </w:p>
        </w:tc>
        <w:tc>
          <w:tcPr>
            <w:tcW w:w="1548" w:type="dxa"/>
            <w:tcBorders>
              <w:top w:val="single" w:sz="4" w:space="0" w:color="000000"/>
              <w:left w:val="single" w:sz="4" w:space="0" w:color="000000"/>
              <w:bottom w:val="single" w:sz="4" w:space="0" w:color="000000"/>
              <w:right w:val="single" w:sz="4" w:space="0" w:color="000000"/>
            </w:tcBorders>
          </w:tcPr>
          <w:p w14:paraId="0AB34C57" w14:textId="074EEECE" w:rsidR="0042727F" w:rsidRPr="000637E0" w:rsidRDefault="00E52639" w:rsidP="0042727F">
            <w:pPr>
              <w:ind w:right="64"/>
              <w:jc w:val="right"/>
              <w:rPr>
                <w:rFonts w:ascii="Arial" w:hAnsi="Arial" w:cs="Arial"/>
                <w:b/>
              </w:rPr>
            </w:pPr>
            <w:r>
              <w:rPr>
                <w:rFonts w:ascii="Arial" w:hAnsi="Arial" w:cs="Arial"/>
                <w:b/>
              </w:rPr>
              <w:t>100%</w:t>
            </w:r>
          </w:p>
        </w:tc>
      </w:tr>
      <w:bookmarkEnd w:id="1"/>
    </w:tbl>
    <w:p w14:paraId="4E56329F" w14:textId="7F981516" w:rsidR="00183EAD" w:rsidRPr="00E63253" w:rsidRDefault="00183EAD" w:rsidP="00E63253">
      <w:pPr>
        <w:spacing w:after="0"/>
        <w:rPr>
          <w:rFonts w:ascii="Arial" w:hAnsi="Arial" w:cs="Arial"/>
          <w:b/>
          <w:bCs/>
          <w:sz w:val="24"/>
          <w:szCs w:val="24"/>
        </w:rPr>
      </w:pPr>
    </w:p>
    <w:p w14:paraId="086DF571" w14:textId="1C95A849" w:rsidR="00467E51" w:rsidRPr="000A38B1" w:rsidRDefault="00DA205E" w:rsidP="007C373C">
      <w:pPr>
        <w:pStyle w:val="ListParagraph"/>
        <w:numPr>
          <w:ilvl w:val="2"/>
          <w:numId w:val="1"/>
        </w:numPr>
        <w:spacing w:after="0"/>
        <w:ind w:left="1571" w:hanging="851"/>
        <w:rPr>
          <w:rFonts w:ascii="Arial" w:hAnsi="Arial" w:cs="Arial"/>
          <w:sz w:val="24"/>
          <w:szCs w:val="24"/>
        </w:rPr>
      </w:pPr>
      <w:r w:rsidRPr="00EE37B0">
        <w:rPr>
          <w:rFonts w:ascii="Arial" w:hAnsi="Arial" w:cs="Arial"/>
          <w:sz w:val="24"/>
          <w:szCs w:val="24"/>
        </w:rPr>
        <w:t xml:space="preserve">This would provide </w:t>
      </w:r>
      <w:r w:rsidRPr="004C4129">
        <w:rPr>
          <w:rFonts w:ascii="Arial" w:hAnsi="Arial" w:cs="Arial"/>
          <w:sz w:val="24"/>
          <w:szCs w:val="24"/>
        </w:rPr>
        <w:t xml:space="preserve">an </w:t>
      </w:r>
      <w:r w:rsidRPr="003013F2">
        <w:rPr>
          <w:rFonts w:ascii="Arial" w:hAnsi="Arial" w:cs="Arial"/>
          <w:b/>
          <w:bCs/>
          <w:sz w:val="24"/>
          <w:szCs w:val="24"/>
        </w:rPr>
        <w:t xml:space="preserve">hourly rate of </w:t>
      </w:r>
      <w:r w:rsidR="00E00136" w:rsidRPr="003013F2">
        <w:rPr>
          <w:rFonts w:ascii="Arial" w:hAnsi="Arial" w:cs="Arial"/>
          <w:b/>
          <w:bCs/>
          <w:sz w:val="24"/>
          <w:szCs w:val="24"/>
        </w:rPr>
        <w:t>£5.5</w:t>
      </w:r>
      <w:r w:rsidR="001024C4">
        <w:rPr>
          <w:rFonts w:ascii="Arial" w:hAnsi="Arial" w:cs="Arial"/>
          <w:b/>
          <w:bCs/>
          <w:sz w:val="24"/>
          <w:szCs w:val="24"/>
        </w:rPr>
        <w:t>0</w:t>
      </w:r>
      <w:r w:rsidR="00E00136" w:rsidRPr="004C4129">
        <w:rPr>
          <w:rFonts w:ascii="Arial" w:hAnsi="Arial" w:cs="Arial"/>
          <w:sz w:val="24"/>
          <w:szCs w:val="24"/>
        </w:rPr>
        <w:t xml:space="preserve"> </w:t>
      </w:r>
      <w:r w:rsidRPr="004C4129">
        <w:rPr>
          <w:rFonts w:ascii="Arial" w:hAnsi="Arial" w:cs="Arial"/>
          <w:sz w:val="24"/>
          <w:szCs w:val="24"/>
        </w:rPr>
        <w:t xml:space="preserve">for </w:t>
      </w:r>
      <w:r w:rsidR="003C06C4" w:rsidRPr="004C4129">
        <w:rPr>
          <w:rFonts w:ascii="Arial" w:hAnsi="Arial" w:cs="Arial"/>
          <w:sz w:val="24"/>
          <w:szCs w:val="24"/>
        </w:rPr>
        <w:t>three and four</w:t>
      </w:r>
      <w:r w:rsidR="007C373C">
        <w:rPr>
          <w:rFonts w:ascii="Arial" w:hAnsi="Arial" w:cs="Arial"/>
          <w:sz w:val="24"/>
          <w:szCs w:val="24"/>
        </w:rPr>
        <w:t xml:space="preserve"> </w:t>
      </w:r>
      <w:r w:rsidR="003C06C4" w:rsidRPr="004C4129">
        <w:rPr>
          <w:rFonts w:ascii="Arial" w:hAnsi="Arial" w:cs="Arial"/>
          <w:sz w:val="24"/>
          <w:szCs w:val="24"/>
        </w:rPr>
        <w:t>year</w:t>
      </w:r>
      <w:r w:rsidR="007C373C">
        <w:rPr>
          <w:rFonts w:ascii="Arial" w:hAnsi="Arial" w:cs="Arial"/>
          <w:sz w:val="24"/>
          <w:szCs w:val="24"/>
        </w:rPr>
        <w:t xml:space="preserve"> </w:t>
      </w:r>
      <w:r w:rsidR="003C06C4" w:rsidRPr="004C4129">
        <w:rPr>
          <w:rFonts w:ascii="Arial" w:hAnsi="Arial" w:cs="Arial"/>
          <w:sz w:val="24"/>
          <w:szCs w:val="24"/>
        </w:rPr>
        <w:t>olds</w:t>
      </w:r>
      <w:r w:rsidRPr="000A38B1">
        <w:rPr>
          <w:rFonts w:ascii="Arial" w:hAnsi="Arial" w:cs="Arial"/>
          <w:sz w:val="24"/>
          <w:szCs w:val="24"/>
        </w:rPr>
        <w:t>.</w:t>
      </w:r>
    </w:p>
    <w:p w14:paraId="7D3D7C57" w14:textId="336E8143" w:rsidR="00662ABD" w:rsidRDefault="001437C8" w:rsidP="00E5540A">
      <w:pPr>
        <w:spacing w:after="0"/>
        <w:rPr>
          <w:rFonts w:ascii="Arial" w:hAnsi="Arial" w:cs="Arial"/>
          <w:b/>
          <w:bCs/>
          <w:sz w:val="24"/>
          <w:szCs w:val="24"/>
        </w:rPr>
      </w:pPr>
      <w:r w:rsidRPr="0042727F">
        <w:rPr>
          <w:rFonts w:ascii="Arial" w:hAnsi="Arial" w:cs="Arial"/>
          <w:b/>
          <w:bCs/>
          <w:sz w:val="24"/>
          <w:szCs w:val="24"/>
        </w:rPr>
        <w:t>Deprivation</w:t>
      </w:r>
      <w:r w:rsidR="00662ABD" w:rsidRPr="0042727F">
        <w:rPr>
          <w:rFonts w:ascii="Arial" w:hAnsi="Arial" w:cs="Arial"/>
          <w:b/>
          <w:bCs/>
          <w:sz w:val="24"/>
          <w:szCs w:val="24"/>
        </w:rPr>
        <w:t xml:space="preserve"> </w:t>
      </w:r>
    </w:p>
    <w:p w14:paraId="4F1DB6EF" w14:textId="5E57E271" w:rsidR="00662ABD" w:rsidRDefault="00662ABD" w:rsidP="007C373C">
      <w:pPr>
        <w:pStyle w:val="ListParagraph"/>
        <w:numPr>
          <w:ilvl w:val="2"/>
          <w:numId w:val="1"/>
        </w:numPr>
        <w:spacing w:after="0"/>
        <w:ind w:left="1571" w:hanging="851"/>
        <w:rPr>
          <w:rFonts w:ascii="Arial" w:hAnsi="Arial" w:cs="Arial"/>
          <w:sz w:val="24"/>
          <w:szCs w:val="24"/>
        </w:rPr>
      </w:pPr>
      <w:r w:rsidRPr="000A38B1">
        <w:rPr>
          <w:rFonts w:ascii="Arial" w:hAnsi="Arial" w:cs="Arial"/>
          <w:sz w:val="24"/>
          <w:szCs w:val="24"/>
        </w:rPr>
        <w:t>Deprivation remains a mandatory supplement</w:t>
      </w:r>
      <w:r w:rsidR="0070462F" w:rsidRPr="000A38B1">
        <w:rPr>
          <w:rFonts w:ascii="Arial" w:hAnsi="Arial" w:cs="Arial"/>
          <w:sz w:val="24"/>
          <w:szCs w:val="24"/>
        </w:rPr>
        <w:t xml:space="preserve"> for </w:t>
      </w:r>
      <w:r w:rsidR="002F5E64">
        <w:rPr>
          <w:rFonts w:ascii="Arial" w:hAnsi="Arial" w:cs="Arial"/>
          <w:sz w:val="24"/>
          <w:szCs w:val="24"/>
        </w:rPr>
        <w:t xml:space="preserve">three </w:t>
      </w:r>
      <w:r w:rsidR="005B483B">
        <w:rPr>
          <w:rFonts w:ascii="Arial" w:hAnsi="Arial" w:cs="Arial"/>
          <w:sz w:val="24"/>
          <w:szCs w:val="24"/>
        </w:rPr>
        <w:t>a</w:t>
      </w:r>
      <w:r w:rsidR="00471E90" w:rsidRPr="000A38B1">
        <w:rPr>
          <w:rFonts w:ascii="Arial" w:hAnsi="Arial" w:cs="Arial"/>
          <w:sz w:val="24"/>
          <w:szCs w:val="24"/>
        </w:rPr>
        <w:t xml:space="preserve">nd </w:t>
      </w:r>
      <w:r w:rsidR="002F5E64">
        <w:rPr>
          <w:rFonts w:ascii="Arial" w:hAnsi="Arial" w:cs="Arial"/>
          <w:sz w:val="24"/>
          <w:szCs w:val="24"/>
        </w:rPr>
        <w:t xml:space="preserve">four </w:t>
      </w:r>
      <w:r w:rsidR="00471E90" w:rsidRPr="000A38B1">
        <w:rPr>
          <w:rFonts w:ascii="Arial" w:hAnsi="Arial" w:cs="Arial"/>
          <w:sz w:val="24"/>
          <w:szCs w:val="24"/>
        </w:rPr>
        <w:t>year</w:t>
      </w:r>
      <w:r w:rsidR="002F5E64">
        <w:rPr>
          <w:rFonts w:ascii="Arial" w:hAnsi="Arial" w:cs="Arial"/>
          <w:sz w:val="24"/>
          <w:szCs w:val="24"/>
        </w:rPr>
        <w:t xml:space="preserve"> </w:t>
      </w:r>
      <w:r w:rsidR="00471E90" w:rsidRPr="000A38B1">
        <w:rPr>
          <w:rFonts w:ascii="Arial" w:hAnsi="Arial" w:cs="Arial"/>
          <w:sz w:val="24"/>
          <w:szCs w:val="24"/>
        </w:rPr>
        <w:t>olds</w:t>
      </w:r>
      <w:r w:rsidRPr="000A38B1">
        <w:rPr>
          <w:rFonts w:ascii="Arial" w:hAnsi="Arial" w:cs="Arial"/>
          <w:sz w:val="24"/>
          <w:szCs w:val="24"/>
        </w:rPr>
        <w:t>.  The Council is proposing to continue to use the current deprivation indices based on pupil IDACI</w:t>
      </w:r>
      <w:r w:rsidR="0059057C" w:rsidRPr="002F5E64">
        <w:rPr>
          <w:rFonts w:ascii="Arial" w:hAnsi="Arial" w:cs="Arial"/>
          <w:sz w:val="24"/>
          <w:szCs w:val="24"/>
          <w:vertAlign w:val="superscript"/>
        </w:rPr>
        <w:footnoteReference w:id="3"/>
      </w:r>
      <w:r w:rsidRPr="000A38B1">
        <w:rPr>
          <w:rFonts w:ascii="Arial" w:hAnsi="Arial" w:cs="Arial"/>
          <w:sz w:val="24"/>
          <w:szCs w:val="24"/>
        </w:rPr>
        <w:t>. Deprivation rates will remain at the same values as 202</w:t>
      </w:r>
      <w:r w:rsidR="0042727F">
        <w:rPr>
          <w:rFonts w:ascii="Arial" w:hAnsi="Arial" w:cs="Arial"/>
          <w:sz w:val="24"/>
          <w:szCs w:val="24"/>
        </w:rPr>
        <w:t>3</w:t>
      </w:r>
      <w:r w:rsidRPr="000A38B1">
        <w:rPr>
          <w:rFonts w:ascii="Arial" w:hAnsi="Arial" w:cs="Arial"/>
          <w:sz w:val="24"/>
          <w:szCs w:val="24"/>
        </w:rPr>
        <w:t>-2</w:t>
      </w:r>
      <w:r w:rsidR="0042727F">
        <w:rPr>
          <w:rFonts w:ascii="Arial" w:hAnsi="Arial" w:cs="Arial"/>
          <w:sz w:val="24"/>
          <w:szCs w:val="24"/>
        </w:rPr>
        <w:t>4</w:t>
      </w:r>
      <w:r w:rsidRPr="000A38B1">
        <w:rPr>
          <w:rFonts w:ascii="Arial" w:hAnsi="Arial" w:cs="Arial"/>
          <w:sz w:val="24"/>
          <w:szCs w:val="24"/>
        </w:rPr>
        <w:t>, to enable the authority to maximise the amount paid through the basic hourly rate.</w:t>
      </w:r>
    </w:p>
    <w:p w14:paraId="1753E232" w14:textId="65C8E37E" w:rsidR="0060083B" w:rsidRDefault="0060083B">
      <w:pPr>
        <w:rPr>
          <w:rFonts w:ascii="Arial" w:hAnsi="Arial" w:cs="Arial"/>
          <w:sz w:val="24"/>
          <w:szCs w:val="24"/>
        </w:rPr>
      </w:pPr>
    </w:p>
    <w:tbl>
      <w:tblPr>
        <w:tblStyle w:val="TableGrid0"/>
        <w:tblW w:w="5220" w:type="dxa"/>
        <w:tblInd w:w="1075" w:type="dxa"/>
        <w:tblCellMar>
          <w:top w:w="8" w:type="dxa"/>
          <w:left w:w="115" w:type="dxa"/>
          <w:right w:w="115" w:type="dxa"/>
        </w:tblCellMar>
        <w:tblLook w:val="04A0" w:firstRow="1" w:lastRow="0" w:firstColumn="1" w:lastColumn="0" w:noHBand="0" w:noVBand="1"/>
      </w:tblPr>
      <w:tblGrid>
        <w:gridCol w:w="2880"/>
        <w:gridCol w:w="2340"/>
      </w:tblGrid>
      <w:tr w:rsidR="00467E51" w:rsidRPr="004C15EC" w14:paraId="75B438DB" w14:textId="77777777" w:rsidTr="00D25E7F">
        <w:trPr>
          <w:trHeight w:val="562"/>
        </w:trPr>
        <w:tc>
          <w:tcPr>
            <w:tcW w:w="5220" w:type="dxa"/>
            <w:gridSpan w:val="2"/>
            <w:tcBorders>
              <w:top w:val="single" w:sz="4" w:space="0" w:color="000000"/>
              <w:left w:val="single" w:sz="4" w:space="0" w:color="000000"/>
              <w:bottom w:val="single" w:sz="4" w:space="0" w:color="000000"/>
              <w:right w:val="single" w:sz="4" w:space="0" w:color="000000"/>
            </w:tcBorders>
            <w:vAlign w:val="center"/>
          </w:tcPr>
          <w:p w14:paraId="223C1311" w14:textId="54447873" w:rsidR="00467E51" w:rsidRDefault="00467E51" w:rsidP="00467E51">
            <w:pPr>
              <w:ind w:left="34"/>
              <w:rPr>
                <w:rFonts w:ascii="Arial" w:hAnsi="Arial" w:cs="Arial"/>
                <w:b/>
              </w:rPr>
            </w:pPr>
            <w:r>
              <w:rPr>
                <w:rFonts w:ascii="Arial" w:hAnsi="Arial" w:cs="Arial"/>
                <w:b/>
              </w:rPr>
              <w:t xml:space="preserve">Table </w:t>
            </w:r>
            <w:r w:rsidR="00535245">
              <w:rPr>
                <w:rFonts w:ascii="Arial" w:hAnsi="Arial" w:cs="Arial"/>
                <w:b/>
              </w:rPr>
              <w:t>2</w:t>
            </w:r>
            <w:r>
              <w:rPr>
                <w:rFonts w:ascii="Arial" w:hAnsi="Arial" w:cs="Arial"/>
                <w:b/>
              </w:rPr>
              <w:t>: Deprivation funding 202</w:t>
            </w:r>
            <w:r w:rsidR="005B483B">
              <w:rPr>
                <w:rFonts w:ascii="Arial" w:hAnsi="Arial" w:cs="Arial"/>
                <w:b/>
              </w:rPr>
              <w:t>4</w:t>
            </w:r>
            <w:r>
              <w:rPr>
                <w:rFonts w:ascii="Arial" w:hAnsi="Arial" w:cs="Arial"/>
                <w:b/>
              </w:rPr>
              <w:t>-2</w:t>
            </w:r>
            <w:r w:rsidR="005B483B">
              <w:rPr>
                <w:rFonts w:ascii="Arial" w:hAnsi="Arial" w:cs="Arial"/>
                <w:b/>
              </w:rPr>
              <w:t>5</w:t>
            </w:r>
          </w:p>
        </w:tc>
      </w:tr>
      <w:tr w:rsidR="00662ABD" w:rsidRPr="004C15EC" w14:paraId="01F68926" w14:textId="77777777" w:rsidTr="00D25E7F">
        <w:trPr>
          <w:trHeight w:val="562"/>
        </w:trPr>
        <w:tc>
          <w:tcPr>
            <w:tcW w:w="2880" w:type="dxa"/>
            <w:tcBorders>
              <w:top w:val="single" w:sz="4" w:space="0" w:color="000000"/>
              <w:left w:val="single" w:sz="4" w:space="0" w:color="000000"/>
              <w:bottom w:val="single" w:sz="4" w:space="0" w:color="000000"/>
              <w:right w:val="single" w:sz="4" w:space="0" w:color="000000"/>
            </w:tcBorders>
            <w:vAlign w:val="center"/>
          </w:tcPr>
          <w:p w14:paraId="54300E76" w14:textId="544CCAC7" w:rsidR="00662ABD" w:rsidRPr="00D25E7F" w:rsidRDefault="00467E51" w:rsidP="00D25E7F">
            <w:pPr>
              <w:spacing w:line="259" w:lineRule="auto"/>
              <w:ind w:left="34"/>
              <w:jc w:val="center"/>
              <w:rPr>
                <w:rFonts w:ascii="Arial" w:hAnsi="Arial" w:cs="Arial"/>
                <w:b/>
              </w:rPr>
            </w:pPr>
            <w:r>
              <w:rPr>
                <w:rFonts w:ascii="Arial" w:hAnsi="Arial" w:cs="Arial"/>
                <w:b/>
              </w:rPr>
              <w:t xml:space="preserve">Deprivation </w:t>
            </w:r>
            <w:r w:rsidR="00662ABD" w:rsidRPr="00662ABD">
              <w:rPr>
                <w:rFonts w:ascii="Arial" w:hAnsi="Arial" w:cs="Arial"/>
                <w:b/>
              </w:rPr>
              <w:t xml:space="preserve">Band </w:t>
            </w:r>
          </w:p>
        </w:tc>
        <w:tc>
          <w:tcPr>
            <w:tcW w:w="2340" w:type="dxa"/>
            <w:tcBorders>
              <w:top w:val="single" w:sz="4" w:space="0" w:color="000000"/>
              <w:left w:val="single" w:sz="4" w:space="0" w:color="000000"/>
              <w:bottom w:val="single" w:sz="4" w:space="0" w:color="000000"/>
              <w:right w:val="single" w:sz="4" w:space="0" w:color="000000"/>
            </w:tcBorders>
          </w:tcPr>
          <w:p w14:paraId="32DE1DF0" w14:textId="7A08B9FB" w:rsidR="008E0809" w:rsidRDefault="00467E51" w:rsidP="00421CA7">
            <w:pPr>
              <w:spacing w:line="259" w:lineRule="auto"/>
              <w:ind w:left="34"/>
              <w:jc w:val="center"/>
              <w:rPr>
                <w:rFonts w:ascii="Arial" w:hAnsi="Arial" w:cs="Arial"/>
                <w:b/>
              </w:rPr>
            </w:pPr>
            <w:r>
              <w:rPr>
                <w:rFonts w:ascii="Arial" w:hAnsi="Arial" w:cs="Arial"/>
                <w:b/>
              </w:rPr>
              <w:t>Funding p</w:t>
            </w:r>
            <w:r w:rsidR="008E0809">
              <w:rPr>
                <w:rFonts w:ascii="Arial" w:hAnsi="Arial" w:cs="Arial"/>
                <w:b/>
              </w:rPr>
              <w:t>er hour</w:t>
            </w:r>
          </w:p>
          <w:p w14:paraId="52A79471" w14:textId="58AAFDF9" w:rsidR="00662ABD" w:rsidRPr="00662ABD" w:rsidRDefault="00662ABD" w:rsidP="00421CA7">
            <w:pPr>
              <w:spacing w:line="259" w:lineRule="auto"/>
              <w:ind w:left="34"/>
              <w:jc w:val="center"/>
              <w:rPr>
                <w:rFonts w:ascii="Arial" w:hAnsi="Arial" w:cs="Arial"/>
              </w:rPr>
            </w:pPr>
            <w:r w:rsidRPr="00662ABD">
              <w:rPr>
                <w:rFonts w:ascii="Arial" w:hAnsi="Arial" w:cs="Arial"/>
                <w:b/>
              </w:rPr>
              <w:t xml:space="preserve">£ </w:t>
            </w:r>
          </w:p>
        </w:tc>
      </w:tr>
      <w:tr w:rsidR="00662ABD" w:rsidRPr="004C15EC" w14:paraId="291488EB" w14:textId="77777777" w:rsidTr="00D25E7F">
        <w:trPr>
          <w:trHeight w:val="288"/>
        </w:trPr>
        <w:tc>
          <w:tcPr>
            <w:tcW w:w="2880" w:type="dxa"/>
            <w:tcBorders>
              <w:top w:val="single" w:sz="4" w:space="0" w:color="000000"/>
              <w:left w:val="single" w:sz="4" w:space="0" w:color="000000"/>
              <w:bottom w:val="single" w:sz="4" w:space="0" w:color="000000"/>
              <w:right w:val="single" w:sz="4" w:space="0" w:color="000000"/>
            </w:tcBorders>
          </w:tcPr>
          <w:p w14:paraId="69F81EF7" w14:textId="77777777" w:rsidR="00662ABD" w:rsidRPr="00662ABD" w:rsidRDefault="00662ABD" w:rsidP="00421CA7">
            <w:pPr>
              <w:spacing w:line="259" w:lineRule="auto"/>
              <w:ind w:left="78"/>
              <w:jc w:val="center"/>
              <w:rPr>
                <w:rFonts w:ascii="Arial" w:hAnsi="Arial" w:cs="Arial"/>
              </w:rPr>
            </w:pPr>
            <w:r w:rsidRPr="00662ABD">
              <w:rPr>
                <w:rFonts w:ascii="Arial" w:hAnsi="Arial" w:cs="Arial"/>
              </w:rPr>
              <w:t xml:space="preserve">1 </w:t>
            </w:r>
          </w:p>
        </w:tc>
        <w:tc>
          <w:tcPr>
            <w:tcW w:w="2340" w:type="dxa"/>
            <w:tcBorders>
              <w:top w:val="single" w:sz="4" w:space="0" w:color="000000"/>
              <w:left w:val="single" w:sz="4" w:space="0" w:color="000000"/>
              <w:bottom w:val="single" w:sz="4" w:space="0" w:color="000000"/>
              <w:right w:val="single" w:sz="4" w:space="0" w:color="000000"/>
            </w:tcBorders>
          </w:tcPr>
          <w:p w14:paraId="6EC8D15B" w14:textId="0BC11CC7" w:rsidR="00662ABD" w:rsidRPr="00662ABD" w:rsidRDefault="00662ABD" w:rsidP="00662ABD">
            <w:pPr>
              <w:spacing w:line="259" w:lineRule="auto"/>
              <w:ind w:left="75"/>
              <w:jc w:val="right"/>
              <w:rPr>
                <w:rFonts w:ascii="Arial" w:hAnsi="Arial" w:cs="Arial"/>
              </w:rPr>
            </w:pPr>
            <w:r w:rsidRPr="00662ABD">
              <w:rPr>
                <w:rFonts w:ascii="Arial" w:hAnsi="Arial" w:cs="Arial"/>
              </w:rPr>
              <w:t xml:space="preserve">0.45 </w:t>
            </w:r>
          </w:p>
        </w:tc>
      </w:tr>
      <w:tr w:rsidR="00662ABD" w:rsidRPr="004C15EC" w14:paraId="6A911AED" w14:textId="77777777" w:rsidTr="00D25E7F">
        <w:trPr>
          <w:trHeight w:val="286"/>
        </w:trPr>
        <w:tc>
          <w:tcPr>
            <w:tcW w:w="2880" w:type="dxa"/>
            <w:tcBorders>
              <w:top w:val="single" w:sz="4" w:space="0" w:color="000000"/>
              <w:left w:val="single" w:sz="4" w:space="0" w:color="000000"/>
              <w:bottom w:val="single" w:sz="4" w:space="0" w:color="000000"/>
              <w:right w:val="single" w:sz="4" w:space="0" w:color="000000"/>
            </w:tcBorders>
          </w:tcPr>
          <w:p w14:paraId="13D578C3" w14:textId="77777777" w:rsidR="00662ABD" w:rsidRPr="00662ABD" w:rsidRDefault="00662ABD" w:rsidP="00421CA7">
            <w:pPr>
              <w:spacing w:line="259" w:lineRule="auto"/>
              <w:ind w:left="78"/>
              <w:jc w:val="center"/>
              <w:rPr>
                <w:rFonts w:ascii="Arial" w:hAnsi="Arial" w:cs="Arial"/>
              </w:rPr>
            </w:pPr>
            <w:r w:rsidRPr="00662ABD">
              <w:rPr>
                <w:rFonts w:ascii="Arial" w:hAnsi="Arial" w:cs="Arial"/>
              </w:rPr>
              <w:t xml:space="preserve">2 </w:t>
            </w:r>
          </w:p>
        </w:tc>
        <w:tc>
          <w:tcPr>
            <w:tcW w:w="2340" w:type="dxa"/>
            <w:tcBorders>
              <w:top w:val="single" w:sz="4" w:space="0" w:color="000000"/>
              <w:left w:val="single" w:sz="4" w:space="0" w:color="000000"/>
              <w:bottom w:val="single" w:sz="4" w:space="0" w:color="000000"/>
              <w:right w:val="single" w:sz="4" w:space="0" w:color="000000"/>
            </w:tcBorders>
          </w:tcPr>
          <w:p w14:paraId="7F869F10" w14:textId="0A79C195" w:rsidR="00662ABD" w:rsidRPr="00662ABD" w:rsidRDefault="00662ABD" w:rsidP="00662ABD">
            <w:pPr>
              <w:spacing w:line="259" w:lineRule="auto"/>
              <w:ind w:left="75"/>
              <w:jc w:val="right"/>
              <w:rPr>
                <w:rFonts w:ascii="Arial" w:hAnsi="Arial" w:cs="Arial"/>
              </w:rPr>
            </w:pPr>
            <w:r w:rsidRPr="00662ABD">
              <w:rPr>
                <w:rFonts w:ascii="Arial" w:hAnsi="Arial" w:cs="Arial"/>
              </w:rPr>
              <w:t xml:space="preserve">0.34 </w:t>
            </w:r>
          </w:p>
        </w:tc>
      </w:tr>
      <w:tr w:rsidR="00662ABD" w:rsidRPr="004C15EC" w14:paraId="5395AC73" w14:textId="77777777" w:rsidTr="00D25E7F">
        <w:trPr>
          <w:trHeight w:val="286"/>
        </w:trPr>
        <w:tc>
          <w:tcPr>
            <w:tcW w:w="2880" w:type="dxa"/>
            <w:tcBorders>
              <w:top w:val="single" w:sz="4" w:space="0" w:color="000000"/>
              <w:left w:val="single" w:sz="4" w:space="0" w:color="000000"/>
              <w:bottom w:val="single" w:sz="4" w:space="0" w:color="000000"/>
              <w:right w:val="single" w:sz="4" w:space="0" w:color="000000"/>
            </w:tcBorders>
          </w:tcPr>
          <w:p w14:paraId="5BC2E883" w14:textId="77777777" w:rsidR="00662ABD" w:rsidRPr="00662ABD" w:rsidRDefault="00662ABD" w:rsidP="00421CA7">
            <w:pPr>
              <w:spacing w:line="259" w:lineRule="auto"/>
              <w:ind w:left="78"/>
              <w:jc w:val="center"/>
              <w:rPr>
                <w:rFonts w:ascii="Arial" w:hAnsi="Arial" w:cs="Arial"/>
              </w:rPr>
            </w:pPr>
            <w:r w:rsidRPr="00662ABD">
              <w:rPr>
                <w:rFonts w:ascii="Arial" w:hAnsi="Arial" w:cs="Arial"/>
              </w:rPr>
              <w:t xml:space="preserve">3 </w:t>
            </w:r>
          </w:p>
        </w:tc>
        <w:tc>
          <w:tcPr>
            <w:tcW w:w="2340" w:type="dxa"/>
            <w:tcBorders>
              <w:top w:val="single" w:sz="4" w:space="0" w:color="000000"/>
              <w:left w:val="single" w:sz="4" w:space="0" w:color="000000"/>
              <w:bottom w:val="single" w:sz="4" w:space="0" w:color="000000"/>
              <w:right w:val="single" w:sz="4" w:space="0" w:color="000000"/>
            </w:tcBorders>
          </w:tcPr>
          <w:p w14:paraId="5F5ED170" w14:textId="7C0428F2" w:rsidR="00662ABD" w:rsidRPr="00662ABD" w:rsidRDefault="00662ABD" w:rsidP="00662ABD">
            <w:pPr>
              <w:spacing w:line="259" w:lineRule="auto"/>
              <w:ind w:left="75"/>
              <w:jc w:val="right"/>
              <w:rPr>
                <w:rFonts w:ascii="Arial" w:hAnsi="Arial" w:cs="Arial"/>
              </w:rPr>
            </w:pPr>
            <w:r w:rsidRPr="00662ABD">
              <w:rPr>
                <w:rFonts w:ascii="Arial" w:hAnsi="Arial" w:cs="Arial"/>
              </w:rPr>
              <w:t xml:space="preserve">0.22 </w:t>
            </w:r>
          </w:p>
        </w:tc>
      </w:tr>
      <w:tr w:rsidR="00662ABD" w:rsidRPr="004C15EC" w14:paraId="69906F81" w14:textId="77777777" w:rsidTr="00D25E7F">
        <w:trPr>
          <w:trHeight w:val="286"/>
        </w:trPr>
        <w:tc>
          <w:tcPr>
            <w:tcW w:w="2880" w:type="dxa"/>
            <w:tcBorders>
              <w:top w:val="single" w:sz="4" w:space="0" w:color="000000"/>
              <w:left w:val="single" w:sz="4" w:space="0" w:color="000000"/>
              <w:bottom w:val="single" w:sz="4" w:space="0" w:color="000000"/>
              <w:right w:val="single" w:sz="4" w:space="0" w:color="000000"/>
            </w:tcBorders>
          </w:tcPr>
          <w:p w14:paraId="30058DCC" w14:textId="77777777" w:rsidR="00662ABD" w:rsidRPr="00662ABD" w:rsidRDefault="00662ABD" w:rsidP="00421CA7">
            <w:pPr>
              <w:spacing w:line="259" w:lineRule="auto"/>
              <w:ind w:left="78"/>
              <w:jc w:val="center"/>
              <w:rPr>
                <w:rFonts w:ascii="Arial" w:hAnsi="Arial" w:cs="Arial"/>
              </w:rPr>
            </w:pPr>
            <w:r w:rsidRPr="00662ABD">
              <w:rPr>
                <w:rFonts w:ascii="Arial" w:hAnsi="Arial" w:cs="Arial"/>
              </w:rPr>
              <w:t xml:space="preserve">4 </w:t>
            </w:r>
          </w:p>
        </w:tc>
        <w:tc>
          <w:tcPr>
            <w:tcW w:w="2340" w:type="dxa"/>
            <w:tcBorders>
              <w:top w:val="single" w:sz="4" w:space="0" w:color="000000"/>
              <w:left w:val="single" w:sz="4" w:space="0" w:color="000000"/>
              <w:bottom w:val="single" w:sz="4" w:space="0" w:color="000000"/>
              <w:right w:val="single" w:sz="4" w:space="0" w:color="000000"/>
            </w:tcBorders>
          </w:tcPr>
          <w:p w14:paraId="601D92AA" w14:textId="46A3D87B" w:rsidR="00662ABD" w:rsidRPr="00662ABD" w:rsidRDefault="00662ABD" w:rsidP="00662ABD">
            <w:pPr>
              <w:spacing w:line="259" w:lineRule="auto"/>
              <w:ind w:left="75"/>
              <w:jc w:val="right"/>
              <w:rPr>
                <w:rFonts w:ascii="Arial" w:hAnsi="Arial" w:cs="Arial"/>
              </w:rPr>
            </w:pPr>
            <w:r w:rsidRPr="00662ABD">
              <w:rPr>
                <w:rFonts w:ascii="Arial" w:hAnsi="Arial" w:cs="Arial"/>
              </w:rPr>
              <w:t xml:space="preserve">0.11 </w:t>
            </w:r>
          </w:p>
        </w:tc>
      </w:tr>
      <w:tr w:rsidR="00662ABD" w:rsidRPr="004C15EC" w14:paraId="1478780D" w14:textId="77777777" w:rsidTr="00D25E7F">
        <w:trPr>
          <w:trHeight w:val="286"/>
        </w:trPr>
        <w:tc>
          <w:tcPr>
            <w:tcW w:w="2880" w:type="dxa"/>
            <w:tcBorders>
              <w:top w:val="single" w:sz="4" w:space="0" w:color="000000"/>
              <w:left w:val="single" w:sz="4" w:space="0" w:color="000000"/>
              <w:bottom w:val="single" w:sz="4" w:space="0" w:color="000000"/>
              <w:right w:val="single" w:sz="4" w:space="0" w:color="000000"/>
            </w:tcBorders>
          </w:tcPr>
          <w:p w14:paraId="65128958" w14:textId="77777777" w:rsidR="00662ABD" w:rsidRPr="00662ABD" w:rsidRDefault="00662ABD" w:rsidP="00421CA7">
            <w:pPr>
              <w:spacing w:line="259" w:lineRule="auto"/>
              <w:ind w:left="78"/>
              <w:jc w:val="center"/>
              <w:rPr>
                <w:rFonts w:ascii="Arial" w:hAnsi="Arial" w:cs="Arial"/>
              </w:rPr>
            </w:pPr>
            <w:r w:rsidRPr="00662ABD">
              <w:rPr>
                <w:rFonts w:ascii="Arial" w:hAnsi="Arial" w:cs="Arial"/>
              </w:rPr>
              <w:t xml:space="preserve">5 </w:t>
            </w:r>
          </w:p>
        </w:tc>
        <w:tc>
          <w:tcPr>
            <w:tcW w:w="2340" w:type="dxa"/>
            <w:tcBorders>
              <w:top w:val="single" w:sz="4" w:space="0" w:color="000000"/>
              <w:left w:val="single" w:sz="4" w:space="0" w:color="000000"/>
              <w:bottom w:val="single" w:sz="4" w:space="0" w:color="000000"/>
              <w:right w:val="single" w:sz="4" w:space="0" w:color="000000"/>
            </w:tcBorders>
          </w:tcPr>
          <w:p w14:paraId="132BDAE0" w14:textId="16B4B73C" w:rsidR="00662ABD" w:rsidRPr="00662ABD" w:rsidRDefault="00662ABD" w:rsidP="00662ABD">
            <w:pPr>
              <w:spacing w:line="259" w:lineRule="auto"/>
              <w:ind w:left="75"/>
              <w:jc w:val="right"/>
              <w:rPr>
                <w:rFonts w:ascii="Arial" w:hAnsi="Arial" w:cs="Arial"/>
              </w:rPr>
            </w:pPr>
            <w:r w:rsidRPr="00662ABD">
              <w:rPr>
                <w:rFonts w:ascii="Arial" w:hAnsi="Arial" w:cs="Arial"/>
              </w:rPr>
              <w:t xml:space="preserve">0.00 </w:t>
            </w:r>
          </w:p>
        </w:tc>
      </w:tr>
    </w:tbl>
    <w:p w14:paraId="5A02BA2A" w14:textId="77777777" w:rsidR="004E56BA" w:rsidRDefault="004E56BA" w:rsidP="000A7B56">
      <w:pPr>
        <w:spacing w:after="0"/>
        <w:rPr>
          <w:rFonts w:ascii="Arial" w:hAnsi="Arial" w:cs="Arial"/>
          <w:sz w:val="24"/>
          <w:szCs w:val="24"/>
        </w:rPr>
      </w:pPr>
    </w:p>
    <w:p w14:paraId="10DABF09" w14:textId="6E6F809B" w:rsidR="00DA205E" w:rsidRPr="00471E90" w:rsidRDefault="00DA205E" w:rsidP="000A7B56">
      <w:pPr>
        <w:spacing w:after="0"/>
        <w:rPr>
          <w:rFonts w:ascii="Arial" w:hAnsi="Arial" w:cs="Arial"/>
          <w:sz w:val="24"/>
          <w:szCs w:val="24"/>
        </w:rPr>
      </w:pPr>
      <w:r w:rsidRPr="00471E90">
        <w:rPr>
          <w:rFonts w:ascii="Arial" w:hAnsi="Arial" w:cs="Arial"/>
          <w:b/>
          <w:bCs/>
          <w:sz w:val="24"/>
          <w:szCs w:val="24"/>
        </w:rPr>
        <w:t xml:space="preserve">SEND Inclusion funding for low and emerging </w:t>
      </w:r>
      <w:proofErr w:type="gramStart"/>
      <w:r w:rsidRPr="00471E90">
        <w:rPr>
          <w:rFonts w:ascii="Arial" w:hAnsi="Arial" w:cs="Arial"/>
          <w:b/>
          <w:bCs/>
          <w:sz w:val="24"/>
          <w:szCs w:val="24"/>
        </w:rPr>
        <w:t>needs</w:t>
      </w:r>
      <w:proofErr w:type="gramEnd"/>
    </w:p>
    <w:p w14:paraId="22C792DC" w14:textId="7E91E5F7" w:rsidR="00DA205E" w:rsidRDefault="004E7880" w:rsidP="00406C8B">
      <w:pPr>
        <w:pStyle w:val="ListParagraph"/>
        <w:numPr>
          <w:ilvl w:val="2"/>
          <w:numId w:val="1"/>
        </w:numPr>
        <w:spacing w:after="0"/>
        <w:ind w:left="1571" w:hanging="851"/>
        <w:rPr>
          <w:rFonts w:ascii="Arial" w:hAnsi="Arial" w:cs="Arial"/>
          <w:sz w:val="24"/>
          <w:szCs w:val="24"/>
        </w:rPr>
      </w:pPr>
      <w:r>
        <w:rPr>
          <w:rFonts w:ascii="Arial" w:hAnsi="Arial" w:cs="Arial"/>
          <w:sz w:val="24"/>
          <w:szCs w:val="24"/>
        </w:rPr>
        <w:t>The three and four year old formula provides funding to early years settings to support pupils with low and emerging special educational needs.  This fund will continue to operate as in previous years.</w:t>
      </w:r>
    </w:p>
    <w:p w14:paraId="66A3C66D" w14:textId="77777777" w:rsidR="00AD255E" w:rsidRPr="000F7678" w:rsidRDefault="00AD255E" w:rsidP="000F7678">
      <w:pPr>
        <w:pStyle w:val="ListParagraph"/>
        <w:ind w:left="792"/>
        <w:rPr>
          <w:rFonts w:ascii="Arial" w:hAnsi="Arial" w:cs="Arial"/>
          <w:b/>
          <w:bCs/>
          <w:sz w:val="24"/>
          <w:szCs w:val="24"/>
        </w:rPr>
      </w:pPr>
    </w:p>
    <w:p w14:paraId="0C4CDA53" w14:textId="53C1362F" w:rsidR="00E44854" w:rsidRPr="004C4129" w:rsidRDefault="00E44854" w:rsidP="000F7678">
      <w:pPr>
        <w:pStyle w:val="ListParagraph"/>
        <w:numPr>
          <w:ilvl w:val="1"/>
          <w:numId w:val="1"/>
        </w:numPr>
        <w:rPr>
          <w:rFonts w:ascii="Arial" w:hAnsi="Arial" w:cs="Arial"/>
          <w:b/>
          <w:bCs/>
          <w:sz w:val="24"/>
          <w:szCs w:val="24"/>
        </w:rPr>
      </w:pPr>
      <w:r w:rsidRPr="004C4129">
        <w:rPr>
          <w:rFonts w:ascii="Arial" w:hAnsi="Arial" w:cs="Arial"/>
          <w:b/>
          <w:bCs/>
          <w:sz w:val="24"/>
          <w:szCs w:val="24"/>
        </w:rPr>
        <w:t>Teachers pay</w:t>
      </w:r>
      <w:r w:rsidR="009B1B57" w:rsidRPr="004C4129">
        <w:rPr>
          <w:rFonts w:ascii="Arial" w:hAnsi="Arial" w:cs="Arial"/>
          <w:b/>
          <w:bCs/>
          <w:sz w:val="24"/>
          <w:szCs w:val="24"/>
        </w:rPr>
        <w:t xml:space="preserve"> and Teacher Pension Employer </w:t>
      </w:r>
      <w:r w:rsidR="00AD255E" w:rsidRPr="00AD255E">
        <w:rPr>
          <w:rFonts w:ascii="Arial" w:hAnsi="Arial" w:cs="Arial"/>
          <w:b/>
          <w:bCs/>
          <w:sz w:val="24"/>
          <w:szCs w:val="24"/>
        </w:rPr>
        <w:t>Contributions</w:t>
      </w:r>
      <w:r w:rsidR="009B1B57" w:rsidRPr="004C4129">
        <w:rPr>
          <w:rFonts w:ascii="Arial" w:hAnsi="Arial" w:cs="Arial"/>
          <w:b/>
          <w:bCs/>
          <w:sz w:val="24"/>
          <w:szCs w:val="24"/>
        </w:rPr>
        <w:t xml:space="preserve"> Grants (TPPG)</w:t>
      </w:r>
    </w:p>
    <w:p w14:paraId="70558B63" w14:textId="686C20E4" w:rsidR="007E1124" w:rsidRPr="00C922FA" w:rsidRDefault="00E42253" w:rsidP="00BB186D">
      <w:pPr>
        <w:pStyle w:val="ListParagraph"/>
        <w:numPr>
          <w:ilvl w:val="2"/>
          <w:numId w:val="1"/>
        </w:numPr>
        <w:spacing w:after="0"/>
        <w:ind w:left="1571" w:hanging="851"/>
        <w:rPr>
          <w:rFonts w:ascii="Arial" w:hAnsi="Arial" w:cs="Arial"/>
          <w:sz w:val="24"/>
          <w:szCs w:val="24"/>
        </w:rPr>
      </w:pPr>
      <w:r w:rsidRPr="004C4129">
        <w:rPr>
          <w:rFonts w:ascii="Arial" w:hAnsi="Arial" w:cs="Arial"/>
          <w:sz w:val="24"/>
          <w:szCs w:val="24"/>
        </w:rPr>
        <w:t xml:space="preserve">In 2023-24 the DfE </w:t>
      </w:r>
      <w:r w:rsidR="0025626B" w:rsidRPr="004C4129">
        <w:rPr>
          <w:rFonts w:ascii="Arial" w:hAnsi="Arial" w:cs="Arial"/>
          <w:sz w:val="24"/>
          <w:szCs w:val="24"/>
        </w:rPr>
        <w:t xml:space="preserve">changed the methodology for paying </w:t>
      </w:r>
      <w:r w:rsidR="00FD4099" w:rsidRPr="00C922FA">
        <w:rPr>
          <w:rFonts w:ascii="Arial" w:hAnsi="Arial" w:cs="Arial"/>
          <w:sz w:val="24"/>
          <w:szCs w:val="24"/>
        </w:rPr>
        <w:t xml:space="preserve">the Teachers </w:t>
      </w:r>
      <w:r w:rsidR="00561865" w:rsidRPr="00C922FA">
        <w:rPr>
          <w:rFonts w:ascii="Arial" w:hAnsi="Arial" w:cs="Arial"/>
          <w:sz w:val="24"/>
          <w:szCs w:val="24"/>
        </w:rPr>
        <w:t>P</w:t>
      </w:r>
      <w:r w:rsidR="00FD4099" w:rsidRPr="00C922FA">
        <w:rPr>
          <w:rFonts w:ascii="Arial" w:hAnsi="Arial" w:cs="Arial"/>
          <w:sz w:val="24"/>
          <w:szCs w:val="24"/>
        </w:rPr>
        <w:t>ay an</w:t>
      </w:r>
      <w:r w:rsidR="00561865" w:rsidRPr="00C922FA">
        <w:rPr>
          <w:rFonts w:ascii="Arial" w:hAnsi="Arial" w:cs="Arial"/>
          <w:sz w:val="24"/>
          <w:szCs w:val="24"/>
        </w:rPr>
        <w:t>d</w:t>
      </w:r>
      <w:r w:rsidR="00FD4099" w:rsidRPr="00C922FA">
        <w:rPr>
          <w:rFonts w:ascii="Arial" w:hAnsi="Arial" w:cs="Arial"/>
          <w:sz w:val="24"/>
          <w:szCs w:val="24"/>
        </w:rPr>
        <w:t xml:space="preserve"> </w:t>
      </w:r>
      <w:r w:rsidR="00D37CCA" w:rsidRPr="00C922FA">
        <w:rPr>
          <w:rFonts w:ascii="Arial" w:hAnsi="Arial" w:cs="Arial"/>
          <w:sz w:val="24"/>
          <w:szCs w:val="24"/>
        </w:rPr>
        <w:t xml:space="preserve">Teachers Pension Employer Contributions </w:t>
      </w:r>
      <w:r w:rsidR="00561865" w:rsidRPr="00C922FA">
        <w:rPr>
          <w:rFonts w:ascii="Arial" w:hAnsi="Arial" w:cs="Arial"/>
          <w:sz w:val="24"/>
          <w:szCs w:val="24"/>
        </w:rPr>
        <w:t>G</w:t>
      </w:r>
      <w:r w:rsidR="00FD4099" w:rsidRPr="00C922FA">
        <w:rPr>
          <w:rFonts w:ascii="Arial" w:hAnsi="Arial" w:cs="Arial"/>
          <w:sz w:val="24"/>
          <w:szCs w:val="24"/>
        </w:rPr>
        <w:t xml:space="preserve">rant </w:t>
      </w:r>
      <w:r w:rsidR="004B4EDB" w:rsidRPr="00C922FA">
        <w:rPr>
          <w:rFonts w:ascii="Arial" w:hAnsi="Arial" w:cs="Arial"/>
          <w:sz w:val="24"/>
          <w:szCs w:val="24"/>
        </w:rPr>
        <w:t xml:space="preserve">(TPPG) </w:t>
      </w:r>
      <w:r w:rsidR="00FD4099" w:rsidRPr="00C922FA">
        <w:rPr>
          <w:rFonts w:ascii="Arial" w:hAnsi="Arial" w:cs="Arial"/>
          <w:sz w:val="24"/>
          <w:szCs w:val="24"/>
        </w:rPr>
        <w:t>to those mainstream school providers with a nursery unit</w:t>
      </w:r>
      <w:r w:rsidR="00561865" w:rsidRPr="00C922FA">
        <w:rPr>
          <w:rFonts w:ascii="Arial" w:hAnsi="Arial" w:cs="Arial"/>
          <w:sz w:val="24"/>
          <w:szCs w:val="24"/>
        </w:rPr>
        <w:t xml:space="preserve">.  </w:t>
      </w:r>
      <w:r w:rsidR="0025626B" w:rsidRPr="004C4129">
        <w:rPr>
          <w:rFonts w:ascii="Arial" w:hAnsi="Arial" w:cs="Arial"/>
          <w:sz w:val="24"/>
          <w:szCs w:val="24"/>
        </w:rPr>
        <w:t>E</w:t>
      </w:r>
      <w:r w:rsidR="00561865" w:rsidRPr="00C922FA">
        <w:rPr>
          <w:rFonts w:ascii="Arial" w:hAnsi="Arial" w:cs="Arial"/>
          <w:sz w:val="24"/>
          <w:szCs w:val="24"/>
        </w:rPr>
        <w:t xml:space="preserve">ligible schools </w:t>
      </w:r>
      <w:r w:rsidR="002B4095" w:rsidRPr="004C4129">
        <w:rPr>
          <w:rFonts w:ascii="Arial" w:hAnsi="Arial" w:cs="Arial"/>
          <w:sz w:val="24"/>
          <w:szCs w:val="24"/>
        </w:rPr>
        <w:t xml:space="preserve">previously </w:t>
      </w:r>
      <w:r w:rsidR="00561865" w:rsidRPr="00C922FA">
        <w:rPr>
          <w:rFonts w:ascii="Arial" w:hAnsi="Arial" w:cs="Arial"/>
          <w:sz w:val="24"/>
          <w:szCs w:val="24"/>
        </w:rPr>
        <w:t>receive</w:t>
      </w:r>
      <w:r w:rsidR="002B4095" w:rsidRPr="004C4129">
        <w:rPr>
          <w:rFonts w:ascii="Arial" w:hAnsi="Arial" w:cs="Arial"/>
          <w:sz w:val="24"/>
          <w:szCs w:val="24"/>
        </w:rPr>
        <w:t>d</w:t>
      </w:r>
      <w:r w:rsidR="00561865" w:rsidRPr="00C922FA">
        <w:rPr>
          <w:rFonts w:ascii="Arial" w:hAnsi="Arial" w:cs="Arial"/>
          <w:sz w:val="24"/>
          <w:szCs w:val="24"/>
        </w:rPr>
        <w:t xml:space="preserve"> this as a separate grant </w:t>
      </w:r>
      <w:r w:rsidR="002E305E" w:rsidRPr="00C922FA">
        <w:rPr>
          <w:rFonts w:ascii="Arial" w:hAnsi="Arial" w:cs="Arial"/>
          <w:sz w:val="24"/>
          <w:szCs w:val="24"/>
        </w:rPr>
        <w:t xml:space="preserve">which is </w:t>
      </w:r>
      <w:r w:rsidR="00561865" w:rsidRPr="00C922FA">
        <w:rPr>
          <w:rFonts w:ascii="Arial" w:hAnsi="Arial" w:cs="Arial"/>
          <w:sz w:val="24"/>
          <w:szCs w:val="24"/>
        </w:rPr>
        <w:t xml:space="preserve">funded on an amount per pupil.  </w:t>
      </w:r>
      <w:r w:rsidR="00371DDA" w:rsidRPr="004C4129">
        <w:rPr>
          <w:rFonts w:ascii="Arial" w:hAnsi="Arial" w:cs="Arial"/>
          <w:sz w:val="24"/>
          <w:szCs w:val="24"/>
        </w:rPr>
        <w:t>In 2023-24 t</w:t>
      </w:r>
      <w:r w:rsidR="00561865" w:rsidRPr="00C922FA">
        <w:rPr>
          <w:rFonts w:ascii="Arial" w:hAnsi="Arial" w:cs="Arial"/>
          <w:sz w:val="24"/>
          <w:szCs w:val="24"/>
        </w:rPr>
        <w:t xml:space="preserve">he </w:t>
      </w:r>
      <w:r w:rsidR="00D37CCA" w:rsidRPr="00C922FA">
        <w:rPr>
          <w:rFonts w:ascii="Arial" w:hAnsi="Arial" w:cs="Arial"/>
          <w:sz w:val="24"/>
          <w:szCs w:val="24"/>
        </w:rPr>
        <w:t xml:space="preserve">DfE </w:t>
      </w:r>
      <w:r w:rsidR="00371DDA" w:rsidRPr="004C4129">
        <w:rPr>
          <w:rFonts w:ascii="Arial" w:hAnsi="Arial" w:cs="Arial"/>
          <w:sz w:val="24"/>
          <w:szCs w:val="24"/>
        </w:rPr>
        <w:t xml:space="preserve">brought the grant into </w:t>
      </w:r>
      <w:r w:rsidR="00561865" w:rsidRPr="00C922FA">
        <w:rPr>
          <w:rFonts w:ascii="Arial" w:hAnsi="Arial" w:cs="Arial"/>
          <w:sz w:val="24"/>
          <w:szCs w:val="24"/>
        </w:rPr>
        <w:t xml:space="preserve">the Early Years block of the DSG </w:t>
      </w:r>
      <w:r w:rsidR="00D37CCA" w:rsidRPr="00C922FA">
        <w:rPr>
          <w:rFonts w:ascii="Arial" w:hAnsi="Arial" w:cs="Arial"/>
          <w:sz w:val="24"/>
          <w:szCs w:val="24"/>
        </w:rPr>
        <w:t>and</w:t>
      </w:r>
      <w:r w:rsidR="00561865" w:rsidRPr="00C922FA">
        <w:rPr>
          <w:rFonts w:ascii="Arial" w:hAnsi="Arial" w:cs="Arial"/>
          <w:sz w:val="24"/>
          <w:szCs w:val="24"/>
        </w:rPr>
        <w:t xml:space="preserve"> </w:t>
      </w:r>
      <w:r w:rsidR="00371DDA" w:rsidRPr="004C4129">
        <w:rPr>
          <w:rFonts w:ascii="Arial" w:hAnsi="Arial" w:cs="Arial"/>
          <w:sz w:val="24"/>
          <w:szCs w:val="24"/>
        </w:rPr>
        <w:t>Portsmouth has been paying this as a supplement to the formula</w:t>
      </w:r>
      <w:r w:rsidR="00551D59">
        <w:rPr>
          <w:rFonts w:ascii="Arial" w:hAnsi="Arial" w:cs="Arial"/>
          <w:sz w:val="24"/>
          <w:szCs w:val="24"/>
        </w:rPr>
        <w:t>, to those schools that</w:t>
      </w:r>
      <w:r w:rsidR="003A0848">
        <w:rPr>
          <w:rFonts w:ascii="Arial" w:hAnsi="Arial" w:cs="Arial"/>
          <w:sz w:val="24"/>
          <w:szCs w:val="24"/>
        </w:rPr>
        <w:t xml:space="preserve"> received the grant in 2022-23</w:t>
      </w:r>
      <w:r w:rsidR="00C922FA" w:rsidRPr="004C4129">
        <w:rPr>
          <w:rFonts w:ascii="Arial" w:hAnsi="Arial" w:cs="Arial"/>
          <w:sz w:val="24"/>
          <w:szCs w:val="24"/>
        </w:rPr>
        <w:t>.</w:t>
      </w:r>
    </w:p>
    <w:p w14:paraId="03A90D55" w14:textId="77777777" w:rsidR="00126213" w:rsidRPr="004C4129" w:rsidRDefault="00126213" w:rsidP="00126213">
      <w:pPr>
        <w:pStyle w:val="ListParagraph"/>
        <w:rPr>
          <w:rFonts w:ascii="Arial" w:hAnsi="Arial" w:cs="Arial"/>
          <w:sz w:val="24"/>
          <w:szCs w:val="24"/>
          <w:highlight w:val="yellow"/>
        </w:rPr>
      </w:pPr>
    </w:p>
    <w:p w14:paraId="604E5ADB" w14:textId="2D72EECE" w:rsidR="00B60519" w:rsidRPr="00843E5B" w:rsidRDefault="00D2610E" w:rsidP="00DB6DC6">
      <w:pPr>
        <w:pStyle w:val="ListParagraph"/>
        <w:numPr>
          <w:ilvl w:val="2"/>
          <w:numId w:val="1"/>
        </w:numPr>
        <w:spacing w:after="0"/>
        <w:ind w:left="1571" w:hanging="851"/>
        <w:rPr>
          <w:rFonts w:ascii="Arial" w:hAnsi="Arial" w:cs="Arial"/>
          <w:sz w:val="24"/>
          <w:szCs w:val="24"/>
        </w:rPr>
      </w:pPr>
      <w:r w:rsidRPr="004C4129">
        <w:rPr>
          <w:rFonts w:ascii="Arial" w:hAnsi="Arial" w:cs="Arial"/>
          <w:sz w:val="24"/>
          <w:szCs w:val="24"/>
        </w:rPr>
        <w:t xml:space="preserve">For 2024-25 it is proposed to </w:t>
      </w:r>
      <w:r w:rsidR="00395626">
        <w:rPr>
          <w:rFonts w:ascii="Arial" w:hAnsi="Arial" w:cs="Arial"/>
          <w:sz w:val="24"/>
          <w:szCs w:val="24"/>
        </w:rPr>
        <w:t xml:space="preserve">retain £0.03 </w:t>
      </w:r>
      <w:r w:rsidR="00346005">
        <w:rPr>
          <w:rFonts w:ascii="Arial" w:hAnsi="Arial" w:cs="Arial"/>
          <w:sz w:val="24"/>
          <w:szCs w:val="24"/>
        </w:rPr>
        <w:t xml:space="preserve">of the hourly rate received by the authority </w:t>
      </w:r>
      <w:r w:rsidR="00843E5B" w:rsidRPr="004C4129">
        <w:rPr>
          <w:rFonts w:ascii="Arial" w:hAnsi="Arial" w:cs="Arial"/>
          <w:sz w:val="24"/>
          <w:szCs w:val="24"/>
        </w:rPr>
        <w:t>continue to pay the grant on the same basis as in 2023-24.</w:t>
      </w:r>
      <w:r w:rsidR="00DB6DC6">
        <w:rPr>
          <w:rFonts w:ascii="Arial" w:hAnsi="Arial" w:cs="Arial"/>
          <w:sz w:val="24"/>
          <w:szCs w:val="24"/>
        </w:rPr>
        <w:t xml:space="preserve"> </w:t>
      </w:r>
    </w:p>
    <w:p w14:paraId="2391EFBA" w14:textId="77777777" w:rsidR="001822DE" w:rsidRDefault="001822DE" w:rsidP="00DA205E">
      <w:pPr>
        <w:pStyle w:val="ListParagraph"/>
        <w:ind w:left="360"/>
        <w:rPr>
          <w:rFonts w:ascii="Arial" w:hAnsi="Arial" w:cs="Arial"/>
          <w:b/>
          <w:bCs/>
          <w:sz w:val="24"/>
          <w:szCs w:val="24"/>
        </w:rPr>
      </w:pPr>
    </w:p>
    <w:p w14:paraId="1798540B" w14:textId="3172F448" w:rsidR="005D76CA" w:rsidRDefault="00C26AE1" w:rsidP="00E40967">
      <w:pPr>
        <w:pStyle w:val="ListParagraph"/>
        <w:numPr>
          <w:ilvl w:val="1"/>
          <w:numId w:val="1"/>
        </w:numPr>
        <w:rPr>
          <w:rFonts w:ascii="Arial" w:hAnsi="Arial" w:cs="Arial"/>
          <w:b/>
          <w:bCs/>
          <w:sz w:val="24"/>
          <w:szCs w:val="24"/>
        </w:rPr>
      </w:pPr>
      <w:proofErr w:type="gramStart"/>
      <w:r w:rsidRPr="558FF7E1">
        <w:rPr>
          <w:rFonts w:ascii="Arial" w:hAnsi="Arial" w:cs="Arial"/>
          <w:b/>
          <w:bCs/>
          <w:sz w:val="24"/>
          <w:szCs w:val="24"/>
        </w:rPr>
        <w:t>T</w:t>
      </w:r>
      <w:r w:rsidR="006A1AD1" w:rsidRPr="558FF7E1">
        <w:rPr>
          <w:rFonts w:ascii="Arial" w:hAnsi="Arial" w:cs="Arial"/>
          <w:b/>
          <w:bCs/>
          <w:sz w:val="24"/>
          <w:szCs w:val="24"/>
        </w:rPr>
        <w:t>wo</w:t>
      </w:r>
      <w:r w:rsidRPr="558FF7E1">
        <w:rPr>
          <w:rFonts w:ascii="Arial" w:hAnsi="Arial" w:cs="Arial"/>
          <w:b/>
          <w:bCs/>
          <w:sz w:val="24"/>
          <w:szCs w:val="24"/>
        </w:rPr>
        <w:t xml:space="preserve"> </w:t>
      </w:r>
      <w:r w:rsidR="006A1AD1" w:rsidRPr="558FF7E1">
        <w:rPr>
          <w:rFonts w:ascii="Arial" w:hAnsi="Arial" w:cs="Arial"/>
          <w:b/>
          <w:bCs/>
          <w:sz w:val="24"/>
          <w:szCs w:val="24"/>
        </w:rPr>
        <w:t>year</w:t>
      </w:r>
      <w:r w:rsidRPr="558FF7E1">
        <w:rPr>
          <w:rFonts w:ascii="Arial" w:hAnsi="Arial" w:cs="Arial"/>
          <w:b/>
          <w:bCs/>
          <w:sz w:val="24"/>
          <w:szCs w:val="24"/>
        </w:rPr>
        <w:t xml:space="preserve"> </w:t>
      </w:r>
      <w:r w:rsidR="006A1AD1" w:rsidRPr="558FF7E1">
        <w:rPr>
          <w:rFonts w:ascii="Arial" w:hAnsi="Arial" w:cs="Arial"/>
          <w:b/>
          <w:bCs/>
          <w:sz w:val="24"/>
          <w:szCs w:val="24"/>
        </w:rPr>
        <w:t>old</w:t>
      </w:r>
      <w:proofErr w:type="gramEnd"/>
      <w:r w:rsidRPr="558FF7E1">
        <w:rPr>
          <w:rFonts w:ascii="Arial" w:hAnsi="Arial" w:cs="Arial"/>
          <w:b/>
          <w:bCs/>
          <w:sz w:val="24"/>
          <w:szCs w:val="24"/>
        </w:rPr>
        <w:t xml:space="preserve">, current and new working </w:t>
      </w:r>
      <w:r w:rsidR="7F77842A" w:rsidRPr="558FF7E1">
        <w:rPr>
          <w:rFonts w:ascii="Arial" w:hAnsi="Arial" w:cs="Arial"/>
          <w:b/>
          <w:bCs/>
          <w:sz w:val="24"/>
          <w:szCs w:val="24"/>
        </w:rPr>
        <w:t>parents'</w:t>
      </w:r>
      <w:r w:rsidRPr="558FF7E1">
        <w:rPr>
          <w:rFonts w:ascii="Arial" w:hAnsi="Arial" w:cs="Arial"/>
          <w:b/>
          <w:bCs/>
          <w:sz w:val="24"/>
          <w:szCs w:val="24"/>
        </w:rPr>
        <w:t xml:space="preserve"> entitlements 20</w:t>
      </w:r>
      <w:r w:rsidR="001F077A">
        <w:rPr>
          <w:rFonts w:ascii="Arial" w:hAnsi="Arial" w:cs="Arial"/>
          <w:b/>
          <w:bCs/>
          <w:sz w:val="24"/>
          <w:szCs w:val="24"/>
        </w:rPr>
        <w:t>2</w:t>
      </w:r>
      <w:r w:rsidRPr="558FF7E1">
        <w:rPr>
          <w:rFonts w:ascii="Arial" w:hAnsi="Arial" w:cs="Arial"/>
          <w:b/>
          <w:bCs/>
          <w:sz w:val="24"/>
          <w:szCs w:val="24"/>
        </w:rPr>
        <w:t>4-25</w:t>
      </w:r>
    </w:p>
    <w:p w14:paraId="578FBB4F" w14:textId="77777777" w:rsidR="00B71862" w:rsidRPr="000E0484" w:rsidRDefault="00B71862" w:rsidP="00B71862">
      <w:pPr>
        <w:pStyle w:val="ListParagraph"/>
        <w:ind w:left="792"/>
        <w:rPr>
          <w:rFonts w:ascii="Arial" w:hAnsi="Arial" w:cs="Arial"/>
          <w:b/>
          <w:bCs/>
          <w:sz w:val="24"/>
          <w:szCs w:val="24"/>
        </w:rPr>
      </w:pPr>
    </w:p>
    <w:p w14:paraId="36D6D907" w14:textId="292B61C8" w:rsidR="008B7F5E" w:rsidRDefault="00F206EE" w:rsidP="000D6195">
      <w:pPr>
        <w:pStyle w:val="ListParagraph"/>
        <w:numPr>
          <w:ilvl w:val="2"/>
          <w:numId w:val="1"/>
        </w:numPr>
        <w:spacing w:after="0"/>
        <w:ind w:left="1571" w:hanging="851"/>
        <w:rPr>
          <w:rFonts w:ascii="Arial" w:hAnsi="Arial" w:cs="Arial"/>
          <w:sz w:val="24"/>
          <w:szCs w:val="24"/>
        </w:rPr>
      </w:pPr>
      <w:r w:rsidRPr="0056705A">
        <w:rPr>
          <w:rFonts w:ascii="Arial" w:hAnsi="Arial" w:cs="Arial"/>
          <w:sz w:val="24"/>
          <w:szCs w:val="24"/>
        </w:rPr>
        <w:t>Portsmouth</w:t>
      </w:r>
      <w:r w:rsidR="00A9216F" w:rsidRPr="0056705A">
        <w:rPr>
          <w:rFonts w:ascii="Arial" w:hAnsi="Arial" w:cs="Arial"/>
          <w:sz w:val="24"/>
          <w:szCs w:val="24"/>
        </w:rPr>
        <w:t xml:space="preserve"> </w:t>
      </w:r>
      <w:r w:rsidR="005A0AB5" w:rsidRPr="0056705A">
        <w:rPr>
          <w:rFonts w:ascii="Arial" w:hAnsi="Arial" w:cs="Arial"/>
          <w:sz w:val="24"/>
          <w:szCs w:val="24"/>
        </w:rPr>
        <w:t xml:space="preserve">will </w:t>
      </w:r>
      <w:r w:rsidR="00A9216F" w:rsidRPr="0056705A">
        <w:rPr>
          <w:rFonts w:ascii="Arial" w:hAnsi="Arial" w:cs="Arial"/>
          <w:sz w:val="24"/>
          <w:szCs w:val="24"/>
        </w:rPr>
        <w:t>receive £</w:t>
      </w:r>
      <w:r w:rsidR="0056705A" w:rsidRPr="0056705A">
        <w:rPr>
          <w:rFonts w:ascii="Arial" w:hAnsi="Arial" w:cs="Arial"/>
          <w:sz w:val="24"/>
          <w:szCs w:val="24"/>
        </w:rPr>
        <w:t>8.98</w:t>
      </w:r>
      <w:r w:rsidR="00A9216F" w:rsidRPr="0056705A">
        <w:rPr>
          <w:rFonts w:ascii="Arial" w:hAnsi="Arial" w:cs="Arial"/>
          <w:sz w:val="24"/>
          <w:szCs w:val="24"/>
        </w:rPr>
        <w:t xml:space="preserve"> per hour for </w:t>
      </w:r>
      <w:r w:rsidR="006A1AD1" w:rsidRPr="0056705A">
        <w:rPr>
          <w:rFonts w:ascii="Arial" w:hAnsi="Arial" w:cs="Arial"/>
          <w:sz w:val="24"/>
          <w:szCs w:val="24"/>
        </w:rPr>
        <w:t>two</w:t>
      </w:r>
      <w:r w:rsidR="001024C4">
        <w:rPr>
          <w:rFonts w:ascii="Arial" w:hAnsi="Arial" w:cs="Arial"/>
          <w:sz w:val="24"/>
          <w:szCs w:val="24"/>
        </w:rPr>
        <w:t xml:space="preserve"> </w:t>
      </w:r>
      <w:r w:rsidR="006A1AD1" w:rsidRPr="0056705A">
        <w:rPr>
          <w:rFonts w:ascii="Arial" w:hAnsi="Arial" w:cs="Arial"/>
          <w:sz w:val="24"/>
          <w:szCs w:val="24"/>
        </w:rPr>
        <w:t>year</w:t>
      </w:r>
      <w:r w:rsidR="001024C4">
        <w:rPr>
          <w:rFonts w:ascii="Arial" w:hAnsi="Arial" w:cs="Arial"/>
          <w:sz w:val="24"/>
          <w:szCs w:val="24"/>
        </w:rPr>
        <w:t xml:space="preserve"> </w:t>
      </w:r>
      <w:r w:rsidR="006A1AD1" w:rsidRPr="0056705A">
        <w:rPr>
          <w:rFonts w:ascii="Arial" w:hAnsi="Arial" w:cs="Arial"/>
          <w:sz w:val="24"/>
          <w:szCs w:val="24"/>
        </w:rPr>
        <w:t>olds</w:t>
      </w:r>
      <w:r w:rsidR="00A9216F" w:rsidRPr="0056705A">
        <w:rPr>
          <w:rFonts w:ascii="Arial" w:hAnsi="Arial" w:cs="Arial"/>
          <w:sz w:val="24"/>
          <w:szCs w:val="24"/>
        </w:rPr>
        <w:t xml:space="preserve">.  </w:t>
      </w:r>
      <w:r w:rsidR="005A0AB5" w:rsidRPr="0056705A">
        <w:rPr>
          <w:rFonts w:ascii="Arial" w:hAnsi="Arial" w:cs="Arial"/>
          <w:sz w:val="24"/>
          <w:szCs w:val="24"/>
        </w:rPr>
        <w:t>The proposed f</w:t>
      </w:r>
      <w:r w:rsidR="00A9216F" w:rsidRPr="0056705A">
        <w:rPr>
          <w:rFonts w:ascii="Arial" w:hAnsi="Arial" w:cs="Arial"/>
          <w:sz w:val="24"/>
          <w:szCs w:val="24"/>
        </w:rPr>
        <w:t xml:space="preserve">unding will be allocated as set out in the </w:t>
      </w:r>
      <w:r w:rsidR="00B44030" w:rsidRPr="0056705A">
        <w:rPr>
          <w:rFonts w:ascii="Arial" w:hAnsi="Arial" w:cs="Arial"/>
          <w:sz w:val="24"/>
          <w:szCs w:val="24"/>
        </w:rPr>
        <w:t>t</w:t>
      </w:r>
      <w:r w:rsidR="00A9216F" w:rsidRPr="0056705A">
        <w:rPr>
          <w:rFonts w:ascii="Arial" w:hAnsi="Arial" w:cs="Arial"/>
          <w:sz w:val="24"/>
          <w:szCs w:val="24"/>
        </w:rPr>
        <w:t>able below.</w:t>
      </w:r>
    </w:p>
    <w:p w14:paraId="7EC646F1" w14:textId="77777777" w:rsidR="00B71862" w:rsidRPr="006A1AD1" w:rsidRDefault="00B71862" w:rsidP="00B71862">
      <w:pPr>
        <w:pStyle w:val="ListParagraph"/>
        <w:spacing w:after="0"/>
        <w:ind w:left="1571"/>
        <w:rPr>
          <w:rFonts w:ascii="Arial" w:hAnsi="Arial" w:cs="Arial"/>
          <w:sz w:val="24"/>
          <w:szCs w:val="24"/>
        </w:rPr>
      </w:pPr>
    </w:p>
    <w:tbl>
      <w:tblPr>
        <w:tblStyle w:val="TableGrid0"/>
        <w:tblW w:w="9481" w:type="dxa"/>
        <w:tblInd w:w="0" w:type="dxa"/>
        <w:tblCellMar>
          <w:top w:w="8" w:type="dxa"/>
          <w:left w:w="182" w:type="dxa"/>
          <w:right w:w="115" w:type="dxa"/>
        </w:tblCellMar>
        <w:tblLook w:val="04A0" w:firstRow="1" w:lastRow="0" w:firstColumn="1" w:lastColumn="0" w:noHBand="0" w:noVBand="1"/>
      </w:tblPr>
      <w:tblGrid>
        <w:gridCol w:w="3722"/>
        <w:gridCol w:w="1393"/>
        <w:gridCol w:w="1553"/>
        <w:gridCol w:w="1247"/>
        <w:gridCol w:w="1566"/>
      </w:tblGrid>
      <w:tr w:rsidR="00A9216F" w:rsidRPr="004C15EC" w14:paraId="7784B7C9" w14:textId="77777777" w:rsidTr="00B721FA">
        <w:trPr>
          <w:trHeight w:val="312"/>
        </w:trPr>
        <w:tc>
          <w:tcPr>
            <w:tcW w:w="9481" w:type="dxa"/>
            <w:gridSpan w:val="5"/>
            <w:tcBorders>
              <w:top w:val="single" w:sz="4" w:space="0" w:color="auto"/>
              <w:left w:val="single" w:sz="4" w:space="0" w:color="auto"/>
              <w:bottom w:val="single" w:sz="4" w:space="0" w:color="auto"/>
              <w:right w:val="single" w:sz="4" w:space="0" w:color="000000"/>
            </w:tcBorders>
          </w:tcPr>
          <w:p w14:paraId="70D35C31" w14:textId="75E9DD6F" w:rsidR="00A9216F" w:rsidRPr="00A9216F" w:rsidRDefault="00A9216F" w:rsidP="00A9216F">
            <w:pPr>
              <w:ind w:right="69"/>
              <w:rPr>
                <w:rFonts w:ascii="Arial" w:hAnsi="Arial" w:cs="Arial"/>
                <w:b/>
                <w:highlight w:val="cyan"/>
              </w:rPr>
            </w:pPr>
            <w:r w:rsidRPr="00B721FA">
              <w:rPr>
                <w:rFonts w:ascii="Arial" w:hAnsi="Arial" w:cs="Arial"/>
                <w:b/>
              </w:rPr>
              <w:t xml:space="preserve">Table </w:t>
            </w:r>
            <w:r w:rsidR="00535245">
              <w:rPr>
                <w:rFonts w:ascii="Arial" w:hAnsi="Arial" w:cs="Arial"/>
                <w:b/>
              </w:rPr>
              <w:t>3</w:t>
            </w:r>
            <w:r w:rsidRPr="00B721FA">
              <w:rPr>
                <w:rFonts w:ascii="Arial" w:hAnsi="Arial" w:cs="Arial"/>
                <w:b/>
              </w:rPr>
              <w:t>: Two</w:t>
            </w:r>
            <w:r w:rsidR="005A0BC3">
              <w:rPr>
                <w:rFonts w:ascii="Arial" w:hAnsi="Arial" w:cs="Arial"/>
                <w:b/>
              </w:rPr>
              <w:t xml:space="preserve"> </w:t>
            </w:r>
            <w:r w:rsidRPr="00B721FA">
              <w:rPr>
                <w:rFonts w:ascii="Arial" w:hAnsi="Arial" w:cs="Arial"/>
                <w:b/>
              </w:rPr>
              <w:t>year</w:t>
            </w:r>
            <w:r w:rsidR="005A0BC3">
              <w:rPr>
                <w:rFonts w:ascii="Arial" w:hAnsi="Arial" w:cs="Arial"/>
                <w:b/>
              </w:rPr>
              <w:t xml:space="preserve"> </w:t>
            </w:r>
            <w:r w:rsidRPr="00B721FA">
              <w:rPr>
                <w:rFonts w:ascii="Arial" w:hAnsi="Arial" w:cs="Arial"/>
                <w:b/>
              </w:rPr>
              <w:t>old funding formula</w:t>
            </w:r>
          </w:p>
        </w:tc>
      </w:tr>
      <w:tr w:rsidR="00A9216F" w:rsidRPr="004C15EC" w14:paraId="4D251F58" w14:textId="294FD2AC" w:rsidTr="00C407FB">
        <w:trPr>
          <w:trHeight w:val="312"/>
        </w:trPr>
        <w:tc>
          <w:tcPr>
            <w:tcW w:w="3722" w:type="dxa"/>
            <w:tcBorders>
              <w:top w:val="single" w:sz="4" w:space="0" w:color="auto"/>
              <w:left w:val="single" w:sz="4" w:space="0" w:color="auto"/>
              <w:bottom w:val="single" w:sz="4" w:space="0" w:color="auto"/>
              <w:right w:val="single" w:sz="4" w:space="0" w:color="auto"/>
            </w:tcBorders>
          </w:tcPr>
          <w:p w14:paraId="45008DDD" w14:textId="6424A670" w:rsidR="00A9216F" w:rsidRPr="00A9216F" w:rsidRDefault="00A9216F" w:rsidP="00421CA7">
            <w:pPr>
              <w:spacing w:line="259" w:lineRule="auto"/>
              <w:rPr>
                <w:rFonts w:ascii="Arial" w:hAnsi="Arial" w:cs="Arial"/>
                <w:b/>
                <w:bCs/>
                <w:highlight w:val="yellow"/>
              </w:rPr>
            </w:pPr>
          </w:p>
        </w:tc>
        <w:tc>
          <w:tcPr>
            <w:tcW w:w="1393" w:type="dxa"/>
            <w:tcBorders>
              <w:top w:val="single" w:sz="4" w:space="0" w:color="000000"/>
              <w:left w:val="single" w:sz="4" w:space="0" w:color="auto"/>
              <w:bottom w:val="single" w:sz="4" w:space="0" w:color="000000"/>
              <w:right w:val="single" w:sz="4" w:space="0" w:color="000000"/>
            </w:tcBorders>
          </w:tcPr>
          <w:p w14:paraId="414F1EB1" w14:textId="76246731" w:rsidR="00A9216F" w:rsidRPr="00B721FA" w:rsidRDefault="00A9216F" w:rsidP="00B721FA">
            <w:pPr>
              <w:spacing w:line="259" w:lineRule="auto"/>
              <w:ind w:right="70"/>
              <w:jc w:val="center"/>
              <w:rPr>
                <w:rFonts w:ascii="Arial" w:hAnsi="Arial" w:cs="Arial"/>
                <w:b/>
                <w:bCs/>
              </w:rPr>
            </w:pPr>
            <w:r w:rsidRPr="00B721FA">
              <w:rPr>
                <w:rFonts w:ascii="Arial" w:hAnsi="Arial" w:cs="Arial"/>
                <w:b/>
                <w:bCs/>
              </w:rPr>
              <w:t>202</w:t>
            </w:r>
            <w:r w:rsidR="00C407FB">
              <w:rPr>
                <w:rFonts w:ascii="Arial" w:hAnsi="Arial" w:cs="Arial"/>
                <w:b/>
                <w:bCs/>
              </w:rPr>
              <w:t>3</w:t>
            </w:r>
            <w:r w:rsidRPr="00B721FA">
              <w:rPr>
                <w:rFonts w:ascii="Arial" w:hAnsi="Arial" w:cs="Arial"/>
                <w:b/>
                <w:bCs/>
              </w:rPr>
              <w:t>-202</w:t>
            </w:r>
            <w:r w:rsidR="00C407FB">
              <w:rPr>
                <w:rFonts w:ascii="Arial" w:hAnsi="Arial" w:cs="Arial"/>
                <w:b/>
                <w:bCs/>
              </w:rPr>
              <w:t>4</w:t>
            </w:r>
          </w:p>
          <w:p w14:paraId="13594A1D" w14:textId="1D45C8D2" w:rsidR="00A9216F" w:rsidRPr="00B721FA" w:rsidRDefault="00A9216F" w:rsidP="00C407FB">
            <w:pPr>
              <w:spacing w:line="259" w:lineRule="auto"/>
              <w:ind w:left="-48" w:right="70"/>
              <w:jc w:val="center"/>
              <w:rPr>
                <w:rFonts w:ascii="Arial" w:hAnsi="Arial" w:cs="Arial"/>
                <w:b/>
                <w:bCs/>
              </w:rPr>
            </w:pPr>
            <w:r w:rsidRPr="00B721FA">
              <w:rPr>
                <w:rFonts w:ascii="Arial" w:hAnsi="Arial" w:cs="Arial"/>
                <w:b/>
                <w:bCs/>
              </w:rPr>
              <w:t>(£)</w:t>
            </w:r>
          </w:p>
        </w:tc>
        <w:tc>
          <w:tcPr>
            <w:tcW w:w="1553" w:type="dxa"/>
            <w:tcBorders>
              <w:top w:val="single" w:sz="4" w:space="0" w:color="000000"/>
              <w:left w:val="single" w:sz="4" w:space="0" w:color="000000"/>
              <w:bottom w:val="single" w:sz="4" w:space="0" w:color="000000"/>
              <w:right w:val="single" w:sz="4" w:space="0" w:color="000000"/>
            </w:tcBorders>
          </w:tcPr>
          <w:p w14:paraId="13FB2F6E" w14:textId="7A200CA5" w:rsidR="00A9216F" w:rsidRPr="00A9216F" w:rsidRDefault="00A9216F" w:rsidP="00421CA7">
            <w:pPr>
              <w:ind w:right="69"/>
              <w:jc w:val="center"/>
              <w:rPr>
                <w:rFonts w:ascii="Arial" w:hAnsi="Arial" w:cs="Arial"/>
                <w:b/>
                <w:bCs/>
                <w:highlight w:val="yellow"/>
              </w:rPr>
            </w:pPr>
            <w:r w:rsidRPr="000637E0">
              <w:rPr>
                <w:rFonts w:ascii="Arial" w:hAnsi="Arial" w:cs="Arial"/>
                <w:b/>
                <w:bCs/>
              </w:rPr>
              <w:t>202</w:t>
            </w:r>
            <w:r w:rsidR="00B71862">
              <w:rPr>
                <w:rFonts w:ascii="Arial" w:hAnsi="Arial" w:cs="Arial"/>
                <w:b/>
                <w:bCs/>
              </w:rPr>
              <w:t>3</w:t>
            </w:r>
            <w:r w:rsidRPr="000637E0">
              <w:rPr>
                <w:rFonts w:ascii="Arial" w:hAnsi="Arial" w:cs="Arial"/>
                <w:b/>
                <w:bCs/>
              </w:rPr>
              <w:t>-2</w:t>
            </w:r>
            <w:r w:rsidR="00B71862">
              <w:rPr>
                <w:rFonts w:ascii="Arial" w:hAnsi="Arial" w:cs="Arial"/>
                <w:b/>
                <w:bCs/>
              </w:rPr>
              <w:t>4</w:t>
            </w:r>
            <w:r w:rsidRPr="000637E0">
              <w:rPr>
                <w:rFonts w:ascii="Arial" w:hAnsi="Arial" w:cs="Arial"/>
                <w:b/>
                <w:bCs/>
              </w:rPr>
              <w:t xml:space="preserve"> Percentage split</w:t>
            </w:r>
          </w:p>
        </w:tc>
        <w:tc>
          <w:tcPr>
            <w:tcW w:w="1247" w:type="dxa"/>
            <w:tcBorders>
              <w:top w:val="single" w:sz="4" w:space="0" w:color="000000"/>
              <w:left w:val="single" w:sz="4" w:space="0" w:color="000000"/>
              <w:bottom w:val="single" w:sz="4" w:space="0" w:color="000000"/>
              <w:right w:val="single" w:sz="4" w:space="0" w:color="000000"/>
            </w:tcBorders>
          </w:tcPr>
          <w:p w14:paraId="42C7422F" w14:textId="1B485376" w:rsidR="00B721FA" w:rsidRDefault="00A9216F" w:rsidP="00B721FA">
            <w:pPr>
              <w:spacing w:line="259" w:lineRule="auto"/>
              <w:ind w:left="-108" w:right="69"/>
              <w:jc w:val="center"/>
              <w:rPr>
                <w:rFonts w:ascii="Arial" w:hAnsi="Arial" w:cs="Arial"/>
                <w:b/>
                <w:bCs/>
              </w:rPr>
            </w:pPr>
            <w:r w:rsidRPr="00B721FA">
              <w:rPr>
                <w:rFonts w:ascii="Arial" w:hAnsi="Arial" w:cs="Arial"/>
                <w:b/>
                <w:bCs/>
              </w:rPr>
              <w:t>202</w:t>
            </w:r>
            <w:r w:rsidR="00C407FB">
              <w:rPr>
                <w:rFonts w:ascii="Arial" w:hAnsi="Arial" w:cs="Arial"/>
                <w:b/>
                <w:bCs/>
              </w:rPr>
              <w:t>4</w:t>
            </w:r>
            <w:r w:rsidRPr="00B721FA">
              <w:rPr>
                <w:rFonts w:ascii="Arial" w:hAnsi="Arial" w:cs="Arial"/>
                <w:b/>
                <w:bCs/>
              </w:rPr>
              <w:t>-202</w:t>
            </w:r>
            <w:r w:rsidR="00C407FB">
              <w:rPr>
                <w:rFonts w:ascii="Arial" w:hAnsi="Arial" w:cs="Arial"/>
                <w:b/>
                <w:bCs/>
              </w:rPr>
              <w:t>5</w:t>
            </w:r>
            <w:r w:rsidRPr="00B721FA">
              <w:rPr>
                <w:rFonts w:ascii="Arial" w:hAnsi="Arial" w:cs="Arial"/>
                <w:b/>
                <w:bCs/>
              </w:rPr>
              <w:t xml:space="preserve"> </w:t>
            </w:r>
          </w:p>
          <w:p w14:paraId="637CFDE5" w14:textId="5E74D2C9" w:rsidR="00A9216F" w:rsidRPr="00B721FA" w:rsidRDefault="00A9216F" w:rsidP="00B721FA">
            <w:pPr>
              <w:spacing w:line="259" w:lineRule="auto"/>
              <w:ind w:left="-108" w:right="69"/>
              <w:jc w:val="center"/>
              <w:rPr>
                <w:rFonts w:ascii="Arial" w:hAnsi="Arial" w:cs="Arial"/>
                <w:b/>
                <w:bCs/>
              </w:rPr>
            </w:pPr>
            <w:r w:rsidRPr="00B721FA">
              <w:rPr>
                <w:rFonts w:ascii="Arial" w:hAnsi="Arial" w:cs="Arial"/>
                <w:b/>
                <w:bCs/>
              </w:rPr>
              <w:t>(£)</w:t>
            </w:r>
          </w:p>
        </w:tc>
        <w:tc>
          <w:tcPr>
            <w:tcW w:w="1566" w:type="dxa"/>
            <w:tcBorders>
              <w:top w:val="single" w:sz="4" w:space="0" w:color="000000"/>
              <w:left w:val="single" w:sz="4" w:space="0" w:color="000000"/>
              <w:bottom w:val="single" w:sz="4" w:space="0" w:color="000000"/>
              <w:right w:val="single" w:sz="4" w:space="0" w:color="000000"/>
            </w:tcBorders>
          </w:tcPr>
          <w:p w14:paraId="7651DDCF" w14:textId="1221299B" w:rsidR="00A9216F" w:rsidRPr="00A9216F" w:rsidRDefault="00A9216F" w:rsidP="00421CA7">
            <w:pPr>
              <w:ind w:right="69"/>
              <w:jc w:val="center"/>
              <w:rPr>
                <w:rFonts w:ascii="Arial" w:hAnsi="Arial" w:cs="Arial"/>
                <w:b/>
                <w:bCs/>
                <w:highlight w:val="yellow"/>
              </w:rPr>
            </w:pPr>
            <w:r w:rsidRPr="000637E0">
              <w:rPr>
                <w:rFonts w:ascii="Arial" w:hAnsi="Arial" w:cs="Arial"/>
                <w:b/>
                <w:bCs/>
              </w:rPr>
              <w:t>202</w:t>
            </w:r>
            <w:r w:rsidR="00C407FB">
              <w:rPr>
                <w:rFonts w:ascii="Arial" w:hAnsi="Arial" w:cs="Arial"/>
                <w:b/>
                <w:bCs/>
              </w:rPr>
              <w:t>4</w:t>
            </w:r>
            <w:r w:rsidRPr="000637E0">
              <w:rPr>
                <w:rFonts w:ascii="Arial" w:hAnsi="Arial" w:cs="Arial"/>
                <w:b/>
                <w:bCs/>
              </w:rPr>
              <w:t>-2</w:t>
            </w:r>
            <w:r w:rsidR="00C407FB">
              <w:rPr>
                <w:rFonts w:ascii="Arial" w:hAnsi="Arial" w:cs="Arial"/>
                <w:b/>
                <w:bCs/>
              </w:rPr>
              <w:t>5</w:t>
            </w:r>
            <w:r w:rsidRPr="000637E0">
              <w:rPr>
                <w:rFonts w:ascii="Arial" w:hAnsi="Arial" w:cs="Arial"/>
                <w:b/>
                <w:bCs/>
              </w:rPr>
              <w:t xml:space="preserve"> Percentage split</w:t>
            </w:r>
          </w:p>
        </w:tc>
      </w:tr>
      <w:tr w:rsidR="00C407FB" w:rsidRPr="004C15EC" w14:paraId="3487EA06" w14:textId="3DB7396C" w:rsidTr="00C407FB">
        <w:trPr>
          <w:trHeight w:val="310"/>
        </w:trPr>
        <w:tc>
          <w:tcPr>
            <w:tcW w:w="3722" w:type="dxa"/>
            <w:tcBorders>
              <w:top w:val="single" w:sz="4" w:space="0" w:color="auto"/>
              <w:left w:val="single" w:sz="4" w:space="0" w:color="000000"/>
              <w:bottom w:val="single" w:sz="4" w:space="0" w:color="000000"/>
              <w:right w:val="single" w:sz="4" w:space="0" w:color="000000"/>
            </w:tcBorders>
          </w:tcPr>
          <w:p w14:paraId="2430550D" w14:textId="237437EB" w:rsidR="00C407FB" w:rsidRPr="00B721FA" w:rsidRDefault="00C407FB" w:rsidP="00C407FB">
            <w:pPr>
              <w:spacing w:line="259" w:lineRule="auto"/>
              <w:rPr>
                <w:rFonts w:ascii="Arial" w:hAnsi="Arial" w:cs="Arial"/>
              </w:rPr>
            </w:pPr>
            <w:r w:rsidRPr="00B721FA">
              <w:rPr>
                <w:rFonts w:ascii="Arial" w:hAnsi="Arial" w:cs="Arial"/>
              </w:rPr>
              <w:t xml:space="preserve">Basic hourly rate </w:t>
            </w:r>
            <w:r>
              <w:rPr>
                <w:rFonts w:ascii="Arial" w:hAnsi="Arial" w:cs="Arial"/>
              </w:rPr>
              <w:t>paid to providers</w:t>
            </w:r>
          </w:p>
        </w:tc>
        <w:tc>
          <w:tcPr>
            <w:tcW w:w="1393" w:type="dxa"/>
            <w:tcBorders>
              <w:top w:val="single" w:sz="4" w:space="0" w:color="000000"/>
              <w:left w:val="single" w:sz="4" w:space="0" w:color="000000"/>
              <w:bottom w:val="single" w:sz="4" w:space="0" w:color="000000"/>
              <w:right w:val="single" w:sz="4" w:space="0" w:color="000000"/>
            </w:tcBorders>
          </w:tcPr>
          <w:p w14:paraId="6D3BA4A5" w14:textId="2A9CD0C4" w:rsidR="00C407FB" w:rsidRPr="00B721FA" w:rsidRDefault="00C407FB" w:rsidP="00C407FB">
            <w:pPr>
              <w:spacing w:line="259" w:lineRule="auto"/>
              <w:ind w:right="69"/>
              <w:jc w:val="right"/>
              <w:rPr>
                <w:rFonts w:ascii="Arial" w:hAnsi="Arial" w:cs="Arial"/>
              </w:rPr>
            </w:pPr>
            <w:r w:rsidRPr="00B721FA">
              <w:rPr>
                <w:rFonts w:ascii="Arial" w:hAnsi="Arial" w:cs="Arial"/>
              </w:rPr>
              <w:t>5.82</w:t>
            </w:r>
          </w:p>
        </w:tc>
        <w:tc>
          <w:tcPr>
            <w:tcW w:w="1553" w:type="dxa"/>
            <w:tcBorders>
              <w:top w:val="single" w:sz="4" w:space="0" w:color="000000"/>
              <w:left w:val="single" w:sz="4" w:space="0" w:color="000000"/>
              <w:bottom w:val="single" w:sz="4" w:space="0" w:color="000000"/>
              <w:right w:val="single" w:sz="4" w:space="0" w:color="000000"/>
            </w:tcBorders>
          </w:tcPr>
          <w:p w14:paraId="7EFB1911" w14:textId="5D01C73E" w:rsidR="00C407FB" w:rsidRPr="00B721FA" w:rsidRDefault="00C407FB" w:rsidP="00C407FB">
            <w:pPr>
              <w:ind w:right="68"/>
              <w:jc w:val="right"/>
              <w:rPr>
                <w:rFonts w:ascii="Arial" w:hAnsi="Arial" w:cs="Arial"/>
              </w:rPr>
            </w:pPr>
            <w:r w:rsidRPr="00B721FA">
              <w:rPr>
                <w:rFonts w:ascii="Arial" w:hAnsi="Arial" w:cs="Arial"/>
              </w:rPr>
              <w:t>92%</w:t>
            </w:r>
          </w:p>
        </w:tc>
        <w:tc>
          <w:tcPr>
            <w:tcW w:w="1247" w:type="dxa"/>
            <w:tcBorders>
              <w:top w:val="single" w:sz="4" w:space="0" w:color="000000"/>
              <w:left w:val="single" w:sz="4" w:space="0" w:color="000000"/>
              <w:bottom w:val="single" w:sz="4" w:space="0" w:color="000000"/>
              <w:right w:val="single" w:sz="4" w:space="0" w:color="000000"/>
            </w:tcBorders>
          </w:tcPr>
          <w:p w14:paraId="24282E60" w14:textId="6C8BD16D" w:rsidR="00C407FB" w:rsidRPr="00B721FA" w:rsidRDefault="00B55848" w:rsidP="00C407FB">
            <w:pPr>
              <w:spacing w:line="259" w:lineRule="auto"/>
              <w:ind w:right="68"/>
              <w:jc w:val="right"/>
              <w:rPr>
                <w:rFonts w:ascii="Arial" w:hAnsi="Arial" w:cs="Arial"/>
              </w:rPr>
            </w:pPr>
            <w:r>
              <w:rPr>
                <w:rFonts w:ascii="Arial" w:hAnsi="Arial" w:cs="Arial"/>
              </w:rPr>
              <w:t>8.49</w:t>
            </w:r>
          </w:p>
        </w:tc>
        <w:tc>
          <w:tcPr>
            <w:tcW w:w="1566" w:type="dxa"/>
            <w:tcBorders>
              <w:top w:val="single" w:sz="4" w:space="0" w:color="000000"/>
              <w:left w:val="single" w:sz="4" w:space="0" w:color="000000"/>
              <w:bottom w:val="single" w:sz="4" w:space="0" w:color="000000"/>
              <w:right w:val="single" w:sz="4" w:space="0" w:color="000000"/>
            </w:tcBorders>
          </w:tcPr>
          <w:p w14:paraId="3922BB60" w14:textId="69127D94" w:rsidR="00C407FB" w:rsidRPr="00B721FA" w:rsidRDefault="00370B9A" w:rsidP="00C407FB">
            <w:pPr>
              <w:ind w:right="68"/>
              <w:jc w:val="right"/>
              <w:rPr>
                <w:rFonts w:ascii="Arial" w:hAnsi="Arial" w:cs="Arial"/>
              </w:rPr>
            </w:pPr>
            <w:r>
              <w:rPr>
                <w:rFonts w:ascii="Arial" w:hAnsi="Arial" w:cs="Arial"/>
              </w:rPr>
              <w:t>9</w:t>
            </w:r>
            <w:r w:rsidR="00A15A79">
              <w:rPr>
                <w:rFonts w:ascii="Arial" w:hAnsi="Arial" w:cs="Arial"/>
              </w:rPr>
              <w:t>4</w:t>
            </w:r>
            <w:r>
              <w:rPr>
                <w:rFonts w:ascii="Arial" w:hAnsi="Arial" w:cs="Arial"/>
              </w:rPr>
              <w:t>%</w:t>
            </w:r>
          </w:p>
        </w:tc>
      </w:tr>
      <w:tr w:rsidR="00C407FB" w:rsidRPr="004C15EC" w14:paraId="0F77804D" w14:textId="047B353C" w:rsidTr="00C407FB">
        <w:trPr>
          <w:trHeight w:val="310"/>
        </w:trPr>
        <w:tc>
          <w:tcPr>
            <w:tcW w:w="3722" w:type="dxa"/>
            <w:tcBorders>
              <w:top w:val="single" w:sz="4" w:space="0" w:color="000000"/>
              <w:left w:val="single" w:sz="4" w:space="0" w:color="000000"/>
              <w:bottom w:val="single" w:sz="4" w:space="0" w:color="000000"/>
              <w:right w:val="single" w:sz="4" w:space="0" w:color="000000"/>
            </w:tcBorders>
          </w:tcPr>
          <w:p w14:paraId="5D29B727" w14:textId="77777777" w:rsidR="00C407FB" w:rsidRPr="00B721FA" w:rsidRDefault="00C407FB" w:rsidP="00C407FB">
            <w:pPr>
              <w:spacing w:line="259" w:lineRule="auto"/>
              <w:rPr>
                <w:rFonts w:ascii="Arial" w:hAnsi="Arial" w:cs="Arial"/>
              </w:rPr>
            </w:pPr>
            <w:r w:rsidRPr="00B721FA">
              <w:rPr>
                <w:rFonts w:ascii="Arial" w:hAnsi="Arial" w:cs="Arial"/>
              </w:rPr>
              <w:t xml:space="preserve">SEN Inclusion fund </w:t>
            </w:r>
          </w:p>
        </w:tc>
        <w:tc>
          <w:tcPr>
            <w:tcW w:w="1393" w:type="dxa"/>
            <w:tcBorders>
              <w:top w:val="single" w:sz="4" w:space="0" w:color="000000"/>
              <w:left w:val="single" w:sz="4" w:space="0" w:color="000000"/>
              <w:bottom w:val="single" w:sz="4" w:space="0" w:color="000000"/>
              <w:right w:val="single" w:sz="4" w:space="0" w:color="000000"/>
            </w:tcBorders>
          </w:tcPr>
          <w:p w14:paraId="24643E3E" w14:textId="28457FC6" w:rsidR="00C407FB" w:rsidRPr="00B721FA" w:rsidRDefault="00C407FB" w:rsidP="00C407FB">
            <w:pPr>
              <w:spacing w:line="259" w:lineRule="auto"/>
              <w:ind w:left="8"/>
              <w:jc w:val="right"/>
              <w:rPr>
                <w:rFonts w:ascii="Arial" w:hAnsi="Arial" w:cs="Arial"/>
              </w:rPr>
            </w:pPr>
            <w:r w:rsidRPr="00B721FA">
              <w:rPr>
                <w:rFonts w:ascii="Arial" w:hAnsi="Arial" w:cs="Arial"/>
              </w:rPr>
              <w:t>0.04</w:t>
            </w:r>
          </w:p>
        </w:tc>
        <w:tc>
          <w:tcPr>
            <w:tcW w:w="1553" w:type="dxa"/>
            <w:tcBorders>
              <w:top w:val="single" w:sz="4" w:space="0" w:color="000000"/>
              <w:left w:val="single" w:sz="4" w:space="0" w:color="000000"/>
              <w:bottom w:val="single" w:sz="4" w:space="0" w:color="000000"/>
              <w:right w:val="single" w:sz="4" w:space="0" w:color="000000"/>
            </w:tcBorders>
          </w:tcPr>
          <w:p w14:paraId="7BFF2291" w14:textId="0D439823" w:rsidR="00C407FB" w:rsidRPr="00B721FA" w:rsidRDefault="00C407FB" w:rsidP="00C407FB">
            <w:pPr>
              <w:ind w:left="7"/>
              <w:jc w:val="right"/>
              <w:rPr>
                <w:rFonts w:ascii="Arial" w:hAnsi="Arial" w:cs="Arial"/>
              </w:rPr>
            </w:pPr>
            <w:r w:rsidRPr="00B721FA">
              <w:rPr>
                <w:rFonts w:ascii="Arial" w:hAnsi="Arial" w:cs="Arial"/>
              </w:rPr>
              <w:t>1%</w:t>
            </w:r>
          </w:p>
        </w:tc>
        <w:tc>
          <w:tcPr>
            <w:tcW w:w="1247" w:type="dxa"/>
            <w:tcBorders>
              <w:top w:val="single" w:sz="4" w:space="0" w:color="000000"/>
              <w:left w:val="single" w:sz="4" w:space="0" w:color="000000"/>
              <w:bottom w:val="single" w:sz="4" w:space="0" w:color="000000"/>
              <w:right w:val="single" w:sz="4" w:space="0" w:color="000000"/>
            </w:tcBorders>
          </w:tcPr>
          <w:p w14:paraId="34B499A8" w14:textId="7C57FEE0" w:rsidR="00C407FB" w:rsidRPr="00B721FA" w:rsidRDefault="00B55848" w:rsidP="00C407FB">
            <w:pPr>
              <w:spacing w:line="259" w:lineRule="auto"/>
              <w:ind w:left="7"/>
              <w:jc w:val="right"/>
              <w:rPr>
                <w:rFonts w:ascii="Arial" w:hAnsi="Arial" w:cs="Arial"/>
              </w:rPr>
            </w:pPr>
            <w:r>
              <w:rPr>
                <w:rFonts w:ascii="Arial" w:hAnsi="Arial" w:cs="Arial"/>
              </w:rPr>
              <w:t>0.04</w:t>
            </w:r>
          </w:p>
        </w:tc>
        <w:tc>
          <w:tcPr>
            <w:tcW w:w="1566" w:type="dxa"/>
            <w:tcBorders>
              <w:top w:val="single" w:sz="4" w:space="0" w:color="000000"/>
              <w:left w:val="single" w:sz="4" w:space="0" w:color="000000"/>
              <w:bottom w:val="single" w:sz="4" w:space="0" w:color="000000"/>
              <w:right w:val="single" w:sz="4" w:space="0" w:color="000000"/>
            </w:tcBorders>
          </w:tcPr>
          <w:p w14:paraId="05B5ECBB" w14:textId="64230664" w:rsidR="00C407FB" w:rsidRPr="00B721FA" w:rsidRDefault="00A15A79" w:rsidP="00C407FB">
            <w:pPr>
              <w:ind w:left="7"/>
              <w:jc w:val="right"/>
              <w:rPr>
                <w:rFonts w:ascii="Arial" w:hAnsi="Arial" w:cs="Arial"/>
              </w:rPr>
            </w:pPr>
            <w:r>
              <w:rPr>
                <w:rFonts w:ascii="Arial" w:hAnsi="Arial" w:cs="Arial"/>
              </w:rPr>
              <w:t>1%</w:t>
            </w:r>
          </w:p>
        </w:tc>
      </w:tr>
      <w:tr w:rsidR="00C407FB" w:rsidRPr="004C15EC" w14:paraId="2CDE90D7" w14:textId="2F4782AC" w:rsidTr="00C407FB">
        <w:trPr>
          <w:trHeight w:val="310"/>
        </w:trPr>
        <w:tc>
          <w:tcPr>
            <w:tcW w:w="3722" w:type="dxa"/>
            <w:tcBorders>
              <w:top w:val="single" w:sz="4" w:space="0" w:color="000000"/>
              <w:left w:val="single" w:sz="4" w:space="0" w:color="000000"/>
              <w:bottom w:val="single" w:sz="4" w:space="0" w:color="000000"/>
              <w:right w:val="single" w:sz="4" w:space="0" w:color="000000"/>
            </w:tcBorders>
          </w:tcPr>
          <w:p w14:paraId="7681BB46" w14:textId="77777777" w:rsidR="00C407FB" w:rsidRPr="00B721FA" w:rsidRDefault="00C407FB" w:rsidP="00C407FB">
            <w:pPr>
              <w:spacing w:line="259" w:lineRule="auto"/>
              <w:rPr>
                <w:rFonts w:ascii="Arial" w:hAnsi="Arial" w:cs="Arial"/>
              </w:rPr>
            </w:pPr>
            <w:r w:rsidRPr="00B721FA">
              <w:rPr>
                <w:rFonts w:ascii="Arial" w:hAnsi="Arial" w:cs="Arial"/>
              </w:rPr>
              <w:t xml:space="preserve">Growth contingency fund </w:t>
            </w:r>
          </w:p>
        </w:tc>
        <w:tc>
          <w:tcPr>
            <w:tcW w:w="1393" w:type="dxa"/>
            <w:tcBorders>
              <w:top w:val="single" w:sz="4" w:space="0" w:color="000000"/>
              <w:left w:val="single" w:sz="4" w:space="0" w:color="000000"/>
              <w:bottom w:val="single" w:sz="4" w:space="0" w:color="000000"/>
              <w:right w:val="single" w:sz="4" w:space="0" w:color="000000"/>
            </w:tcBorders>
          </w:tcPr>
          <w:p w14:paraId="69FA5A33" w14:textId="75303BF2" w:rsidR="00C407FB" w:rsidRPr="00B721FA" w:rsidRDefault="00C407FB" w:rsidP="00C407FB">
            <w:pPr>
              <w:spacing w:line="259" w:lineRule="auto"/>
              <w:ind w:left="8"/>
              <w:jc w:val="right"/>
              <w:rPr>
                <w:rFonts w:ascii="Arial" w:hAnsi="Arial" w:cs="Arial"/>
              </w:rPr>
            </w:pPr>
            <w:r w:rsidRPr="00B721FA">
              <w:rPr>
                <w:rFonts w:ascii="Arial" w:hAnsi="Arial" w:cs="Arial"/>
              </w:rPr>
              <w:t>0.13</w:t>
            </w:r>
          </w:p>
        </w:tc>
        <w:tc>
          <w:tcPr>
            <w:tcW w:w="1553" w:type="dxa"/>
            <w:tcBorders>
              <w:top w:val="single" w:sz="4" w:space="0" w:color="000000"/>
              <w:left w:val="single" w:sz="4" w:space="0" w:color="000000"/>
              <w:bottom w:val="single" w:sz="4" w:space="0" w:color="000000"/>
              <w:right w:val="single" w:sz="4" w:space="0" w:color="000000"/>
            </w:tcBorders>
          </w:tcPr>
          <w:p w14:paraId="3557F308" w14:textId="5678ACD2" w:rsidR="00C407FB" w:rsidRPr="00B721FA" w:rsidRDefault="00C407FB" w:rsidP="00C407FB">
            <w:pPr>
              <w:ind w:left="7"/>
              <w:jc w:val="right"/>
              <w:rPr>
                <w:rFonts w:ascii="Arial" w:hAnsi="Arial" w:cs="Arial"/>
              </w:rPr>
            </w:pPr>
            <w:r w:rsidRPr="00B721FA">
              <w:rPr>
                <w:rFonts w:ascii="Arial" w:hAnsi="Arial" w:cs="Arial"/>
              </w:rPr>
              <w:t>2%</w:t>
            </w:r>
          </w:p>
        </w:tc>
        <w:tc>
          <w:tcPr>
            <w:tcW w:w="1247" w:type="dxa"/>
            <w:tcBorders>
              <w:top w:val="single" w:sz="4" w:space="0" w:color="000000"/>
              <w:left w:val="single" w:sz="4" w:space="0" w:color="000000"/>
              <w:bottom w:val="single" w:sz="4" w:space="0" w:color="000000"/>
              <w:right w:val="single" w:sz="4" w:space="0" w:color="000000"/>
            </w:tcBorders>
          </w:tcPr>
          <w:p w14:paraId="4463346A" w14:textId="582D77A3" w:rsidR="00C407FB" w:rsidRPr="00B721FA" w:rsidRDefault="00370B9A" w:rsidP="00C407FB">
            <w:pPr>
              <w:spacing w:line="259" w:lineRule="auto"/>
              <w:ind w:left="7"/>
              <w:jc w:val="right"/>
              <w:rPr>
                <w:rFonts w:ascii="Arial" w:hAnsi="Arial" w:cs="Arial"/>
              </w:rPr>
            </w:pPr>
            <w:r>
              <w:rPr>
                <w:rFonts w:ascii="Arial" w:hAnsi="Arial" w:cs="Arial"/>
              </w:rPr>
              <w:t>0.00</w:t>
            </w:r>
          </w:p>
        </w:tc>
        <w:tc>
          <w:tcPr>
            <w:tcW w:w="1566" w:type="dxa"/>
            <w:tcBorders>
              <w:top w:val="single" w:sz="4" w:space="0" w:color="000000"/>
              <w:left w:val="single" w:sz="4" w:space="0" w:color="000000"/>
              <w:bottom w:val="single" w:sz="4" w:space="0" w:color="000000"/>
              <w:right w:val="single" w:sz="4" w:space="0" w:color="000000"/>
            </w:tcBorders>
          </w:tcPr>
          <w:p w14:paraId="656CD7EC" w14:textId="361F6C8A" w:rsidR="00C407FB" w:rsidRPr="00B721FA" w:rsidRDefault="00A15A79" w:rsidP="00C407FB">
            <w:pPr>
              <w:ind w:left="7"/>
              <w:jc w:val="right"/>
              <w:rPr>
                <w:rFonts w:ascii="Arial" w:hAnsi="Arial" w:cs="Arial"/>
              </w:rPr>
            </w:pPr>
            <w:r>
              <w:rPr>
                <w:rFonts w:ascii="Arial" w:hAnsi="Arial" w:cs="Arial"/>
              </w:rPr>
              <w:t>0%</w:t>
            </w:r>
          </w:p>
        </w:tc>
      </w:tr>
      <w:tr w:rsidR="00C407FB" w:rsidRPr="004C15EC" w14:paraId="0830A0B9" w14:textId="1BA477F7" w:rsidTr="00C407FB">
        <w:trPr>
          <w:trHeight w:val="310"/>
        </w:trPr>
        <w:tc>
          <w:tcPr>
            <w:tcW w:w="3722" w:type="dxa"/>
            <w:tcBorders>
              <w:top w:val="single" w:sz="4" w:space="0" w:color="000000"/>
              <w:left w:val="single" w:sz="4" w:space="0" w:color="000000"/>
              <w:bottom w:val="single" w:sz="4" w:space="0" w:color="000000"/>
              <w:right w:val="single" w:sz="4" w:space="0" w:color="000000"/>
            </w:tcBorders>
          </w:tcPr>
          <w:p w14:paraId="716742C6" w14:textId="77777777" w:rsidR="00C407FB" w:rsidRPr="00B721FA" w:rsidRDefault="00C407FB" w:rsidP="00C407FB">
            <w:pPr>
              <w:spacing w:line="259" w:lineRule="auto"/>
              <w:rPr>
                <w:rFonts w:ascii="Arial" w:hAnsi="Arial" w:cs="Arial"/>
              </w:rPr>
            </w:pPr>
            <w:r w:rsidRPr="00B721FA">
              <w:rPr>
                <w:rFonts w:ascii="Arial" w:hAnsi="Arial" w:cs="Arial"/>
                <w:b/>
              </w:rPr>
              <w:t xml:space="preserve">Total funding passed to settings </w:t>
            </w:r>
          </w:p>
        </w:tc>
        <w:tc>
          <w:tcPr>
            <w:tcW w:w="1393" w:type="dxa"/>
            <w:tcBorders>
              <w:top w:val="single" w:sz="4" w:space="0" w:color="000000"/>
              <w:left w:val="single" w:sz="4" w:space="0" w:color="000000"/>
              <w:bottom w:val="single" w:sz="4" w:space="0" w:color="000000"/>
              <w:right w:val="single" w:sz="4" w:space="0" w:color="000000"/>
            </w:tcBorders>
          </w:tcPr>
          <w:p w14:paraId="21798863" w14:textId="6E8AE282" w:rsidR="00C407FB" w:rsidRPr="00B721FA" w:rsidRDefault="00C407FB" w:rsidP="00C407FB">
            <w:pPr>
              <w:spacing w:line="259" w:lineRule="auto"/>
              <w:ind w:right="69"/>
              <w:jc w:val="right"/>
              <w:rPr>
                <w:rFonts w:ascii="Arial" w:hAnsi="Arial" w:cs="Arial"/>
                <w:b/>
                <w:bCs/>
              </w:rPr>
            </w:pPr>
            <w:r w:rsidRPr="00B721FA">
              <w:rPr>
                <w:rFonts w:ascii="Arial" w:hAnsi="Arial" w:cs="Arial"/>
                <w:b/>
                <w:bCs/>
              </w:rPr>
              <w:t>5.99</w:t>
            </w:r>
          </w:p>
        </w:tc>
        <w:tc>
          <w:tcPr>
            <w:tcW w:w="1553" w:type="dxa"/>
            <w:tcBorders>
              <w:top w:val="single" w:sz="4" w:space="0" w:color="000000"/>
              <w:left w:val="single" w:sz="4" w:space="0" w:color="000000"/>
              <w:bottom w:val="single" w:sz="4" w:space="0" w:color="000000"/>
              <w:right w:val="single" w:sz="4" w:space="0" w:color="000000"/>
            </w:tcBorders>
          </w:tcPr>
          <w:p w14:paraId="1F3C1DB2" w14:textId="6120767B" w:rsidR="00C407FB" w:rsidRPr="00B721FA" w:rsidRDefault="00C407FB" w:rsidP="00C407FB">
            <w:pPr>
              <w:ind w:right="68"/>
              <w:jc w:val="right"/>
              <w:rPr>
                <w:rFonts w:ascii="Arial" w:hAnsi="Arial" w:cs="Arial"/>
                <w:b/>
                <w:bCs/>
              </w:rPr>
            </w:pPr>
            <w:r w:rsidRPr="00B721FA">
              <w:rPr>
                <w:rFonts w:ascii="Arial" w:hAnsi="Arial" w:cs="Arial"/>
                <w:b/>
                <w:bCs/>
              </w:rPr>
              <w:t>95%</w:t>
            </w:r>
          </w:p>
        </w:tc>
        <w:tc>
          <w:tcPr>
            <w:tcW w:w="1247" w:type="dxa"/>
            <w:tcBorders>
              <w:top w:val="single" w:sz="4" w:space="0" w:color="000000"/>
              <w:left w:val="single" w:sz="4" w:space="0" w:color="000000"/>
              <w:bottom w:val="single" w:sz="4" w:space="0" w:color="000000"/>
              <w:right w:val="single" w:sz="4" w:space="0" w:color="000000"/>
            </w:tcBorders>
          </w:tcPr>
          <w:p w14:paraId="4E720B84" w14:textId="6F48EF14" w:rsidR="00C407FB" w:rsidRPr="00B721FA" w:rsidRDefault="00370B9A" w:rsidP="00C407FB">
            <w:pPr>
              <w:spacing w:line="259" w:lineRule="auto"/>
              <w:ind w:right="68"/>
              <w:jc w:val="right"/>
              <w:rPr>
                <w:rFonts w:ascii="Arial" w:hAnsi="Arial" w:cs="Arial"/>
                <w:b/>
                <w:bCs/>
              </w:rPr>
            </w:pPr>
            <w:r>
              <w:rPr>
                <w:rFonts w:ascii="Arial" w:hAnsi="Arial" w:cs="Arial"/>
                <w:b/>
                <w:bCs/>
              </w:rPr>
              <w:t>8.53</w:t>
            </w:r>
          </w:p>
        </w:tc>
        <w:tc>
          <w:tcPr>
            <w:tcW w:w="1566" w:type="dxa"/>
            <w:tcBorders>
              <w:top w:val="single" w:sz="4" w:space="0" w:color="000000"/>
              <w:left w:val="single" w:sz="4" w:space="0" w:color="000000"/>
              <w:bottom w:val="single" w:sz="4" w:space="0" w:color="000000"/>
              <w:right w:val="single" w:sz="4" w:space="0" w:color="000000"/>
            </w:tcBorders>
          </w:tcPr>
          <w:p w14:paraId="0F9B028B" w14:textId="58891541" w:rsidR="00C407FB" w:rsidRPr="00B721FA" w:rsidRDefault="00A15A79" w:rsidP="00C407FB">
            <w:pPr>
              <w:ind w:right="68"/>
              <w:jc w:val="right"/>
              <w:rPr>
                <w:rFonts w:ascii="Arial" w:hAnsi="Arial" w:cs="Arial"/>
                <w:b/>
                <w:bCs/>
              </w:rPr>
            </w:pPr>
            <w:r>
              <w:rPr>
                <w:rFonts w:ascii="Arial" w:hAnsi="Arial" w:cs="Arial"/>
                <w:b/>
                <w:bCs/>
              </w:rPr>
              <w:t>95%</w:t>
            </w:r>
          </w:p>
        </w:tc>
      </w:tr>
      <w:tr w:rsidR="00C407FB" w:rsidRPr="004C15EC" w14:paraId="60F86A0F" w14:textId="48BD50BC" w:rsidTr="00C407FB">
        <w:trPr>
          <w:trHeight w:val="310"/>
        </w:trPr>
        <w:tc>
          <w:tcPr>
            <w:tcW w:w="3722" w:type="dxa"/>
            <w:tcBorders>
              <w:top w:val="single" w:sz="4" w:space="0" w:color="000000"/>
              <w:left w:val="single" w:sz="4" w:space="0" w:color="000000"/>
              <w:bottom w:val="single" w:sz="4" w:space="0" w:color="000000"/>
              <w:right w:val="single" w:sz="4" w:space="0" w:color="000000"/>
            </w:tcBorders>
          </w:tcPr>
          <w:p w14:paraId="4C927D8C" w14:textId="77777777" w:rsidR="00C407FB" w:rsidRPr="00B721FA" w:rsidRDefault="00C407FB" w:rsidP="00C407FB">
            <w:pPr>
              <w:spacing w:line="259" w:lineRule="auto"/>
              <w:rPr>
                <w:rFonts w:ascii="Arial" w:hAnsi="Arial" w:cs="Arial"/>
              </w:rPr>
            </w:pPr>
            <w:r w:rsidRPr="00B721FA">
              <w:rPr>
                <w:rFonts w:ascii="Arial" w:hAnsi="Arial" w:cs="Arial"/>
              </w:rPr>
              <w:t xml:space="preserve">Central retained funding </w:t>
            </w:r>
          </w:p>
        </w:tc>
        <w:tc>
          <w:tcPr>
            <w:tcW w:w="1393" w:type="dxa"/>
            <w:tcBorders>
              <w:top w:val="single" w:sz="4" w:space="0" w:color="000000"/>
              <w:left w:val="single" w:sz="4" w:space="0" w:color="000000"/>
              <w:bottom w:val="single" w:sz="4" w:space="0" w:color="000000"/>
              <w:right w:val="single" w:sz="4" w:space="0" w:color="000000"/>
            </w:tcBorders>
          </w:tcPr>
          <w:p w14:paraId="2AE7415F" w14:textId="356E4432" w:rsidR="00C407FB" w:rsidRPr="00B721FA" w:rsidRDefault="00C407FB" w:rsidP="00C407FB">
            <w:pPr>
              <w:spacing w:line="259" w:lineRule="auto"/>
              <w:ind w:left="8"/>
              <w:jc w:val="right"/>
              <w:rPr>
                <w:rFonts w:ascii="Arial" w:hAnsi="Arial" w:cs="Arial"/>
              </w:rPr>
            </w:pPr>
            <w:r w:rsidRPr="00B721FA">
              <w:rPr>
                <w:rFonts w:ascii="Arial" w:hAnsi="Arial" w:cs="Arial"/>
              </w:rPr>
              <w:t>0.31</w:t>
            </w:r>
          </w:p>
        </w:tc>
        <w:tc>
          <w:tcPr>
            <w:tcW w:w="1553" w:type="dxa"/>
            <w:tcBorders>
              <w:top w:val="single" w:sz="4" w:space="0" w:color="000000"/>
              <w:left w:val="single" w:sz="4" w:space="0" w:color="000000"/>
              <w:bottom w:val="single" w:sz="4" w:space="0" w:color="000000"/>
              <w:right w:val="single" w:sz="4" w:space="0" w:color="000000"/>
            </w:tcBorders>
          </w:tcPr>
          <w:p w14:paraId="5CA8EB53" w14:textId="623B0123" w:rsidR="00C407FB" w:rsidRPr="00B721FA" w:rsidRDefault="00C407FB" w:rsidP="00C407FB">
            <w:pPr>
              <w:ind w:left="7"/>
              <w:jc w:val="right"/>
              <w:rPr>
                <w:rFonts w:ascii="Arial" w:hAnsi="Arial" w:cs="Arial"/>
              </w:rPr>
            </w:pPr>
            <w:r w:rsidRPr="00B721FA">
              <w:rPr>
                <w:rFonts w:ascii="Arial" w:hAnsi="Arial" w:cs="Arial"/>
              </w:rPr>
              <w:t>5%</w:t>
            </w:r>
          </w:p>
        </w:tc>
        <w:tc>
          <w:tcPr>
            <w:tcW w:w="1247" w:type="dxa"/>
            <w:tcBorders>
              <w:top w:val="single" w:sz="4" w:space="0" w:color="000000"/>
              <w:left w:val="single" w:sz="4" w:space="0" w:color="000000"/>
              <w:bottom w:val="single" w:sz="4" w:space="0" w:color="000000"/>
              <w:right w:val="single" w:sz="4" w:space="0" w:color="000000"/>
            </w:tcBorders>
          </w:tcPr>
          <w:p w14:paraId="04C3A75E" w14:textId="2A4211F7" w:rsidR="00C407FB" w:rsidRPr="00B721FA" w:rsidRDefault="00370B9A" w:rsidP="00C407FB">
            <w:pPr>
              <w:spacing w:line="259" w:lineRule="auto"/>
              <w:ind w:left="7"/>
              <w:jc w:val="right"/>
              <w:rPr>
                <w:rFonts w:ascii="Arial" w:hAnsi="Arial" w:cs="Arial"/>
              </w:rPr>
            </w:pPr>
            <w:r>
              <w:rPr>
                <w:rFonts w:ascii="Arial" w:hAnsi="Arial" w:cs="Arial"/>
              </w:rPr>
              <w:t>0.45</w:t>
            </w:r>
          </w:p>
        </w:tc>
        <w:tc>
          <w:tcPr>
            <w:tcW w:w="1566" w:type="dxa"/>
            <w:tcBorders>
              <w:top w:val="single" w:sz="4" w:space="0" w:color="000000"/>
              <w:left w:val="single" w:sz="4" w:space="0" w:color="000000"/>
              <w:bottom w:val="single" w:sz="4" w:space="0" w:color="000000"/>
              <w:right w:val="single" w:sz="4" w:space="0" w:color="000000"/>
            </w:tcBorders>
          </w:tcPr>
          <w:p w14:paraId="21CF05A7" w14:textId="2F95FA76" w:rsidR="00C407FB" w:rsidRPr="00B721FA" w:rsidRDefault="00A15A79" w:rsidP="00C407FB">
            <w:pPr>
              <w:ind w:left="7"/>
              <w:jc w:val="right"/>
              <w:rPr>
                <w:rFonts w:ascii="Arial" w:hAnsi="Arial" w:cs="Arial"/>
              </w:rPr>
            </w:pPr>
            <w:r>
              <w:rPr>
                <w:rFonts w:ascii="Arial" w:hAnsi="Arial" w:cs="Arial"/>
              </w:rPr>
              <w:t>5%</w:t>
            </w:r>
          </w:p>
        </w:tc>
      </w:tr>
      <w:tr w:rsidR="00C407FB" w:rsidRPr="004C15EC" w14:paraId="7F81464A" w14:textId="1E18AAD7" w:rsidTr="00C407FB">
        <w:trPr>
          <w:trHeight w:val="312"/>
        </w:trPr>
        <w:tc>
          <w:tcPr>
            <w:tcW w:w="3722" w:type="dxa"/>
            <w:tcBorders>
              <w:top w:val="single" w:sz="4" w:space="0" w:color="000000"/>
              <w:left w:val="single" w:sz="4" w:space="0" w:color="000000"/>
              <w:bottom w:val="single" w:sz="4" w:space="0" w:color="000000"/>
              <w:right w:val="single" w:sz="4" w:space="0" w:color="000000"/>
            </w:tcBorders>
          </w:tcPr>
          <w:p w14:paraId="3509A208" w14:textId="77777777" w:rsidR="00C407FB" w:rsidRPr="00B721FA" w:rsidRDefault="00C407FB" w:rsidP="00C407FB">
            <w:pPr>
              <w:spacing w:line="259" w:lineRule="auto"/>
              <w:rPr>
                <w:rFonts w:ascii="Arial" w:hAnsi="Arial" w:cs="Arial"/>
              </w:rPr>
            </w:pPr>
            <w:r w:rsidRPr="00B721FA">
              <w:rPr>
                <w:rFonts w:ascii="Arial" w:hAnsi="Arial" w:cs="Arial"/>
                <w:b/>
              </w:rPr>
              <w:t xml:space="preserve">Total </w:t>
            </w:r>
          </w:p>
        </w:tc>
        <w:tc>
          <w:tcPr>
            <w:tcW w:w="1393" w:type="dxa"/>
            <w:tcBorders>
              <w:top w:val="single" w:sz="4" w:space="0" w:color="000000"/>
              <w:left w:val="single" w:sz="4" w:space="0" w:color="000000"/>
              <w:bottom w:val="single" w:sz="4" w:space="0" w:color="000000"/>
              <w:right w:val="single" w:sz="4" w:space="0" w:color="000000"/>
            </w:tcBorders>
          </w:tcPr>
          <w:p w14:paraId="4D99EBEA" w14:textId="0CA786CA" w:rsidR="00C407FB" w:rsidRPr="00B721FA" w:rsidRDefault="00C407FB" w:rsidP="00C407FB">
            <w:pPr>
              <w:spacing w:line="259" w:lineRule="auto"/>
              <w:ind w:right="69"/>
              <w:jc w:val="right"/>
              <w:rPr>
                <w:rFonts w:ascii="Arial" w:hAnsi="Arial" w:cs="Arial"/>
                <w:b/>
                <w:bCs/>
              </w:rPr>
            </w:pPr>
            <w:r w:rsidRPr="00B721FA">
              <w:rPr>
                <w:rFonts w:ascii="Arial" w:hAnsi="Arial" w:cs="Arial"/>
                <w:b/>
                <w:bCs/>
              </w:rPr>
              <w:t>6.30</w:t>
            </w:r>
          </w:p>
        </w:tc>
        <w:tc>
          <w:tcPr>
            <w:tcW w:w="1553" w:type="dxa"/>
            <w:tcBorders>
              <w:top w:val="single" w:sz="4" w:space="0" w:color="000000"/>
              <w:left w:val="single" w:sz="4" w:space="0" w:color="000000"/>
              <w:bottom w:val="single" w:sz="4" w:space="0" w:color="000000"/>
              <w:right w:val="single" w:sz="4" w:space="0" w:color="000000"/>
            </w:tcBorders>
          </w:tcPr>
          <w:p w14:paraId="0154B30F" w14:textId="11EABC84" w:rsidR="00C407FB" w:rsidRPr="00B721FA" w:rsidRDefault="00C407FB" w:rsidP="00C407FB">
            <w:pPr>
              <w:ind w:right="68"/>
              <w:jc w:val="right"/>
              <w:rPr>
                <w:rFonts w:ascii="Arial" w:hAnsi="Arial" w:cs="Arial"/>
                <w:b/>
                <w:bCs/>
              </w:rPr>
            </w:pPr>
            <w:r w:rsidRPr="00B721FA">
              <w:rPr>
                <w:rFonts w:ascii="Arial" w:hAnsi="Arial" w:cs="Arial"/>
                <w:b/>
                <w:bCs/>
              </w:rPr>
              <w:t>100%</w:t>
            </w:r>
          </w:p>
        </w:tc>
        <w:tc>
          <w:tcPr>
            <w:tcW w:w="1247" w:type="dxa"/>
            <w:tcBorders>
              <w:top w:val="single" w:sz="4" w:space="0" w:color="000000"/>
              <w:left w:val="single" w:sz="4" w:space="0" w:color="000000"/>
              <w:bottom w:val="single" w:sz="4" w:space="0" w:color="000000"/>
              <w:right w:val="single" w:sz="4" w:space="0" w:color="000000"/>
            </w:tcBorders>
          </w:tcPr>
          <w:p w14:paraId="24FC5623" w14:textId="34873749" w:rsidR="00C407FB" w:rsidRPr="00B721FA" w:rsidRDefault="00370B9A" w:rsidP="00C407FB">
            <w:pPr>
              <w:spacing w:line="259" w:lineRule="auto"/>
              <w:ind w:right="68"/>
              <w:jc w:val="right"/>
              <w:rPr>
                <w:rFonts w:ascii="Arial" w:hAnsi="Arial" w:cs="Arial"/>
                <w:b/>
                <w:bCs/>
              </w:rPr>
            </w:pPr>
            <w:r>
              <w:rPr>
                <w:rFonts w:ascii="Arial" w:hAnsi="Arial" w:cs="Arial"/>
                <w:b/>
                <w:bCs/>
              </w:rPr>
              <w:t>8.98</w:t>
            </w:r>
          </w:p>
        </w:tc>
        <w:tc>
          <w:tcPr>
            <w:tcW w:w="1566" w:type="dxa"/>
            <w:tcBorders>
              <w:top w:val="single" w:sz="4" w:space="0" w:color="000000"/>
              <w:left w:val="single" w:sz="4" w:space="0" w:color="000000"/>
              <w:bottom w:val="single" w:sz="4" w:space="0" w:color="000000"/>
              <w:right w:val="single" w:sz="4" w:space="0" w:color="000000"/>
            </w:tcBorders>
          </w:tcPr>
          <w:p w14:paraId="335EC569" w14:textId="0AC8BE1F" w:rsidR="00C407FB" w:rsidRPr="00B721FA" w:rsidRDefault="00A15A79" w:rsidP="00C407FB">
            <w:pPr>
              <w:ind w:right="68"/>
              <w:jc w:val="right"/>
              <w:rPr>
                <w:rFonts w:ascii="Arial" w:hAnsi="Arial" w:cs="Arial"/>
                <w:b/>
                <w:bCs/>
              </w:rPr>
            </w:pPr>
            <w:r>
              <w:rPr>
                <w:rFonts w:ascii="Arial" w:hAnsi="Arial" w:cs="Arial"/>
                <w:b/>
                <w:bCs/>
              </w:rPr>
              <w:t>100%</w:t>
            </w:r>
          </w:p>
        </w:tc>
      </w:tr>
    </w:tbl>
    <w:p w14:paraId="30C2518E" w14:textId="77777777" w:rsidR="005A0AB5" w:rsidRPr="00CD0059" w:rsidRDefault="005A0AB5" w:rsidP="00CD0059">
      <w:pPr>
        <w:rPr>
          <w:rFonts w:ascii="Arial" w:hAnsi="Arial" w:cs="Arial"/>
          <w:b/>
          <w:bCs/>
          <w:sz w:val="24"/>
          <w:szCs w:val="24"/>
        </w:rPr>
      </w:pPr>
    </w:p>
    <w:p w14:paraId="64B7435E" w14:textId="2AAD0682" w:rsidR="00B721FA" w:rsidRDefault="00B721FA" w:rsidP="00B71862">
      <w:pPr>
        <w:pStyle w:val="ListParagraph"/>
        <w:numPr>
          <w:ilvl w:val="2"/>
          <w:numId w:val="1"/>
        </w:numPr>
        <w:spacing w:after="0"/>
        <w:ind w:left="1571" w:hanging="851"/>
        <w:rPr>
          <w:rFonts w:ascii="Arial" w:hAnsi="Arial" w:cs="Arial"/>
          <w:sz w:val="24"/>
          <w:szCs w:val="24"/>
        </w:rPr>
      </w:pPr>
      <w:r w:rsidRPr="0056705A">
        <w:rPr>
          <w:rFonts w:ascii="Arial" w:hAnsi="Arial" w:cs="Arial"/>
          <w:sz w:val="24"/>
          <w:szCs w:val="24"/>
        </w:rPr>
        <w:t>This provides</w:t>
      </w:r>
      <w:r w:rsidRPr="00B71862">
        <w:rPr>
          <w:rFonts w:ascii="Arial" w:hAnsi="Arial" w:cs="Arial"/>
          <w:sz w:val="24"/>
          <w:szCs w:val="24"/>
        </w:rPr>
        <w:t xml:space="preserve"> an </w:t>
      </w:r>
      <w:r w:rsidRPr="00167E78">
        <w:rPr>
          <w:rFonts w:ascii="Arial" w:hAnsi="Arial" w:cs="Arial"/>
          <w:b/>
          <w:bCs/>
          <w:sz w:val="24"/>
          <w:szCs w:val="24"/>
        </w:rPr>
        <w:t>hourly rate of £</w:t>
      </w:r>
      <w:r w:rsidR="0056705A" w:rsidRPr="00167E78">
        <w:rPr>
          <w:rFonts w:ascii="Arial" w:hAnsi="Arial" w:cs="Arial"/>
          <w:b/>
          <w:bCs/>
          <w:sz w:val="24"/>
          <w:szCs w:val="24"/>
        </w:rPr>
        <w:t>8.49</w:t>
      </w:r>
      <w:r w:rsidRPr="00B71862">
        <w:rPr>
          <w:rFonts w:ascii="Arial" w:hAnsi="Arial" w:cs="Arial"/>
          <w:sz w:val="24"/>
          <w:szCs w:val="24"/>
        </w:rPr>
        <w:t xml:space="preserve"> for </w:t>
      </w:r>
      <w:r w:rsidR="00FD6C4A">
        <w:rPr>
          <w:rFonts w:ascii="Arial" w:hAnsi="Arial" w:cs="Arial"/>
          <w:sz w:val="24"/>
          <w:szCs w:val="24"/>
        </w:rPr>
        <w:t xml:space="preserve">all </w:t>
      </w:r>
      <w:r w:rsidR="006A1AD1" w:rsidRPr="00B71862">
        <w:rPr>
          <w:rFonts w:ascii="Arial" w:hAnsi="Arial" w:cs="Arial"/>
          <w:sz w:val="24"/>
          <w:szCs w:val="24"/>
        </w:rPr>
        <w:t>two</w:t>
      </w:r>
      <w:r w:rsidR="001024C4">
        <w:rPr>
          <w:rFonts w:ascii="Arial" w:hAnsi="Arial" w:cs="Arial"/>
          <w:sz w:val="24"/>
          <w:szCs w:val="24"/>
        </w:rPr>
        <w:t xml:space="preserve"> </w:t>
      </w:r>
      <w:r w:rsidR="006A1AD1" w:rsidRPr="00B71862">
        <w:rPr>
          <w:rFonts w:ascii="Arial" w:hAnsi="Arial" w:cs="Arial"/>
          <w:sz w:val="24"/>
          <w:szCs w:val="24"/>
        </w:rPr>
        <w:t>year</w:t>
      </w:r>
      <w:r w:rsidR="001024C4">
        <w:rPr>
          <w:rFonts w:ascii="Arial" w:hAnsi="Arial" w:cs="Arial"/>
          <w:sz w:val="24"/>
          <w:szCs w:val="24"/>
        </w:rPr>
        <w:t xml:space="preserve"> </w:t>
      </w:r>
      <w:r w:rsidR="006A1AD1" w:rsidRPr="00B71862">
        <w:rPr>
          <w:rFonts w:ascii="Arial" w:hAnsi="Arial" w:cs="Arial"/>
          <w:sz w:val="24"/>
          <w:szCs w:val="24"/>
        </w:rPr>
        <w:t>olds</w:t>
      </w:r>
      <w:r w:rsidRPr="0056705A">
        <w:rPr>
          <w:rFonts w:ascii="Arial" w:hAnsi="Arial" w:cs="Arial"/>
          <w:sz w:val="24"/>
          <w:szCs w:val="24"/>
        </w:rPr>
        <w:t>.</w:t>
      </w:r>
    </w:p>
    <w:p w14:paraId="2D5174B3" w14:textId="77777777" w:rsidR="00B71862" w:rsidRPr="00CD0059" w:rsidRDefault="00B71862" w:rsidP="00CD0059">
      <w:pPr>
        <w:spacing w:after="0"/>
        <w:rPr>
          <w:rFonts w:ascii="Arial" w:hAnsi="Arial" w:cs="Arial"/>
          <w:sz w:val="24"/>
          <w:szCs w:val="24"/>
        </w:rPr>
      </w:pPr>
    </w:p>
    <w:p w14:paraId="68B2CE44" w14:textId="52D31D93" w:rsidR="0099175A" w:rsidRPr="00C4586A" w:rsidRDefault="00B71862" w:rsidP="00B71862">
      <w:pPr>
        <w:pStyle w:val="ListParagraph"/>
        <w:numPr>
          <w:ilvl w:val="2"/>
          <w:numId w:val="1"/>
        </w:numPr>
        <w:spacing w:after="0"/>
        <w:ind w:left="1571" w:hanging="851"/>
        <w:rPr>
          <w:rFonts w:ascii="Arial" w:hAnsi="Arial" w:cs="Arial"/>
          <w:sz w:val="24"/>
          <w:szCs w:val="24"/>
        </w:rPr>
      </w:pPr>
      <w:bookmarkStart w:id="2" w:name="_Hlk153472022"/>
      <w:r>
        <w:rPr>
          <w:rFonts w:ascii="Arial" w:hAnsi="Arial" w:cs="Arial"/>
          <w:sz w:val="24"/>
          <w:szCs w:val="24"/>
        </w:rPr>
        <w:t>The</w:t>
      </w:r>
      <w:r w:rsidR="0099175A" w:rsidRPr="00C4586A">
        <w:rPr>
          <w:rFonts w:ascii="Arial" w:hAnsi="Arial" w:cs="Arial"/>
          <w:sz w:val="24"/>
          <w:szCs w:val="24"/>
        </w:rPr>
        <w:t xml:space="preserve"> Portsmouth </w:t>
      </w:r>
      <w:r>
        <w:rPr>
          <w:rFonts w:ascii="Arial" w:hAnsi="Arial" w:cs="Arial"/>
          <w:sz w:val="24"/>
          <w:szCs w:val="24"/>
        </w:rPr>
        <w:t xml:space="preserve">formula </w:t>
      </w:r>
      <w:r w:rsidR="0099175A" w:rsidRPr="00C4586A">
        <w:rPr>
          <w:rFonts w:ascii="Arial" w:hAnsi="Arial" w:cs="Arial"/>
          <w:sz w:val="24"/>
          <w:szCs w:val="24"/>
        </w:rPr>
        <w:t>includes:</w:t>
      </w:r>
    </w:p>
    <w:p w14:paraId="2E9FF167" w14:textId="21C98E7C" w:rsidR="0099175A" w:rsidRPr="00274E84" w:rsidRDefault="00740F94" w:rsidP="00B71862">
      <w:pPr>
        <w:pStyle w:val="ListParagraph"/>
        <w:numPr>
          <w:ilvl w:val="2"/>
          <w:numId w:val="32"/>
        </w:numPr>
        <w:rPr>
          <w:rFonts w:ascii="Arial" w:hAnsi="Arial" w:cs="Arial"/>
          <w:sz w:val="24"/>
          <w:szCs w:val="24"/>
        </w:rPr>
      </w:pPr>
      <w:r>
        <w:rPr>
          <w:rFonts w:ascii="Arial" w:hAnsi="Arial" w:cs="Arial"/>
          <w:sz w:val="24"/>
          <w:szCs w:val="24"/>
        </w:rPr>
        <w:t>a</w:t>
      </w:r>
      <w:r w:rsidR="0099175A" w:rsidRPr="00274E84">
        <w:rPr>
          <w:rFonts w:ascii="Arial" w:hAnsi="Arial" w:cs="Arial"/>
          <w:sz w:val="24"/>
          <w:szCs w:val="24"/>
        </w:rPr>
        <w:t xml:space="preserve">n 'inclusion fund' which will operate in-line with that for </w:t>
      </w:r>
      <w:proofErr w:type="gramStart"/>
      <w:r w:rsidR="006A1AD1" w:rsidRPr="00274E84">
        <w:rPr>
          <w:rFonts w:ascii="Arial" w:hAnsi="Arial" w:cs="Arial"/>
          <w:sz w:val="24"/>
          <w:szCs w:val="24"/>
        </w:rPr>
        <w:t>three and four</w:t>
      </w:r>
      <w:r w:rsidR="003C2E49">
        <w:rPr>
          <w:rFonts w:ascii="Arial" w:hAnsi="Arial" w:cs="Arial"/>
          <w:sz w:val="24"/>
          <w:szCs w:val="24"/>
        </w:rPr>
        <w:t xml:space="preserve"> </w:t>
      </w:r>
      <w:r w:rsidR="006A1AD1" w:rsidRPr="00274E84">
        <w:rPr>
          <w:rFonts w:ascii="Arial" w:hAnsi="Arial" w:cs="Arial"/>
          <w:sz w:val="24"/>
          <w:szCs w:val="24"/>
        </w:rPr>
        <w:t>year-olds</w:t>
      </w:r>
      <w:proofErr w:type="gramEnd"/>
      <w:r w:rsidR="0099175A" w:rsidRPr="00274E84">
        <w:rPr>
          <w:rFonts w:ascii="Arial" w:hAnsi="Arial" w:cs="Arial"/>
          <w:sz w:val="24"/>
          <w:szCs w:val="24"/>
        </w:rPr>
        <w:t xml:space="preserve"> by providing support to pupils with low and emerging special needs</w:t>
      </w:r>
    </w:p>
    <w:p w14:paraId="1F58F024" w14:textId="5CC6444A" w:rsidR="004C15EC" w:rsidRDefault="00740F94" w:rsidP="00DE6131">
      <w:pPr>
        <w:pStyle w:val="ListParagraph"/>
        <w:numPr>
          <w:ilvl w:val="2"/>
          <w:numId w:val="32"/>
        </w:numPr>
        <w:spacing w:after="0"/>
        <w:ind w:left="2154" w:hanging="357"/>
        <w:rPr>
          <w:rFonts w:ascii="Arial" w:hAnsi="Arial" w:cs="Arial"/>
          <w:sz w:val="24"/>
          <w:szCs w:val="24"/>
        </w:rPr>
      </w:pPr>
      <w:r>
        <w:rPr>
          <w:rFonts w:ascii="Arial" w:hAnsi="Arial" w:cs="Arial"/>
          <w:sz w:val="24"/>
          <w:szCs w:val="24"/>
        </w:rPr>
        <w:lastRenderedPageBreak/>
        <w:t>i</w:t>
      </w:r>
      <w:r w:rsidR="0099175A" w:rsidRPr="003C2E49">
        <w:rPr>
          <w:rFonts w:ascii="Arial" w:hAnsi="Arial" w:cs="Arial"/>
          <w:sz w:val="24"/>
          <w:szCs w:val="24"/>
        </w:rPr>
        <w:t>n line with the three and four</w:t>
      </w:r>
      <w:r w:rsidR="003C2E49">
        <w:rPr>
          <w:rFonts w:ascii="Arial" w:hAnsi="Arial" w:cs="Arial"/>
          <w:sz w:val="24"/>
          <w:szCs w:val="24"/>
        </w:rPr>
        <w:t>-</w:t>
      </w:r>
      <w:r w:rsidR="0099175A" w:rsidRPr="003C2E49">
        <w:rPr>
          <w:rFonts w:ascii="Arial" w:hAnsi="Arial" w:cs="Arial"/>
          <w:sz w:val="24"/>
          <w:szCs w:val="24"/>
        </w:rPr>
        <w:t xml:space="preserve">year old formula the authority is proposing to </w:t>
      </w:r>
      <w:r w:rsidR="00B44030" w:rsidRPr="003C2E49">
        <w:rPr>
          <w:rFonts w:ascii="Arial" w:hAnsi="Arial" w:cs="Arial"/>
          <w:sz w:val="24"/>
          <w:szCs w:val="24"/>
        </w:rPr>
        <w:t xml:space="preserve">retain 5% </w:t>
      </w:r>
      <w:r w:rsidR="0099175A" w:rsidRPr="003C2E49">
        <w:rPr>
          <w:rFonts w:ascii="Arial" w:hAnsi="Arial" w:cs="Arial"/>
          <w:sz w:val="24"/>
          <w:szCs w:val="24"/>
        </w:rPr>
        <w:t xml:space="preserve">centrally to support the provision of </w:t>
      </w:r>
      <w:r w:rsidR="00B44030" w:rsidRPr="003C2E49">
        <w:rPr>
          <w:rFonts w:ascii="Arial" w:hAnsi="Arial" w:cs="Arial"/>
          <w:sz w:val="24"/>
          <w:szCs w:val="24"/>
        </w:rPr>
        <w:t xml:space="preserve">support and </w:t>
      </w:r>
      <w:r w:rsidR="0099175A" w:rsidRPr="003C2E49">
        <w:rPr>
          <w:rFonts w:ascii="Arial" w:hAnsi="Arial" w:cs="Arial"/>
          <w:sz w:val="24"/>
          <w:szCs w:val="24"/>
        </w:rPr>
        <w:t>services to the early years sector.</w:t>
      </w:r>
    </w:p>
    <w:bookmarkEnd w:id="2"/>
    <w:p w14:paraId="1EED7B3A" w14:textId="77777777" w:rsidR="004776F1" w:rsidRPr="00CD0059" w:rsidRDefault="004776F1" w:rsidP="00DE6131">
      <w:pPr>
        <w:spacing w:after="0"/>
        <w:rPr>
          <w:rFonts w:ascii="Arial" w:hAnsi="Arial" w:cs="Arial"/>
          <w:sz w:val="24"/>
          <w:szCs w:val="24"/>
        </w:rPr>
      </w:pPr>
    </w:p>
    <w:p w14:paraId="0111D1CB" w14:textId="1BDA6409" w:rsidR="004776F1" w:rsidRDefault="00766225" w:rsidP="004776F1">
      <w:pPr>
        <w:pStyle w:val="ListParagraph"/>
        <w:numPr>
          <w:ilvl w:val="1"/>
          <w:numId w:val="1"/>
        </w:numPr>
        <w:rPr>
          <w:rFonts w:ascii="Arial" w:hAnsi="Arial" w:cs="Arial"/>
          <w:b/>
          <w:bCs/>
          <w:sz w:val="24"/>
          <w:szCs w:val="24"/>
        </w:rPr>
      </w:pPr>
      <w:r>
        <w:rPr>
          <w:rFonts w:ascii="Arial" w:hAnsi="Arial" w:cs="Arial"/>
          <w:b/>
          <w:bCs/>
          <w:sz w:val="24"/>
          <w:szCs w:val="24"/>
        </w:rPr>
        <w:t>Under 2s</w:t>
      </w:r>
      <w:r w:rsidR="00755E19">
        <w:rPr>
          <w:rFonts w:ascii="Arial" w:hAnsi="Arial" w:cs="Arial"/>
          <w:b/>
          <w:bCs/>
          <w:sz w:val="24"/>
          <w:szCs w:val="24"/>
        </w:rPr>
        <w:t xml:space="preserve"> </w:t>
      </w:r>
      <w:r w:rsidR="004776F1">
        <w:rPr>
          <w:rFonts w:ascii="Arial" w:hAnsi="Arial" w:cs="Arial"/>
          <w:b/>
          <w:bCs/>
          <w:sz w:val="24"/>
          <w:szCs w:val="24"/>
        </w:rPr>
        <w:t>entitlements 20</w:t>
      </w:r>
      <w:r w:rsidR="00986648">
        <w:rPr>
          <w:rFonts w:ascii="Arial" w:hAnsi="Arial" w:cs="Arial"/>
          <w:b/>
          <w:bCs/>
          <w:sz w:val="24"/>
          <w:szCs w:val="24"/>
        </w:rPr>
        <w:t>2</w:t>
      </w:r>
      <w:r w:rsidR="004776F1">
        <w:rPr>
          <w:rFonts w:ascii="Arial" w:hAnsi="Arial" w:cs="Arial"/>
          <w:b/>
          <w:bCs/>
          <w:sz w:val="24"/>
          <w:szCs w:val="24"/>
        </w:rPr>
        <w:t>4-25</w:t>
      </w:r>
    </w:p>
    <w:p w14:paraId="23AA01CF" w14:textId="77777777" w:rsidR="004776F1" w:rsidRPr="000E0484" w:rsidRDefault="004776F1" w:rsidP="004776F1">
      <w:pPr>
        <w:pStyle w:val="ListParagraph"/>
        <w:ind w:left="792"/>
        <w:rPr>
          <w:rFonts w:ascii="Arial" w:hAnsi="Arial" w:cs="Arial"/>
          <w:b/>
          <w:bCs/>
          <w:sz w:val="24"/>
          <w:szCs w:val="24"/>
        </w:rPr>
      </w:pPr>
    </w:p>
    <w:p w14:paraId="27E275B1" w14:textId="563B4D91" w:rsidR="00535245" w:rsidRPr="00346613" w:rsidRDefault="004776F1" w:rsidP="00421CA7">
      <w:pPr>
        <w:pStyle w:val="ListParagraph"/>
        <w:numPr>
          <w:ilvl w:val="2"/>
          <w:numId w:val="1"/>
        </w:numPr>
        <w:spacing w:after="0"/>
        <w:ind w:left="1571" w:hanging="851"/>
        <w:rPr>
          <w:rFonts w:ascii="Arial" w:hAnsi="Arial" w:cs="Arial"/>
          <w:sz w:val="24"/>
          <w:szCs w:val="24"/>
        </w:rPr>
      </w:pPr>
      <w:r w:rsidRPr="00346613">
        <w:rPr>
          <w:rFonts w:ascii="Arial" w:hAnsi="Arial" w:cs="Arial"/>
          <w:sz w:val="24"/>
          <w:szCs w:val="24"/>
        </w:rPr>
        <w:t>Portsmouth will receive £</w:t>
      </w:r>
      <w:r w:rsidR="00310525" w:rsidRPr="00346613">
        <w:rPr>
          <w:rFonts w:ascii="Arial" w:hAnsi="Arial" w:cs="Arial"/>
          <w:sz w:val="24"/>
          <w:szCs w:val="24"/>
        </w:rPr>
        <w:t>12</w:t>
      </w:r>
      <w:r w:rsidRPr="00346613">
        <w:rPr>
          <w:rFonts w:ascii="Arial" w:hAnsi="Arial" w:cs="Arial"/>
          <w:sz w:val="24"/>
          <w:szCs w:val="24"/>
        </w:rPr>
        <w:t>.</w:t>
      </w:r>
      <w:r w:rsidR="00310525" w:rsidRPr="00346613">
        <w:rPr>
          <w:rFonts w:ascii="Arial" w:hAnsi="Arial" w:cs="Arial"/>
          <w:sz w:val="24"/>
          <w:szCs w:val="24"/>
        </w:rPr>
        <w:t>24</w:t>
      </w:r>
      <w:r w:rsidRPr="00346613">
        <w:rPr>
          <w:rFonts w:ascii="Arial" w:hAnsi="Arial" w:cs="Arial"/>
          <w:sz w:val="24"/>
          <w:szCs w:val="24"/>
        </w:rPr>
        <w:t xml:space="preserve"> per hour for </w:t>
      </w:r>
      <w:r w:rsidR="005A0BC3">
        <w:rPr>
          <w:rFonts w:ascii="Arial" w:hAnsi="Arial" w:cs="Arial"/>
          <w:sz w:val="24"/>
          <w:szCs w:val="24"/>
        </w:rPr>
        <w:t>under 2s</w:t>
      </w:r>
      <w:r w:rsidRPr="00346613">
        <w:rPr>
          <w:rFonts w:ascii="Arial" w:hAnsi="Arial" w:cs="Arial"/>
          <w:sz w:val="24"/>
          <w:szCs w:val="24"/>
        </w:rPr>
        <w:t>.  The proposed funding will be allocated as set out in the table below.</w:t>
      </w:r>
    </w:p>
    <w:tbl>
      <w:tblPr>
        <w:tblStyle w:val="TableGrid0"/>
        <w:tblpPr w:leftFromText="180" w:rightFromText="180" w:vertAnchor="text" w:horzAnchor="page" w:tblpX="2161" w:tblpY="353"/>
        <w:tblW w:w="6535" w:type="dxa"/>
        <w:tblInd w:w="0" w:type="dxa"/>
        <w:tblCellMar>
          <w:top w:w="8" w:type="dxa"/>
          <w:left w:w="182" w:type="dxa"/>
          <w:right w:w="115" w:type="dxa"/>
        </w:tblCellMar>
        <w:tblLook w:val="04A0" w:firstRow="1" w:lastRow="0" w:firstColumn="1" w:lastColumn="0" w:noHBand="0" w:noVBand="1"/>
      </w:tblPr>
      <w:tblGrid>
        <w:gridCol w:w="3775"/>
        <w:gridCol w:w="1080"/>
        <w:gridCol w:w="1680"/>
      </w:tblGrid>
      <w:tr w:rsidR="00346613" w:rsidRPr="000637E0" w14:paraId="4952BDD1" w14:textId="77777777" w:rsidTr="00421CA7">
        <w:trPr>
          <w:trHeight w:val="312"/>
        </w:trPr>
        <w:tc>
          <w:tcPr>
            <w:tcW w:w="6535" w:type="dxa"/>
            <w:gridSpan w:val="3"/>
            <w:tcBorders>
              <w:top w:val="single" w:sz="4" w:space="0" w:color="auto"/>
              <w:left w:val="single" w:sz="4" w:space="0" w:color="auto"/>
              <w:bottom w:val="single" w:sz="4" w:space="0" w:color="auto"/>
              <w:right w:val="single" w:sz="4" w:space="0" w:color="000000"/>
            </w:tcBorders>
          </w:tcPr>
          <w:p w14:paraId="2E3884FE" w14:textId="2818B38D" w:rsidR="00346613" w:rsidRPr="000637E0" w:rsidRDefault="00346613" w:rsidP="00421CA7">
            <w:pPr>
              <w:ind w:right="69"/>
              <w:rPr>
                <w:rFonts w:ascii="Arial" w:hAnsi="Arial" w:cs="Arial"/>
                <w:b/>
                <w:bCs/>
              </w:rPr>
            </w:pPr>
            <w:r>
              <w:rPr>
                <w:rFonts w:ascii="Arial" w:hAnsi="Arial" w:cs="Arial"/>
                <w:b/>
                <w:bCs/>
              </w:rPr>
              <w:t>Table 4: Under 2s</w:t>
            </w:r>
            <w:r w:rsidRPr="00B721FA">
              <w:rPr>
                <w:rFonts w:ascii="Arial" w:hAnsi="Arial" w:cs="Arial"/>
                <w:b/>
              </w:rPr>
              <w:t xml:space="preserve"> funding formula</w:t>
            </w:r>
          </w:p>
        </w:tc>
      </w:tr>
      <w:tr w:rsidR="00346613" w:rsidRPr="00A9216F" w14:paraId="0ABC3D2E" w14:textId="77777777" w:rsidTr="00421CA7">
        <w:trPr>
          <w:trHeight w:val="312"/>
        </w:trPr>
        <w:tc>
          <w:tcPr>
            <w:tcW w:w="3775" w:type="dxa"/>
            <w:tcBorders>
              <w:top w:val="single" w:sz="4" w:space="0" w:color="auto"/>
              <w:left w:val="single" w:sz="4" w:space="0" w:color="auto"/>
              <w:bottom w:val="single" w:sz="4" w:space="0" w:color="auto"/>
              <w:right w:val="single" w:sz="4" w:space="0" w:color="auto"/>
            </w:tcBorders>
          </w:tcPr>
          <w:p w14:paraId="0648E7F3" w14:textId="77777777" w:rsidR="00346613" w:rsidRPr="00A9216F" w:rsidRDefault="00346613" w:rsidP="00421CA7">
            <w:pPr>
              <w:spacing w:line="259" w:lineRule="auto"/>
              <w:rPr>
                <w:rFonts w:ascii="Arial" w:hAnsi="Arial" w:cs="Arial"/>
                <w:b/>
                <w:bCs/>
                <w:highlight w:val="yellow"/>
              </w:rPr>
            </w:pPr>
          </w:p>
        </w:tc>
        <w:tc>
          <w:tcPr>
            <w:tcW w:w="1080" w:type="dxa"/>
            <w:tcBorders>
              <w:top w:val="single" w:sz="4" w:space="0" w:color="000000"/>
              <w:left w:val="single" w:sz="4" w:space="0" w:color="000000"/>
              <w:bottom w:val="single" w:sz="4" w:space="0" w:color="000000"/>
              <w:right w:val="single" w:sz="4" w:space="0" w:color="000000"/>
            </w:tcBorders>
          </w:tcPr>
          <w:p w14:paraId="35F713C5" w14:textId="77777777" w:rsidR="00346613" w:rsidRDefault="00346613" w:rsidP="00421CA7">
            <w:pPr>
              <w:spacing w:line="259" w:lineRule="auto"/>
              <w:ind w:left="-108" w:right="69"/>
              <w:jc w:val="center"/>
              <w:rPr>
                <w:rFonts w:ascii="Arial" w:hAnsi="Arial" w:cs="Arial"/>
                <w:b/>
                <w:bCs/>
              </w:rPr>
            </w:pPr>
            <w:r w:rsidRPr="00B721FA">
              <w:rPr>
                <w:rFonts w:ascii="Arial" w:hAnsi="Arial" w:cs="Arial"/>
                <w:b/>
                <w:bCs/>
              </w:rPr>
              <w:t>202</w:t>
            </w:r>
            <w:r>
              <w:rPr>
                <w:rFonts w:ascii="Arial" w:hAnsi="Arial" w:cs="Arial"/>
                <w:b/>
                <w:bCs/>
              </w:rPr>
              <w:t>4</w:t>
            </w:r>
            <w:r w:rsidRPr="00B721FA">
              <w:rPr>
                <w:rFonts w:ascii="Arial" w:hAnsi="Arial" w:cs="Arial"/>
                <w:b/>
                <w:bCs/>
              </w:rPr>
              <w:t>-202</w:t>
            </w:r>
            <w:r>
              <w:rPr>
                <w:rFonts w:ascii="Arial" w:hAnsi="Arial" w:cs="Arial"/>
                <w:b/>
                <w:bCs/>
              </w:rPr>
              <w:t>5</w:t>
            </w:r>
            <w:r w:rsidRPr="00B721FA">
              <w:rPr>
                <w:rFonts w:ascii="Arial" w:hAnsi="Arial" w:cs="Arial"/>
                <w:b/>
                <w:bCs/>
              </w:rPr>
              <w:t xml:space="preserve"> </w:t>
            </w:r>
          </w:p>
          <w:p w14:paraId="62BE32C6" w14:textId="77777777" w:rsidR="00346613" w:rsidRPr="00B721FA" w:rsidRDefault="00346613" w:rsidP="00421CA7">
            <w:pPr>
              <w:spacing w:line="259" w:lineRule="auto"/>
              <w:ind w:left="-108" w:right="69"/>
              <w:jc w:val="center"/>
              <w:rPr>
                <w:rFonts w:ascii="Arial" w:hAnsi="Arial" w:cs="Arial"/>
                <w:b/>
                <w:bCs/>
              </w:rPr>
            </w:pPr>
            <w:r w:rsidRPr="00B721FA">
              <w:rPr>
                <w:rFonts w:ascii="Arial" w:hAnsi="Arial" w:cs="Arial"/>
                <w:b/>
                <w:bCs/>
              </w:rPr>
              <w:t>(£)</w:t>
            </w:r>
          </w:p>
        </w:tc>
        <w:tc>
          <w:tcPr>
            <w:tcW w:w="1680" w:type="dxa"/>
            <w:tcBorders>
              <w:top w:val="single" w:sz="4" w:space="0" w:color="000000"/>
              <w:left w:val="single" w:sz="4" w:space="0" w:color="000000"/>
              <w:bottom w:val="single" w:sz="4" w:space="0" w:color="000000"/>
              <w:right w:val="single" w:sz="4" w:space="0" w:color="000000"/>
            </w:tcBorders>
          </w:tcPr>
          <w:p w14:paraId="35AEB756" w14:textId="77777777" w:rsidR="00346613" w:rsidRPr="00A9216F" w:rsidRDefault="00346613" w:rsidP="00421CA7">
            <w:pPr>
              <w:ind w:right="69"/>
              <w:jc w:val="center"/>
              <w:rPr>
                <w:rFonts w:ascii="Arial" w:hAnsi="Arial" w:cs="Arial"/>
                <w:b/>
                <w:bCs/>
                <w:highlight w:val="yellow"/>
              </w:rPr>
            </w:pPr>
            <w:r w:rsidRPr="000637E0">
              <w:rPr>
                <w:rFonts w:ascii="Arial" w:hAnsi="Arial" w:cs="Arial"/>
                <w:b/>
                <w:bCs/>
              </w:rPr>
              <w:t>202</w:t>
            </w:r>
            <w:r>
              <w:rPr>
                <w:rFonts w:ascii="Arial" w:hAnsi="Arial" w:cs="Arial"/>
                <w:b/>
                <w:bCs/>
              </w:rPr>
              <w:t>4</w:t>
            </w:r>
            <w:r w:rsidRPr="000637E0">
              <w:rPr>
                <w:rFonts w:ascii="Arial" w:hAnsi="Arial" w:cs="Arial"/>
                <w:b/>
                <w:bCs/>
              </w:rPr>
              <w:t>-2</w:t>
            </w:r>
            <w:r>
              <w:rPr>
                <w:rFonts w:ascii="Arial" w:hAnsi="Arial" w:cs="Arial"/>
                <w:b/>
                <w:bCs/>
              </w:rPr>
              <w:t>5</w:t>
            </w:r>
            <w:r w:rsidRPr="000637E0">
              <w:rPr>
                <w:rFonts w:ascii="Arial" w:hAnsi="Arial" w:cs="Arial"/>
                <w:b/>
                <w:bCs/>
              </w:rPr>
              <w:t xml:space="preserve"> Percentage split</w:t>
            </w:r>
          </w:p>
        </w:tc>
      </w:tr>
      <w:tr w:rsidR="00346613" w:rsidRPr="00B721FA" w14:paraId="666A9FCD" w14:textId="77777777" w:rsidTr="00185F3F">
        <w:trPr>
          <w:trHeight w:val="310"/>
        </w:trPr>
        <w:tc>
          <w:tcPr>
            <w:tcW w:w="3775" w:type="dxa"/>
            <w:tcBorders>
              <w:top w:val="single" w:sz="4" w:space="0" w:color="auto"/>
              <w:left w:val="single" w:sz="4" w:space="0" w:color="000000"/>
              <w:bottom w:val="single" w:sz="4" w:space="0" w:color="000000"/>
              <w:right w:val="single" w:sz="4" w:space="0" w:color="000000"/>
            </w:tcBorders>
          </w:tcPr>
          <w:p w14:paraId="7283C681" w14:textId="77777777" w:rsidR="00346613" w:rsidRPr="00B721FA" w:rsidRDefault="00346613" w:rsidP="00421CA7">
            <w:pPr>
              <w:spacing w:line="259" w:lineRule="auto"/>
              <w:rPr>
                <w:rFonts w:ascii="Arial" w:hAnsi="Arial" w:cs="Arial"/>
              </w:rPr>
            </w:pPr>
            <w:r w:rsidRPr="00B721FA">
              <w:rPr>
                <w:rFonts w:ascii="Arial" w:hAnsi="Arial" w:cs="Arial"/>
              </w:rPr>
              <w:t xml:space="preserve">Basic hourly rate </w:t>
            </w:r>
            <w:r>
              <w:rPr>
                <w:rFonts w:ascii="Arial" w:hAnsi="Arial" w:cs="Arial"/>
              </w:rPr>
              <w:t>paid to providers</w:t>
            </w:r>
          </w:p>
        </w:tc>
        <w:tc>
          <w:tcPr>
            <w:tcW w:w="1080" w:type="dxa"/>
            <w:tcBorders>
              <w:top w:val="single" w:sz="4" w:space="0" w:color="000000"/>
              <w:left w:val="single" w:sz="4" w:space="0" w:color="000000"/>
              <w:bottom w:val="single" w:sz="4" w:space="0" w:color="000000"/>
              <w:right w:val="single" w:sz="4" w:space="0" w:color="000000"/>
            </w:tcBorders>
            <w:vAlign w:val="bottom"/>
          </w:tcPr>
          <w:p w14:paraId="446336ED" w14:textId="77777777" w:rsidR="00346613" w:rsidRPr="00B721FA" w:rsidRDefault="00346613" w:rsidP="00185F3F">
            <w:pPr>
              <w:spacing w:line="259" w:lineRule="auto"/>
              <w:jc w:val="right"/>
              <w:rPr>
                <w:rFonts w:ascii="Arial" w:hAnsi="Arial" w:cs="Arial"/>
              </w:rPr>
            </w:pPr>
            <w:r>
              <w:rPr>
                <w:rFonts w:ascii="Arial" w:hAnsi="Arial" w:cs="Arial"/>
              </w:rPr>
              <w:t>11.59</w:t>
            </w:r>
          </w:p>
        </w:tc>
        <w:tc>
          <w:tcPr>
            <w:tcW w:w="1680" w:type="dxa"/>
            <w:tcBorders>
              <w:top w:val="single" w:sz="4" w:space="0" w:color="000000"/>
              <w:left w:val="single" w:sz="4" w:space="0" w:color="000000"/>
              <w:bottom w:val="single" w:sz="4" w:space="0" w:color="000000"/>
              <w:right w:val="single" w:sz="4" w:space="0" w:color="000000"/>
            </w:tcBorders>
          </w:tcPr>
          <w:p w14:paraId="2D3F09E0" w14:textId="77777777" w:rsidR="00346613" w:rsidRPr="00B721FA" w:rsidRDefault="00346613" w:rsidP="00421CA7">
            <w:pPr>
              <w:ind w:right="68"/>
              <w:jc w:val="right"/>
              <w:rPr>
                <w:rFonts w:ascii="Arial" w:hAnsi="Arial" w:cs="Arial"/>
              </w:rPr>
            </w:pPr>
            <w:r>
              <w:rPr>
                <w:rFonts w:ascii="Arial" w:hAnsi="Arial" w:cs="Arial"/>
              </w:rPr>
              <w:t>94%</w:t>
            </w:r>
          </w:p>
        </w:tc>
      </w:tr>
      <w:tr w:rsidR="00346613" w:rsidRPr="00B721FA" w14:paraId="491C0ECA" w14:textId="77777777" w:rsidTr="00185F3F">
        <w:trPr>
          <w:trHeight w:val="310"/>
        </w:trPr>
        <w:tc>
          <w:tcPr>
            <w:tcW w:w="3775" w:type="dxa"/>
            <w:tcBorders>
              <w:top w:val="single" w:sz="4" w:space="0" w:color="000000"/>
              <w:left w:val="single" w:sz="4" w:space="0" w:color="000000"/>
              <w:bottom w:val="single" w:sz="4" w:space="0" w:color="000000"/>
              <w:right w:val="single" w:sz="4" w:space="0" w:color="000000"/>
            </w:tcBorders>
          </w:tcPr>
          <w:p w14:paraId="23817BFA" w14:textId="77777777" w:rsidR="00346613" w:rsidRPr="00B721FA" w:rsidRDefault="00346613" w:rsidP="00421CA7">
            <w:pPr>
              <w:spacing w:line="259" w:lineRule="auto"/>
              <w:rPr>
                <w:rFonts w:ascii="Arial" w:hAnsi="Arial" w:cs="Arial"/>
              </w:rPr>
            </w:pPr>
            <w:r w:rsidRPr="00B721FA">
              <w:rPr>
                <w:rFonts w:ascii="Arial" w:hAnsi="Arial" w:cs="Arial"/>
              </w:rPr>
              <w:t xml:space="preserve">SEN Inclusion fund </w:t>
            </w:r>
          </w:p>
        </w:tc>
        <w:tc>
          <w:tcPr>
            <w:tcW w:w="1080" w:type="dxa"/>
            <w:tcBorders>
              <w:top w:val="single" w:sz="4" w:space="0" w:color="000000"/>
              <w:left w:val="single" w:sz="4" w:space="0" w:color="000000"/>
              <w:bottom w:val="single" w:sz="4" w:space="0" w:color="000000"/>
              <w:right w:val="single" w:sz="4" w:space="0" w:color="000000"/>
            </w:tcBorders>
            <w:vAlign w:val="bottom"/>
          </w:tcPr>
          <w:p w14:paraId="397DED01" w14:textId="77777777" w:rsidR="00346613" w:rsidRPr="00B721FA" w:rsidRDefault="00346613" w:rsidP="00314906">
            <w:pPr>
              <w:spacing w:line="259" w:lineRule="auto"/>
              <w:ind w:left="7"/>
              <w:jc w:val="right"/>
              <w:rPr>
                <w:rFonts w:ascii="Arial" w:hAnsi="Arial" w:cs="Arial"/>
              </w:rPr>
            </w:pPr>
            <w:r>
              <w:rPr>
                <w:rFonts w:ascii="Arial" w:hAnsi="Arial" w:cs="Arial"/>
              </w:rPr>
              <w:t>0.04</w:t>
            </w:r>
          </w:p>
        </w:tc>
        <w:tc>
          <w:tcPr>
            <w:tcW w:w="1680" w:type="dxa"/>
            <w:tcBorders>
              <w:top w:val="single" w:sz="4" w:space="0" w:color="000000"/>
              <w:left w:val="single" w:sz="4" w:space="0" w:color="000000"/>
              <w:bottom w:val="single" w:sz="4" w:space="0" w:color="000000"/>
              <w:right w:val="single" w:sz="4" w:space="0" w:color="000000"/>
            </w:tcBorders>
          </w:tcPr>
          <w:p w14:paraId="2EFA0845" w14:textId="77777777" w:rsidR="00346613" w:rsidRPr="00B721FA" w:rsidRDefault="00346613" w:rsidP="00421CA7">
            <w:pPr>
              <w:ind w:left="7"/>
              <w:jc w:val="right"/>
              <w:rPr>
                <w:rFonts w:ascii="Arial" w:hAnsi="Arial" w:cs="Arial"/>
              </w:rPr>
            </w:pPr>
            <w:r>
              <w:rPr>
                <w:rFonts w:ascii="Arial" w:hAnsi="Arial" w:cs="Arial"/>
              </w:rPr>
              <w:t>1%</w:t>
            </w:r>
          </w:p>
        </w:tc>
      </w:tr>
      <w:tr w:rsidR="00346613" w:rsidRPr="00B721FA" w14:paraId="7078695D" w14:textId="77777777" w:rsidTr="00185F3F">
        <w:trPr>
          <w:trHeight w:val="310"/>
        </w:trPr>
        <w:tc>
          <w:tcPr>
            <w:tcW w:w="3775" w:type="dxa"/>
            <w:tcBorders>
              <w:top w:val="single" w:sz="4" w:space="0" w:color="000000"/>
              <w:left w:val="single" w:sz="4" w:space="0" w:color="000000"/>
              <w:bottom w:val="single" w:sz="4" w:space="0" w:color="000000"/>
              <w:right w:val="single" w:sz="4" w:space="0" w:color="000000"/>
            </w:tcBorders>
          </w:tcPr>
          <w:p w14:paraId="54703F69" w14:textId="77777777" w:rsidR="00346613" w:rsidRPr="00B721FA" w:rsidRDefault="00346613" w:rsidP="00421CA7">
            <w:pPr>
              <w:spacing w:line="259" w:lineRule="auto"/>
              <w:rPr>
                <w:rFonts w:ascii="Arial" w:hAnsi="Arial" w:cs="Arial"/>
              </w:rPr>
            </w:pPr>
            <w:r w:rsidRPr="00B721FA">
              <w:rPr>
                <w:rFonts w:ascii="Arial" w:hAnsi="Arial" w:cs="Arial"/>
              </w:rPr>
              <w:t xml:space="preserve">Growth contingency fund </w:t>
            </w:r>
          </w:p>
        </w:tc>
        <w:tc>
          <w:tcPr>
            <w:tcW w:w="1080" w:type="dxa"/>
            <w:tcBorders>
              <w:top w:val="single" w:sz="4" w:space="0" w:color="000000"/>
              <w:left w:val="single" w:sz="4" w:space="0" w:color="000000"/>
              <w:bottom w:val="single" w:sz="4" w:space="0" w:color="000000"/>
              <w:right w:val="single" w:sz="4" w:space="0" w:color="000000"/>
            </w:tcBorders>
            <w:vAlign w:val="bottom"/>
          </w:tcPr>
          <w:p w14:paraId="713D8BCA" w14:textId="77777777" w:rsidR="00346613" w:rsidRPr="00B721FA" w:rsidRDefault="00346613" w:rsidP="00314906">
            <w:pPr>
              <w:spacing w:line="259" w:lineRule="auto"/>
              <w:ind w:left="7"/>
              <w:jc w:val="right"/>
              <w:rPr>
                <w:rFonts w:ascii="Arial" w:hAnsi="Arial" w:cs="Arial"/>
              </w:rPr>
            </w:pPr>
            <w:r>
              <w:rPr>
                <w:rFonts w:ascii="Arial" w:hAnsi="Arial" w:cs="Arial"/>
              </w:rPr>
              <w:t>0</w:t>
            </w:r>
          </w:p>
        </w:tc>
        <w:tc>
          <w:tcPr>
            <w:tcW w:w="1680" w:type="dxa"/>
            <w:tcBorders>
              <w:top w:val="single" w:sz="4" w:space="0" w:color="000000"/>
              <w:left w:val="single" w:sz="4" w:space="0" w:color="000000"/>
              <w:bottom w:val="single" w:sz="4" w:space="0" w:color="000000"/>
              <w:right w:val="single" w:sz="4" w:space="0" w:color="000000"/>
            </w:tcBorders>
          </w:tcPr>
          <w:p w14:paraId="6128ACC2" w14:textId="77777777" w:rsidR="00346613" w:rsidRPr="00B721FA" w:rsidRDefault="00346613" w:rsidP="00421CA7">
            <w:pPr>
              <w:ind w:left="7"/>
              <w:jc w:val="right"/>
              <w:rPr>
                <w:rFonts w:ascii="Arial" w:hAnsi="Arial" w:cs="Arial"/>
              </w:rPr>
            </w:pPr>
            <w:r>
              <w:rPr>
                <w:rFonts w:ascii="Arial" w:hAnsi="Arial" w:cs="Arial"/>
              </w:rPr>
              <w:t>0%</w:t>
            </w:r>
          </w:p>
        </w:tc>
      </w:tr>
      <w:tr w:rsidR="00346613" w:rsidRPr="00B721FA" w14:paraId="0C05D725" w14:textId="77777777" w:rsidTr="00185F3F">
        <w:trPr>
          <w:trHeight w:val="310"/>
        </w:trPr>
        <w:tc>
          <w:tcPr>
            <w:tcW w:w="3775" w:type="dxa"/>
            <w:tcBorders>
              <w:top w:val="single" w:sz="4" w:space="0" w:color="000000"/>
              <w:left w:val="single" w:sz="4" w:space="0" w:color="000000"/>
              <w:bottom w:val="single" w:sz="4" w:space="0" w:color="000000"/>
              <w:right w:val="single" w:sz="4" w:space="0" w:color="000000"/>
            </w:tcBorders>
          </w:tcPr>
          <w:p w14:paraId="566EFB49" w14:textId="77777777" w:rsidR="00346613" w:rsidRPr="00B721FA" w:rsidRDefault="00346613" w:rsidP="00421CA7">
            <w:pPr>
              <w:spacing w:line="259" w:lineRule="auto"/>
              <w:rPr>
                <w:rFonts w:ascii="Arial" w:hAnsi="Arial" w:cs="Arial"/>
              </w:rPr>
            </w:pPr>
            <w:r w:rsidRPr="00B721FA">
              <w:rPr>
                <w:rFonts w:ascii="Arial" w:hAnsi="Arial" w:cs="Arial"/>
                <w:b/>
              </w:rPr>
              <w:t xml:space="preserve">Total funding passed to settings </w:t>
            </w:r>
          </w:p>
        </w:tc>
        <w:tc>
          <w:tcPr>
            <w:tcW w:w="1080" w:type="dxa"/>
            <w:tcBorders>
              <w:top w:val="single" w:sz="4" w:space="0" w:color="000000"/>
              <w:left w:val="single" w:sz="4" w:space="0" w:color="000000"/>
              <w:bottom w:val="single" w:sz="4" w:space="0" w:color="000000"/>
              <w:right w:val="single" w:sz="4" w:space="0" w:color="000000"/>
            </w:tcBorders>
            <w:vAlign w:val="bottom"/>
          </w:tcPr>
          <w:p w14:paraId="7AAB0BF0" w14:textId="77777777" w:rsidR="00346613" w:rsidRPr="00B721FA" w:rsidRDefault="00346613" w:rsidP="00314906">
            <w:pPr>
              <w:spacing w:line="259" w:lineRule="auto"/>
              <w:ind w:right="68"/>
              <w:jc w:val="right"/>
              <w:rPr>
                <w:rFonts w:ascii="Arial" w:hAnsi="Arial" w:cs="Arial"/>
                <w:b/>
                <w:bCs/>
              </w:rPr>
            </w:pPr>
            <w:r>
              <w:rPr>
                <w:rFonts w:ascii="Arial" w:hAnsi="Arial" w:cs="Arial"/>
                <w:b/>
                <w:bCs/>
              </w:rPr>
              <w:t>11.63</w:t>
            </w:r>
          </w:p>
        </w:tc>
        <w:tc>
          <w:tcPr>
            <w:tcW w:w="1680" w:type="dxa"/>
            <w:tcBorders>
              <w:top w:val="single" w:sz="4" w:space="0" w:color="000000"/>
              <w:left w:val="single" w:sz="4" w:space="0" w:color="000000"/>
              <w:bottom w:val="single" w:sz="4" w:space="0" w:color="000000"/>
              <w:right w:val="single" w:sz="4" w:space="0" w:color="000000"/>
            </w:tcBorders>
          </w:tcPr>
          <w:p w14:paraId="0EF5F006" w14:textId="77777777" w:rsidR="00346613" w:rsidRPr="00B721FA" w:rsidRDefault="00346613" w:rsidP="00421CA7">
            <w:pPr>
              <w:ind w:right="68"/>
              <w:jc w:val="right"/>
              <w:rPr>
                <w:rFonts w:ascii="Arial" w:hAnsi="Arial" w:cs="Arial"/>
                <w:b/>
                <w:bCs/>
              </w:rPr>
            </w:pPr>
            <w:r>
              <w:rPr>
                <w:rFonts w:ascii="Arial" w:hAnsi="Arial" w:cs="Arial"/>
                <w:b/>
                <w:bCs/>
              </w:rPr>
              <w:t>95%</w:t>
            </w:r>
          </w:p>
        </w:tc>
      </w:tr>
      <w:tr w:rsidR="00346613" w:rsidRPr="00B721FA" w14:paraId="3747F746" w14:textId="77777777" w:rsidTr="00185F3F">
        <w:trPr>
          <w:trHeight w:val="310"/>
        </w:trPr>
        <w:tc>
          <w:tcPr>
            <w:tcW w:w="3775" w:type="dxa"/>
            <w:tcBorders>
              <w:top w:val="single" w:sz="4" w:space="0" w:color="000000"/>
              <w:left w:val="single" w:sz="4" w:space="0" w:color="000000"/>
              <w:bottom w:val="single" w:sz="4" w:space="0" w:color="000000"/>
              <w:right w:val="single" w:sz="4" w:space="0" w:color="000000"/>
            </w:tcBorders>
          </w:tcPr>
          <w:p w14:paraId="571B6C6C" w14:textId="77777777" w:rsidR="00346613" w:rsidRPr="00B721FA" w:rsidRDefault="00346613" w:rsidP="00421CA7">
            <w:pPr>
              <w:spacing w:line="259" w:lineRule="auto"/>
              <w:rPr>
                <w:rFonts w:ascii="Arial" w:hAnsi="Arial" w:cs="Arial"/>
              </w:rPr>
            </w:pPr>
            <w:r w:rsidRPr="00B721FA">
              <w:rPr>
                <w:rFonts w:ascii="Arial" w:hAnsi="Arial" w:cs="Arial"/>
              </w:rPr>
              <w:t xml:space="preserve">Central retained funding </w:t>
            </w:r>
          </w:p>
        </w:tc>
        <w:tc>
          <w:tcPr>
            <w:tcW w:w="1080" w:type="dxa"/>
            <w:tcBorders>
              <w:top w:val="single" w:sz="4" w:space="0" w:color="000000"/>
              <w:left w:val="single" w:sz="4" w:space="0" w:color="000000"/>
              <w:bottom w:val="single" w:sz="4" w:space="0" w:color="000000"/>
              <w:right w:val="single" w:sz="4" w:space="0" w:color="000000"/>
            </w:tcBorders>
            <w:vAlign w:val="bottom"/>
          </w:tcPr>
          <w:p w14:paraId="521B5E19" w14:textId="77777777" w:rsidR="00346613" w:rsidRPr="00B721FA" w:rsidRDefault="00346613" w:rsidP="00314906">
            <w:pPr>
              <w:spacing w:line="259" w:lineRule="auto"/>
              <w:ind w:left="7"/>
              <w:jc w:val="right"/>
              <w:rPr>
                <w:rFonts w:ascii="Arial" w:hAnsi="Arial" w:cs="Arial"/>
              </w:rPr>
            </w:pPr>
            <w:r>
              <w:rPr>
                <w:rFonts w:ascii="Arial" w:hAnsi="Arial" w:cs="Arial"/>
              </w:rPr>
              <w:t>0.61</w:t>
            </w:r>
          </w:p>
        </w:tc>
        <w:tc>
          <w:tcPr>
            <w:tcW w:w="1680" w:type="dxa"/>
            <w:tcBorders>
              <w:top w:val="single" w:sz="4" w:space="0" w:color="000000"/>
              <w:left w:val="single" w:sz="4" w:space="0" w:color="000000"/>
              <w:bottom w:val="single" w:sz="4" w:space="0" w:color="000000"/>
              <w:right w:val="single" w:sz="4" w:space="0" w:color="000000"/>
            </w:tcBorders>
          </w:tcPr>
          <w:p w14:paraId="7EF5D060" w14:textId="77777777" w:rsidR="00346613" w:rsidRPr="00B721FA" w:rsidRDefault="00346613" w:rsidP="00421CA7">
            <w:pPr>
              <w:ind w:left="7"/>
              <w:jc w:val="right"/>
              <w:rPr>
                <w:rFonts w:ascii="Arial" w:hAnsi="Arial" w:cs="Arial"/>
              </w:rPr>
            </w:pPr>
            <w:r>
              <w:rPr>
                <w:rFonts w:ascii="Arial" w:hAnsi="Arial" w:cs="Arial"/>
              </w:rPr>
              <w:t>5%</w:t>
            </w:r>
          </w:p>
        </w:tc>
      </w:tr>
      <w:tr w:rsidR="00346613" w:rsidRPr="00B721FA" w14:paraId="77DA3AE4" w14:textId="77777777" w:rsidTr="00185F3F">
        <w:trPr>
          <w:trHeight w:val="312"/>
        </w:trPr>
        <w:tc>
          <w:tcPr>
            <w:tcW w:w="3775" w:type="dxa"/>
            <w:tcBorders>
              <w:top w:val="single" w:sz="4" w:space="0" w:color="000000"/>
              <w:left w:val="single" w:sz="4" w:space="0" w:color="000000"/>
              <w:bottom w:val="single" w:sz="4" w:space="0" w:color="000000"/>
              <w:right w:val="single" w:sz="4" w:space="0" w:color="000000"/>
            </w:tcBorders>
          </w:tcPr>
          <w:p w14:paraId="5EE610C5" w14:textId="77777777" w:rsidR="00346613" w:rsidRPr="00B721FA" w:rsidRDefault="00346613" w:rsidP="00421CA7">
            <w:pPr>
              <w:spacing w:line="259" w:lineRule="auto"/>
              <w:rPr>
                <w:rFonts w:ascii="Arial" w:hAnsi="Arial" w:cs="Arial"/>
              </w:rPr>
            </w:pPr>
            <w:r w:rsidRPr="00B721FA">
              <w:rPr>
                <w:rFonts w:ascii="Arial" w:hAnsi="Arial" w:cs="Arial"/>
                <w:b/>
              </w:rPr>
              <w:t xml:space="preserve">Total </w:t>
            </w:r>
          </w:p>
        </w:tc>
        <w:tc>
          <w:tcPr>
            <w:tcW w:w="1080" w:type="dxa"/>
            <w:tcBorders>
              <w:top w:val="single" w:sz="4" w:space="0" w:color="000000"/>
              <w:left w:val="single" w:sz="4" w:space="0" w:color="000000"/>
              <w:bottom w:val="single" w:sz="4" w:space="0" w:color="000000"/>
              <w:right w:val="single" w:sz="4" w:space="0" w:color="000000"/>
            </w:tcBorders>
            <w:vAlign w:val="bottom"/>
          </w:tcPr>
          <w:p w14:paraId="3B1E3553" w14:textId="77777777" w:rsidR="00346613" w:rsidRPr="00B721FA" w:rsidRDefault="00346613" w:rsidP="00314906">
            <w:pPr>
              <w:spacing w:line="259" w:lineRule="auto"/>
              <w:ind w:right="68"/>
              <w:jc w:val="right"/>
              <w:rPr>
                <w:rFonts w:ascii="Arial" w:hAnsi="Arial" w:cs="Arial"/>
                <w:b/>
                <w:bCs/>
              </w:rPr>
            </w:pPr>
            <w:r>
              <w:rPr>
                <w:rFonts w:ascii="Arial" w:hAnsi="Arial" w:cs="Arial"/>
                <w:b/>
                <w:bCs/>
              </w:rPr>
              <w:t>12.24</w:t>
            </w:r>
          </w:p>
        </w:tc>
        <w:tc>
          <w:tcPr>
            <w:tcW w:w="1680" w:type="dxa"/>
            <w:tcBorders>
              <w:top w:val="single" w:sz="4" w:space="0" w:color="000000"/>
              <w:left w:val="single" w:sz="4" w:space="0" w:color="000000"/>
              <w:bottom w:val="single" w:sz="4" w:space="0" w:color="000000"/>
              <w:right w:val="single" w:sz="4" w:space="0" w:color="000000"/>
            </w:tcBorders>
          </w:tcPr>
          <w:p w14:paraId="10F0903D" w14:textId="77777777" w:rsidR="00346613" w:rsidRPr="00B721FA" w:rsidRDefault="00346613" w:rsidP="00421CA7">
            <w:pPr>
              <w:ind w:right="68"/>
              <w:jc w:val="right"/>
              <w:rPr>
                <w:rFonts w:ascii="Arial" w:hAnsi="Arial" w:cs="Arial"/>
                <w:b/>
                <w:bCs/>
              </w:rPr>
            </w:pPr>
            <w:r>
              <w:rPr>
                <w:rFonts w:ascii="Arial" w:hAnsi="Arial" w:cs="Arial"/>
                <w:b/>
                <w:bCs/>
              </w:rPr>
              <w:t>100%</w:t>
            </w:r>
          </w:p>
        </w:tc>
      </w:tr>
    </w:tbl>
    <w:p w14:paraId="7B961895" w14:textId="77777777" w:rsidR="00535245" w:rsidRDefault="00535245" w:rsidP="00535245">
      <w:pPr>
        <w:spacing w:after="0"/>
        <w:rPr>
          <w:rFonts w:ascii="Arial" w:hAnsi="Arial" w:cs="Arial"/>
          <w:sz w:val="24"/>
          <w:szCs w:val="24"/>
        </w:rPr>
      </w:pPr>
    </w:p>
    <w:p w14:paraId="2F7AFB3B" w14:textId="77777777" w:rsidR="00535245" w:rsidRDefault="00535245" w:rsidP="00535245">
      <w:pPr>
        <w:spacing w:after="0"/>
        <w:rPr>
          <w:rFonts w:ascii="Arial" w:hAnsi="Arial" w:cs="Arial"/>
          <w:sz w:val="24"/>
          <w:szCs w:val="24"/>
        </w:rPr>
      </w:pPr>
    </w:p>
    <w:p w14:paraId="3EABB547" w14:textId="77777777" w:rsidR="00535245" w:rsidRDefault="00535245" w:rsidP="00535245">
      <w:pPr>
        <w:spacing w:after="0"/>
        <w:rPr>
          <w:rFonts w:ascii="Arial" w:hAnsi="Arial" w:cs="Arial"/>
          <w:sz w:val="24"/>
          <w:szCs w:val="24"/>
        </w:rPr>
      </w:pPr>
    </w:p>
    <w:p w14:paraId="3E2755EB" w14:textId="77777777" w:rsidR="00535245" w:rsidRDefault="00535245" w:rsidP="00535245">
      <w:pPr>
        <w:spacing w:after="0"/>
        <w:rPr>
          <w:rFonts w:ascii="Arial" w:hAnsi="Arial" w:cs="Arial"/>
          <w:sz w:val="24"/>
          <w:szCs w:val="24"/>
        </w:rPr>
      </w:pPr>
    </w:p>
    <w:p w14:paraId="7E0FAA9C" w14:textId="77777777" w:rsidR="00535245" w:rsidRDefault="00535245" w:rsidP="00535245">
      <w:pPr>
        <w:spacing w:after="0"/>
        <w:rPr>
          <w:rFonts w:ascii="Arial" w:hAnsi="Arial" w:cs="Arial"/>
          <w:sz w:val="24"/>
          <w:szCs w:val="24"/>
        </w:rPr>
      </w:pPr>
    </w:p>
    <w:p w14:paraId="448B9252" w14:textId="77777777" w:rsidR="00535245" w:rsidRPr="00535245" w:rsidRDefault="00535245" w:rsidP="00535245">
      <w:pPr>
        <w:spacing w:after="0"/>
        <w:rPr>
          <w:rFonts w:ascii="Arial" w:hAnsi="Arial" w:cs="Arial"/>
          <w:sz w:val="24"/>
          <w:szCs w:val="24"/>
        </w:rPr>
      </w:pPr>
    </w:p>
    <w:p w14:paraId="47C36FC0" w14:textId="13939DA1" w:rsidR="003C2E49" w:rsidRDefault="003C2E49" w:rsidP="003C2E49">
      <w:pPr>
        <w:rPr>
          <w:rFonts w:ascii="Arial" w:hAnsi="Arial" w:cs="Arial"/>
          <w:b/>
          <w:bCs/>
          <w:sz w:val="24"/>
          <w:szCs w:val="24"/>
        </w:rPr>
      </w:pPr>
    </w:p>
    <w:p w14:paraId="2F0BD14B" w14:textId="77777777" w:rsidR="00535245" w:rsidRDefault="00535245" w:rsidP="003C2E49">
      <w:pPr>
        <w:rPr>
          <w:rFonts w:ascii="Arial" w:hAnsi="Arial" w:cs="Arial"/>
          <w:b/>
          <w:bCs/>
          <w:sz w:val="24"/>
          <w:szCs w:val="24"/>
        </w:rPr>
      </w:pPr>
    </w:p>
    <w:p w14:paraId="1D6A21B4" w14:textId="77777777" w:rsidR="00535245" w:rsidRDefault="00535245" w:rsidP="003C2E49">
      <w:pPr>
        <w:rPr>
          <w:rFonts w:ascii="Arial" w:hAnsi="Arial" w:cs="Arial"/>
          <w:b/>
          <w:bCs/>
          <w:sz w:val="24"/>
          <w:szCs w:val="24"/>
        </w:rPr>
      </w:pPr>
    </w:p>
    <w:p w14:paraId="3EB51A05" w14:textId="77777777" w:rsidR="00535245" w:rsidRDefault="00535245" w:rsidP="003C2E49">
      <w:pPr>
        <w:rPr>
          <w:rFonts w:ascii="Arial" w:hAnsi="Arial" w:cs="Arial"/>
          <w:b/>
          <w:bCs/>
          <w:sz w:val="24"/>
          <w:szCs w:val="24"/>
        </w:rPr>
      </w:pPr>
    </w:p>
    <w:p w14:paraId="4E13DC08" w14:textId="221DE4E2" w:rsidR="00E97990" w:rsidRPr="00377817" w:rsidRDefault="00E97990" w:rsidP="00377817">
      <w:pPr>
        <w:spacing w:after="0"/>
        <w:rPr>
          <w:rFonts w:ascii="Arial" w:hAnsi="Arial" w:cs="Arial"/>
          <w:sz w:val="24"/>
          <w:szCs w:val="24"/>
        </w:rPr>
      </w:pPr>
    </w:p>
    <w:p w14:paraId="26C59499" w14:textId="77777777" w:rsidR="00A0210D" w:rsidRDefault="00A0210D" w:rsidP="00A0210D">
      <w:pPr>
        <w:pStyle w:val="ListParagraph"/>
        <w:numPr>
          <w:ilvl w:val="2"/>
          <w:numId w:val="1"/>
        </w:numPr>
        <w:spacing w:after="0"/>
        <w:rPr>
          <w:rFonts w:ascii="Arial" w:hAnsi="Arial" w:cs="Arial"/>
          <w:sz w:val="24"/>
          <w:szCs w:val="24"/>
        </w:rPr>
      </w:pPr>
      <w:r w:rsidRPr="0056705A">
        <w:rPr>
          <w:rFonts w:ascii="Arial" w:hAnsi="Arial" w:cs="Arial"/>
          <w:sz w:val="24"/>
          <w:szCs w:val="24"/>
        </w:rPr>
        <w:t>This provides</w:t>
      </w:r>
      <w:r w:rsidRPr="00B71862">
        <w:rPr>
          <w:rFonts w:ascii="Arial" w:hAnsi="Arial" w:cs="Arial"/>
          <w:sz w:val="24"/>
          <w:szCs w:val="24"/>
        </w:rPr>
        <w:t xml:space="preserve"> </w:t>
      </w:r>
      <w:r w:rsidRPr="001F077A">
        <w:rPr>
          <w:rFonts w:ascii="Arial" w:hAnsi="Arial" w:cs="Arial"/>
          <w:b/>
          <w:bCs/>
          <w:sz w:val="24"/>
          <w:szCs w:val="24"/>
        </w:rPr>
        <w:t>an hourly rate of £11.59</w:t>
      </w:r>
      <w:r w:rsidRPr="00B71862">
        <w:rPr>
          <w:rFonts w:ascii="Arial" w:hAnsi="Arial" w:cs="Arial"/>
          <w:sz w:val="24"/>
          <w:szCs w:val="24"/>
        </w:rPr>
        <w:t xml:space="preserve"> for </w:t>
      </w:r>
      <w:r>
        <w:rPr>
          <w:rFonts w:ascii="Arial" w:hAnsi="Arial" w:cs="Arial"/>
          <w:sz w:val="24"/>
          <w:szCs w:val="24"/>
        </w:rPr>
        <w:t>under 2s</w:t>
      </w:r>
      <w:r w:rsidRPr="0056705A">
        <w:rPr>
          <w:rFonts w:ascii="Arial" w:hAnsi="Arial" w:cs="Arial"/>
          <w:sz w:val="24"/>
          <w:szCs w:val="24"/>
        </w:rPr>
        <w:t>.</w:t>
      </w:r>
    </w:p>
    <w:p w14:paraId="27D85E09" w14:textId="77777777" w:rsidR="00C622B4" w:rsidRDefault="00C622B4" w:rsidP="00C622B4">
      <w:pPr>
        <w:pStyle w:val="ListParagraph"/>
        <w:spacing w:after="0"/>
        <w:ind w:left="1224"/>
        <w:rPr>
          <w:rFonts w:ascii="Arial" w:hAnsi="Arial" w:cs="Arial"/>
          <w:sz w:val="24"/>
          <w:szCs w:val="24"/>
        </w:rPr>
      </w:pPr>
    </w:p>
    <w:p w14:paraId="7BAA31C9" w14:textId="0CDDD734" w:rsidR="00C622B4" w:rsidRPr="00C4586A" w:rsidRDefault="00377817" w:rsidP="00C622B4">
      <w:pPr>
        <w:pStyle w:val="ListParagraph"/>
        <w:numPr>
          <w:ilvl w:val="2"/>
          <w:numId w:val="1"/>
        </w:numPr>
        <w:spacing w:after="0"/>
        <w:ind w:left="1571" w:hanging="851"/>
        <w:rPr>
          <w:rFonts w:ascii="Arial" w:hAnsi="Arial" w:cs="Arial"/>
          <w:sz w:val="24"/>
          <w:szCs w:val="24"/>
        </w:rPr>
      </w:pPr>
      <w:r>
        <w:rPr>
          <w:rFonts w:ascii="Arial" w:hAnsi="Arial" w:cs="Arial"/>
          <w:sz w:val="24"/>
          <w:szCs w:val="24"/>
        </w:rPr>
        <w:t xml:space="preserve">In line with the two year old </w:t>
      </w:r>
      <w:r w:rsidR="00A5629D">
        <w:rPr>
          <w:rFonts w:ascii="Arial" w:hAnsi="Arial" w:cs="Arial"/>
          <w:sz w:val="24"/>
          <w:szCs w:val="24"/>
        </w:rPr>
        <w:t>formula,</w:t>
      </w:r>
      <w:r w:rsidR="00B80AA5">
        <w:rPr>
          <w:rFonts w:ascii="Arial" w:hAnsi="Arial" w:cs="Arial"/>
          <w:sz w:val="24"/>
          <w:szCs w:val="24"/>
        </w:rPr>
        <w:t xml:space="preserve"> the under 2</w:t>
      </w:r>
      <w:r w:rsidR="00185F3F">
        <w:rPr>
          <w:rFonts w:ascii="Arial" w:hAnsi="Arial" w:cs="Arial"/>
          <w:sz w:val="24"/>
          <w:szCs w:val="24"/>
        </w:rPr>
        <w:t>s</w:t>
      </w:r>
      <w:r w:rsidR="00B80AA5">
        <w:rPr>
          <w:rFonts w:ascii="Arial" w:hAnsi="Arial" w:cs="Arial"/>
          <w:sz w:val="24"/>
          <w:szCs w:val="24"/>
        </w:rPr>
        <w:t xml:space="preserve"> </w:t>
      </w:r>
      <w:r w:rsidR="00C622B4" w:rsidRPr="00C4586A">
        <w:rPr>
          <w:rFonts w:ascii="Arial" w:hAnsi="Arial" w:cs="Arial"/>
          <w:sz w:val="24"/>
          <w:szCs w:val="24"/>
        </w:rPr>
        <w:t xml:space="preserve">Portsmouth </w:t>
      </w:r>
      <w:r w:rsidR="00C622B4">
        <w:rPr>
          <w:rFonts w:ascii="Arial" w:hAnsi="Arial" w:cs="Arial"/>
          <w:sz w:val="24"/>
          <w:szCs w:val="24"/>
        </w:rPr>
        <w:t xml:space="preserve">formula </w:t>
      </w:r>
      <w:r w:rsidR="00C622B4" w:rsidRPr="00C4586A">
        <w:rPr>
          <w:rFonts w:ascii="Arial" w:hAnsi="Arial" w:cs="Arial"/>
          <w:sz w:val="24"/>
          <w:szCs w:val="24"/>
        </w:rPr>
        <w:t>includes:</w:t>
      </w:r>
    </w:p>
    <w:p w14:paraId="4B44E793" w14:textId="53252A4B" w:rsidR="00C622B4" w:rsidRPr="00274E84" w:rsidRDefault="00C622B4" w:rsidP="00C622B4">
      <w:pPr>
        <w:pStyle w:val="ListParagraph"/>
        <w:numPr>
          <w:ilvl w:val="2"/>
          <w:numId w:val="32"/>
        </w:numPr>
        <w:rPr>
          <w:rFonts w:ascii="Arial" w:hAnsi="Arial" w:cs="Arial"/>
          <w:sz w:val="24"/>
          <w:szCs w:val="24"/>
        </w:rPr>
      </w:pPr>
      <w:r w:rsidRPr="00274E84">
        <w:rPr>
          <w:rFonts w:ascii="Arial" w:hAnsi="Arial" w:cs="Arial"/>
          <w:sz w:val="24"/>
          <w:szCs w:val="24"/>
        </w:rPr>
        <w:t>an 'inclusion fund' providing support to pupils with low and emerging special needs.</w:t>
      </w:r>
    </w:p>
    <w:p w14:paraId="2D74E079" w14:textId="77F1F57E" w:rsidR="00C622B4" w:rsidRDefault="00740F94" w:rsidP="008060F1">
      <w:pPr>
        <w:pStyle w:val="ListParagraph"/>
        <w:numPr>
          <w:ilvl w:val="2"/>
          <w:numId w:val="32"/>
        </w:numPr>
        <w:spacing w:after="0"/>
        <w:ind w:left="2154" w:hanging="357"/>
        <w:rPr>
          <w:rFonts w:ascii="Arial" w:hAnsi="Arial" w:cs="Arial"/>
          <w:sz w:val="24"/>
          <w:szCs w:val="24"/>
        </w:rPr>
      </w:pPr>
      <w:r>
        <w:rPr>
          <w:rFonts w:ascii="Arial" w:hAnsi="Arial" w:cs="Arial"/>
          <w:sz w:val="24"/>
          <w:szCs w:val="24"/>
        </w:rPr>
        <w:t>t</w:t>
      </w:r>
      <w:r w:rsidR="008F043C">
        <w:rPr>
          <w:rFonts w:ascii="Arial" w:hAnsi="Arial" w:cs="Arial"/>
          <w:sz w:val="24"/>
          <w:szCs w:val="24"/>
        </w:rPr>
        <w:t>he retention of</w:t>
      </w:r>
      <w:r w:rsidR="00C622B4" w:rsidRPr="003C2E49">
        <w:rPr>
          <w:rFonts w:ascii="Arial" w:hAnsi="Arial" w:cs="Arial"/>
          <w:sz w:val="24"/>
          <w:szCs w:val="24"/>
        </w:rPr>
        <w:t xml:space="preserve"> 5% centrally to support the provision of support and services to the early years sector.</w:t>
      </w:r>
    </w:p>
    <w:p w14:paraId="69C8E6B9" w14:textId="77777777" w:rsidR="00970AAE" w:rsidRPr="00970AAE" w:rsidRDefault="00970AAE" w:rsidP="00970AAE">
      <w:pPr>
        <w:spacing w:after="0"/>
        <w:rPr>
          <w:rFonts w:ascii="Arial" w:hAnsi="Arial" w:cs="Arial"/>
          <w:sz w:val="24"/>
          <w:szCs w:val="24"/>
        </w:rPr>
      </w:pPr>
    </w:p>
    <w:p w14:paraId="480B1940" w14:textId="126026DD" w:rsidR="00823C52" w:rsidRDefault="00823C52" w:rsidP="00823C52">
      <w:pPr>
        <w:pStyle w:val="ListParagraph"/>
        <w:numPr>
          <w:ilvl w:val="0"/>
          <w:numId w:val="1"/>
        </w:numPr>
        <w:spacing w:after="0"/>
        <w:ind w:left="357" w:hanging="357"/>
        <w:rPr>
          <w:rFonts w:ascii="Arial" w:hAnsi="Arial" w:cs="Arial"/>
          <w:b/>
          <w:bCs/>
          <w:sz w:val="24"/>
          <w:szCs w:val="24"/>
        </w:rPr>
      </w:pPr>
      <w:r w:rsidRPr="007540FC">
        <w:rPr>
          <w:rFonts w:ascii="Arial" w:hAnsi="Arial" w:cs="Arial"/>
          <w:b/>
          <w:bCs/>
          <w:sz w:val="24"/>
          <w:szCs w:val="24"/>
        </w:rPr>
        <w:t>Growth contingency</w:t>
      </w:r>
    </w:p>
    <w:p w14:paraId="79DC8C2C" w14:textId="77777777" w:rsidR="00823C52" w:rsidRPr="00731D80" w:rsidRDefault="00823C52" w:rsidP="00731D80">
      <w:pPr>
        <w:spacing w:after="0"/>
        <w:rPr>
          <w:rFonts w:ascii="Arial" w:hAnsi="Arial" w:cs="Arial"/>
          <w:sz w:val="24"/>
          <w:szCs w:val="24"/>
        </w:rPr>
      </w:pPr>
    </w:p>
    <w:p w14:paraId="6CD4876F" w14:textId="3875CEC8" w:rsidR="00823C52" w:rsidRDefault="00823C52" w:rsidP="00823C52">
      <w:pPr>
        <w:pStyle w:val="ListParagraph"/>
        <w:numPr>
          <w:ilvl w:val="1"/>
          <w:numId w:val="1"/>
        </w:numPr>
        <w:ind w:left="1080" w:hanging="720"/>
        <w:rPr>
          <w:rFonts w:ascii="Arial" w:hAnsi="Arial" w:cs="Arial"/>
          <w:sz w:val="24"/>
          <w:szCs w:val="24"/>
        </w:rPr>
      </w:pPr>
      <w:r w:rsidRPr="001437C8">
        <w:rPr>
          <w:rFonts w:ascii="Arial" w:hAnsi="Arial" w:cs="Arial"/>
          <w:sz w:val="24"/>
          <w:szCs w:val="24"/>
        </w:rPr>
        <w:t xml:space="preserve">The DfE have confirmed that local authorities can hold contingency funds for in-year growth above the funded pupil numbers.  This will be counted within </w:t>
      </w:r>
      <w:r>
        <w:rPr>
          <w:rFonts w:ascii="Arial" w:hAnsi="Arial" w:cs="Arial"/>
          <w:sz w:val="24"/>
          <w:szCs w:val="24"/>
        </w:rPr>
        <w:t xml:space="preserve">the </w:t>
      </w:r>
      <w:r w:rsidRPr="001437C8">
        <w:rPr>
          <w:rFonts w:ascii="Arial" w:hAnsi="Arial" w:cs="Arial"/>
          <w:sz w:val="24"/>
          <w:szCs w:val="24"/>
        </w:rPr>
        <w:t>95% pass-through rate because the money is eventually shared with providers.</w:t>
      </w:r>
    </w:p>
    <w:p w14:paraId="305CAFB3" w14:textId="77777777" w:rsidR="00823C52" w:rsidRPr="000A7B56" w:rsidRDefault="00823C52" w:rsidP="00823C52">
      <w:pPr>
        <w:spacing w:after="0"/>
        <w:rPr>
          <w:rFonts w:ascii="Arial" w:hAnsi="Arial" w:cs="Arial"/>
          <w:sz w:val="24"/>
          <w:szCs w:val="24"/>
        </w:rPr>
      </w:pPr>
    </w:p>
    <w:p w14:paraId="6ECD41F6" w14:textId="369325F6" w:rsidR="00823C52" w:rsidRDefault="00823C52" w:rsidP="009862AA">
      <w:pPr>
        <w:pStyle w:val="ListParagraph"/>
        <w:numPr>
          <w:ilvl w:val="1"/>
          <w:numId w:val="1"/>
        </w:numPr>
        <w:ind w:left="1080" w:hanging="720"/>
        <w:rPr>
          <w:rFonts w:ascii="Arial" w:hAnsi="Arial" w:cs="Arial"/>
          <w:sz w:val="24"/>
          <w:szCs w:val="24"/>
        </w:rPr>
      </w:pPr>
      <w:r>
        <w:rPr>
          <w:rFonts w:ascii="Arial" w:hAnsi="Arial" w:cs="Arial"/>
          <w:sz w:val="24"/>
          <w:szCs w:val="24"/>
        </w:rPr>
        <w:t xml:space="preserve">The Early Years January 2023 census showed an increase in the number of hours for </w:t>
      </w:r>
      <w:r w:rsidR="00EF3D5B">
        <w:rPr>
          <w:rFonts w:ascii="Arial" w:hAnsi="Arial" w:cs="Arial"/>
          <w:sz w:val="24"/>
          <w:szCs w:val="24"/>
        </w:rPr>
        <w:t>three</w:t>
      </w:r>
      <w:r>
        <w:rPr>
          <w:rFonts w:ascii="Arial" w:hAnsi="Arial" w:cs="Arial"/>
          <w:sz w:val="24"/>
          <w:szCs w:val="24"/>
        </w:rPr>
        <w:t xml:space="preserve"> and </w:t>
      </w:r>
      <w:r w:rsidR="00EF3D5B">
        <w:rPr>
          <w:rFonts w:ascii="Arial" w:hAnsi="Arial" w:cs="Arial"/>
          <w:sz w:val="24"/>
          <w:szCs w:val="24"/>
        </w:rPr>
        <w:t>four</w:t>
      </w:r>
      <w:r>
        <w:rPr>
          <w:rFonts w:ascii="Arial" w:hAnsi="Arial" w:cs="Arial"/>
          <w:sz w:val="24"/>
          <w:szCs w:val="24"/>
        </w:rPr>
        <w:t xml:space="preserve"> year olds</w:t>
      </w:r>
      <w:r w:rsidRPr="00BA71A3">
        <w:rPr>
          <w:rFonts w:ascii="Arial" w:hAnsi="Arial" w:cs="Arial"/>
          <w:sz w:val="24"/>
          <w:szCs w:val="24"/>
        </w:rPr>
        <w:t>, this is expected to continue</w:t>
      </w:r>
      <w:r>
        <w:rPr>
          <w:rFonts w:ascii="Arial" w:hAnsi="Arial" w:cs="Arial"/>
          <w:sz w:val="24"/>
          <w:szCs w:val="24"/>
        </w:rPr>
        <w:t>.</w:t>
      </w:r>
      <w:r w:rsidRPr="00BA71A3">
        <w:rPr>
          <w:rFonts w:ascii="Arial" w:hAnsi="Arial" w:cs="Arial"/>
          <w:sz w:val="24"/>
          <w:szCs w:val="24"/>
        </w:rPr>
        <w:t xml:space="preserve">  For the financial year 202</w:t>
      </w:r>
      <w:r>
        <w:rPr>
          <w:rFonts w:ascii="Arial" w:hAnsi="Arial" w:cs="Arial"/>
          <w:sz w:val="24"/>
          <w:szCs w:val="24"/>
        </w:rPr>
        <w:t>4-25</w:t>
      </w:r>
      <w:r w:rsidRPr="00BA71A3">
        <w:rPr>
          <w:rFonts w:ascii="Arial" w:hAnsi="Arial" w:cs="Arial"/>
          <w:sz w:val="24"/>
          <w:szCs w:val="24"/>
        </w:rPr>
        <w:t xml:space="preserve"> Portsmouth City Council will initially be funded on the January 202</w:t>
      </w:r>
      <w:r>
        <w:rPr>
          <w:rFonts w:ascii="Arial" w:hAnsi="Arial" w:cs="Arial"/>
          <w:sz w:val="24"/>
          <w:szCs w:val="24"/>
        </w:rPr>
        <w:t>3</w:t>
      </w:r>
      <w:r w:rsidRPr="00BA71A3">
        <w:rPr>
          <w:rFonts w:ascii="Arial" w:hAnsi="Arial" w:cs="Arial"/>
          <w:sz w:val="24"/>
          <w:szCs w:val="24"/>
        </w:rPr>
        <w:t xml:space="preserve"> hours.  There is a risk that as the year progresses that the actual hours</w:t>
      </w:r>
      <w:r>
        <w:rPr>
          <w:rFonts w:ascii="Arial" w:hAnsi="Arial" w:cs="Arial"/>
          <w:sz w:val="24"/>
          <w:szCs w:val="24"/>
        </w:rPr>
        <w:t xml:space="preserve"> will exceed the funding received by </w:t>
      </w:r>
      <w:r w:rsidRPr="00BA71A3">
        <w:rPr>
          <w:rFonts w:ascii="Arial" w:hAnsi="Arial" w:cs="Arial"/>
          <w:sz w:val="24"/>
          <w:szCs w:val="24"/>
        </w:rPr>
        <w:t xml:space="preserve">the authority.  </w:t>
      </w:r>
      <w:r>
        <w:rPr>
          <w:rFonts w:ascii="Arial" w:hAnsi="Arial" w:cs="Arial"/>
          <w:sz w:val="24"/>
          <w:szCs w:val="24"/>
        </w:rPr>
        <w:t xml:space="preserve">It is </w:t>
      </w:r>
      <w:r w:rsidRPr="00BA71A3">
        <w:rPr>
          <w:rFonts w:ascii="Arial" w:hAnsi="Arial" w:cs="Arial"/>
          <w:sz w:val="24"/>
          <w:szCs w:val="24"/>
        </w:rPr>
        <w:t xml:space="preserve">therefore </w:t>
      </w:r>
      <w:r>
        <w:rPr>
          <w:rFonts w:ascii="Arial" w:hAnsi="Arial" w:cs="Arial"/>
          <w:sz w:val="24"/>
          <w:szCs w:val="24"/>
        </w:rPr>
        <w:t xml:space="preserve">necessary </w:t>
      </w:r>
      <w:r w:rsidRPr="00BA71A3">
        <w:rPr>
          <w:rFonts w:ascii="Arial" w:hAnsi="Arial" w:cs="Arial"/>
          <w:sz w:val="24"/>
          <w:szCs w:val="24"/>
        </w:rPr>
        <w:t xml:space="preserve">to hold a contingency </w:t>
      </w:r>
      <w:r w:rsidR="009862AA">
        <w:rPr>
          <w:rFonts w:ascii="Arial" w:hAnsi="Arial" w:cs="Arial"/>
          <w:sz w:val="24"/>
          <w:szCs w:val="24"/>
        </w:rPr>
        <w:t xml:space="preserve">within the </w:t>
      </w:r>
      <w:r w:rsidR="00EF3D5B">
        <w:rPr>
          <w:rFonts w:ascii="Arial" w:hAnsi="Arial" w:cs="Arial"/>
          <w:sz w:val="24"/>
          <w:szCs w:val="24"/>
        </w:rPr>
        <w:t>three</w:t>
      </w:r>
      <w:r w:rsidR="009862AA">
        <w:rPr>
          <w:rFonts w:ascii="Arial" w:hAnsi="Arial" w:cs="Arial"/>
          <w:sz w:val="24"/>
          <w:szCs w:val="24"/>
        </w:rPr>
        <w:t xml:space="preserve"> and </w:t>
      </w:r>
      <w:r w:rsidR="00EF3D5B">
        <w:rPr>
          <w:rFonts w:ascii="Arial" w:hAnsi="Arial" w:cs="Arial"/>
          <w:sz w:val="24"/>
          <w:szCs w:val="24"/>
        </w:rPr>
        <w:t>four</w:t>
      </w:r>
      <w:r w:rsidR="009862AA">
        <w:rPr>
          <w:rFonts w:ascii="Arial" w:hAnsi="Arial" w:cs="Arial"/>
          <w:sz w:val="24"/>
          <w:szCs w:val="24"/>
        </w:rPr>
        <w:t xml:space="preserve"> year old formula </w:t>
      </w:r>
      <w:r>
        <w:rPr>
          <w:rFonts w:ascii="Arial" w:hAnsi="Arial" w:cs="Arial"/>
          <w:sz w:val="24"/>
          <w:szCs w:val="24"/>
        </w:rPr>
        <w:t>to fund suppliers for any hours delivered over and above the funding received by the authority.</w:t>
      </w:r>
    </w:p>
    <w:p w14:paraId="03BDD044" w14:textId="77777777" w:rsidR="00731D80" w:rsidRPr="00731D80" w:rsidRDefault="00731D80" w:rsidP="00731D80">
      <w:pPr>
        <w:spacing w:after="0"/>
        <w:rPr>
          <w:rFonts w:ascii="Arial" w:hAnsi="Arial" w:cs="Arial"/>
          <w:sz w:val="24"/>
          <w:szCs w:val="24"/>
        </w:rPr>
      </w:pPr>
    </w:p>
    <w:p w14:paraId="788021D4" w14:textId="37FE4B6A" w:rsidR="009862AA" w:rsidRDefault="006A0D5D" w:rsidP="0097687A">
      <w:pPr>
        <w:pStyle w:val="ListParagraph"/>
        <w:numPr>
          <w:ilvl w:val="1"/>
          <w:numId w:val="1"/>
        </w:numPr>
        <w:spacing w:after="0"/>
        <w:ind w:left="1077" w:hanging="720"/>
        <w:rPr>
          <w:rFonts w:ascii="Arial" w:hAnsi="Arial" w:cs="Arial"/>
          <w:sz w:val="24"/>
          <w:szCs w:val="24"/>
        </w:rPr>
      </w:pPr>
      <w:r>
        <w:rPr>
          <w:rFonts w:ascii="Arial" w:hAnsi="Arial" w:cs="Arial"/>
          <w:sz w:val="24"/>
          <w:szCs w:val="24"/>
        </w:rPr>
        <w:t xml:space="preserve">For </w:t>
      </w:r>
      <w:r w:rsidR="004339B9">
        <w:rPr>
          <w:rFonts w:ascii="Arial" w:hAnsi="Arial" w:cs="Arial"/>
          <w:sz w:val="24"/>
          <w:szCs w:val="24"/>
        </w:rPr>
        <w:t>two</w:t>
      </w:r>
      <w:r>
        <w:rPr>
          <w:rFonts w:ascii="Arial" w:hAnsi="Arial" w:cs="Arial"/>
          <w:sz w:val="24"/>
          <w:szCs w:val="24"/>
        </w:rPr>
        <w:t xml:space="preserve"> year old and the under 2s</w:t>
      </w:r>
      <w:r w:rsidR="001D50A6">
        <w:rPr>
          <w:rFonts w:ascii="Arial" w:hAnsi="Arial" w:cs="Arial"/>
          <w:sz w:val="24"/>
          <w:szCs w:val="24"/>
        </w:rPr>
        <w:t>, the change in the methodology for funding the local authority through a termly head count</w:t>
      </w:r>
      <w:r w:rsidR="003527CE">
        <w:rPr>
          <w:rFonts w:ascii="Arial" w:hAnsi="Arial" w:cs="Arial"/>
          <w:sz w:val="24"/>
          <w:szCs w:val="24"/>
        </w:rPr>
        <w:t xml:space="preserve"> reduce</w:t>
      </w:r>
      <w:r w:rsidR="00A25B84">
        <w:rPr>
          <w:rFonts w:ascii="Arial" w:hAnsi="Arial" w:cs="Arial"/>
          <w:sz w:val="24"/>
          <w:szCs w:val="24"/>
        </w:rPr>
        <w:t xml:space="preserve">s the need for a growth contingency as the funding the authority </w:t>
      </w:r>
      <w:r w:rsidR="000E709D">
        <w:rPr>
          <w:rFonts w:ascii="Arial" w:hAnsi="Arial" w:cs="Arial"/>
          <w:sz w:val="24"/>
          <w:szCs w:val="24"/>
        </w:rPr>
        <w:t>receives should more closely follow</w:t>
      </w:r>
      <w:r w:rsidR="00A66A48">
        <w:rPr>
          <w:rFonts w:ascii="Arial" w:hAnsi="Arial" w:cs="Arial"/>
          <w:sz w:val="24"/>
          <w:szCs w:val="24"/>
        </w:rPr>
        <w:t xml:space="preserve"> the numbers in </w:t>
      </w:r>
      <w:r w:rsidR="002E50B1">
        <w:rPr>
          <w:rFonts w:ascii="Arial" w:hAnsi="Arial" w:cs="Arial"/>
          <w:sz w:val="24"/>
          <w:szCs w:val="24"/>
        </w:rPr>
        <w:t>Early Years settings</w:t>
      </w:r>
      <w:r w:rsidR="00AE3F48">
        <w:rPr>
          <w:rFonts w:ascii="Arial" w:hAnsi="Arial" w:cs="Arial"/>
          <w:sz w:val="24"/>
          <w:szCs w:val="24"/>
        </w:rPr>
        <w:t xml:space="preserve"> in 2024-25.</w:t>
      </w:r>
    </w:p>
    <w:p w14:paraId="17EC1766" w14:textId="77777777" w:rsidR="00494CFE" w:rsidRPr="00494CFE" w:rsidRDefault="00494CFE" w:rsidP="00494CFE">
      <w:pPr>
        <w:spacing w:after="0"/>
        <w:rPr>
          <w:rFonts w:ascii="Arial" w:hAnsi="Arial" w:cs="Arial"/>
          <w:sz w:val="24"/>
          <w:szCs w:val="24"/>
        </w:rPr>
      </w:pPr>
    </w:p>
    <w:p w14:paraId="4812E51B" w14:textId="7D67F187" w:rsidR="00494CFE" w:rsidRDefault="002A281F" w:rsidP="0097687A">
      <w:pPr>
        <w:pStyle w:val="ListParagraph"/>
        <w:numPr>
          <w:ilvl w:val="1"/>
          <w:numId w:val="1"/>
        </w:numPr>
        <w:spacing w:after="0"/>
        <w:ind w:left="1077" w:hanging="720"/>
        <w:rPr>
          <w:rFonts w:ascii="Arial" w:hAnsi="Arial" w:cs="Arial"/>
          <w:sz w:val="24"/>
          <w:szCs w:val="24"/>
        </w:rPr>
      </w:pPr>
      <w:r>
        <w:rPr>
          <w:rFonts w:ascii="Arial" w:hAnsi="Arial" w:cs="Arial"/>
          <w:sz w:val="24"/>
          <w:szCs w:val="24"/>
        </w:rPr>
        <w:t>The position on the Growth Contingency will be reviewed eac</w:t>
      </w:r>
      <w:r w:rsidR="00A60E29">
        <w:rPr>
          <w:rFonts w:ascii="Arial" w:hAnsi="Arial" w:cs="Arial"/>
          <w:sz w:val="24"/>
          <w:szCs w:val="24"/>
        </w:rPr>
        <w:t>h</w:t>
      </w:r>
      <w:r>
        <w:rPr>
          <w:rFonts w:ascii="Arial" w:hAnsi="Arial" w:cs="Arial"/>
          <w:sz w:val="24"/>
          <w:szCs w:val="24"/>
        </w:rPr>
        <w:t xml:space="preserve"> year to </w:t>
      </w:r>
      <w:r w:rsidR="000178E3">
        <w:rPr>
          <w:rFonts w:ascii="Arial" w:hAnsi="Arial" w:cs="Arial"/>
          <w:sz w:val="24"/>
          <w:szCs w:val="24"/>
        </w:rPr>
        <w:t>consider</w:t>
      </w:r>
      <w:r>
        <w:rPr>
          <w:rFonts w:ascii="Arial" w:hAnsi="Arial" w:cs="Arial"/>
          <w:sz w:val="24"/>
          <w:szCs w:val="24"/>
        </w:rPr>
        <w:t xml:space="preserve"> any changes in methodology</w:t>
      </w:r>
      <w:r w:rsidR="00CD4956">
        <w:rPr>
          <w:rFonts w:ascii="Arial" w:hAnsi="Arial" w:cs="Arial"/>
          <w:sz w:val="24"/>
          <w:szCs w:val="24"/>
        </w:rPr>
        <w:t xml:space="preserve"> and actual attendance compared to the funding received.</w:t>
      </w:r>
    </w:p>
    <w:p w14:paraId="731A6F50" w14:textId="77777777" w:rsidR="00970AAE" w:rsidRPr="00731D80" w:rsidRDefault="00970AAE" w:rsidP="008060F1">
      <w:pPr>
        <w:spacing w:after="0"/>
        <w:rPr>
          <w:rFonts w:ascii="Arial" w:hAnsi="Arial" w:cs="Arial"/>
          <w:sz w:val="24"/>
          <w:szCs w:val="24"/>
        </w:rPr>
      </w:pPr>
    </w:p>
    <w:p w14:paraId="45E51461" w14:textId="17A9BEE2" w:rsidR="00C622B4" w:rsidRDefault="00C622B4" w:rsidP="008060F1">
      <w:pPr>
        <w:pStyle w:val="ListParagraph"/>
        <w:numPr>
          <w:ilvl w:val="0"/>
          <w:numId w:val="1"/>
        </w:numPr>
        <w:spacing w:after="0"/>
        <w:ind w:left="357" w:hanging="357"/>
        <w:rPr>
          <w:rFonts w:ascii="Arial" w:hAnsi="Arial" w:cs="Arial"/>
          <w:b/>
          <w:bCs/>
          <w:sz w:val="24"/>
          <w:szCs w:val="24"/>
        </w:rPr>
      </w:pPr>
      <w:r w:rsidRPr="00267BCD">
        <w:rPr>
          <w:rFonts w:ascii="Arial" w:hAnsi="Arial" w:cs="Arial"/>
          <w:b/>
          <w:bCs/>
          <w:sz w:val="24"/>
          <w:szCs w:val="24"/>
        </w:rPr>
        <w:t xml:space="preserve">Centrally </w:t>
      </w:r>
      <w:proofErr w:type="gramStart"/>
      <w:r w:rsidRPr="00267BCD">
        <w:rPr>
          <w:rFonts w:ascii="Arial" w:hAnsi="Arial" w:cs="Arial"/>
          <w:b/>
          <w:bCs/>
          <w:sz w:val="24"/>
          <w:szCs w:val="24"/>
        </w:rPr>
        <w:t>retained</w:t>
      </w:r>
      <w:proofErr w:type="gramEnd"/>
    </w:p>
    <w:p w14:paraId="69A44BB7" w14:textId="77777777" w:rsidR="00AD0639" w:rsidRPr="000B2A54" w:rsidRDefault="00AD0639" w:rsidP="008060F1">
      <w:pPr>
        <w:spacing w:after="0"/>
        <w:rPr>
          <w:rFonts w:ascii="Arial" w:hAnsi="Arial" w:cs="Arial"/>
          <w:sz w:val="24"/>
          <w:szCs w:val="24"/>
        </w:rPr>
      </w:pPr>
    </w:p>
    <w:p w14:paraId="004BB23F" w14:textId="1E9F108F" w:rsidR="00C622B4" w:rsidRPr="00D71839" w:rsidRDefault="00C622B4" w:rsidP="00C200AF">
      <w:pPr>
        <w:pStyle w:val="ListParagraph"/>
        <w:numPr>
          <w:ilvl w:val="1"/>
          <w:numId w:val="1"/>
        </w:numPr>
        <w:ind w:left="1080" w:hanging="720"/>
        <w:rPr>
          <w:rFonts w:ascii="Arial" w:hAnsi="Arial" w:cs="Arial"/>
          <w:sz w:val="24"/>
          <w:szCs w:val="24"/>
        </w:rPr>
      </w:pPr>
      <w:r w:rsidRPr="00D71839">
        <w:rPr>
          <w:rFonts w:ascii="Arial" w:hAnsi="Arial" w:cs="Arial"/>
          <w:sz w:val="24"/>
          <w:szCs w:val="24"/>
        </w:rPr>
        <w:t>As set out in the regulations, the authority can retain up to 5% of the Early Years Block funding to support the early years functions. For 2024</w:t>
      </w:r>
      <w:r w:rsidR="00CD4956">
        <w:rPr>
          <w:rFonts w:ascii="Arial" w:hAnsi="Arial" w:cs="Arial"/>
          <w:sz w:val="24"/>
          <w:szCs w:val="24"/>
        </w:rPr>
        <w:t>-</w:t>
      </w:r>
      <w:r w:rsidRPr="00D71839">
        <w:rPr>
          <w:rFonts w:ascii="Arial" w:hAnsi="Arial" w:cs="Arial"/>
          <w:sz w:val="24"/>
          <w:szCs w:val="24"/>
        </w:rPr>
        <w:t>25, the 95% pass-through requirement will apply separately to the entitlements for:</w:t>
      </w:r>
    </w:p>
    <w:p w14:paraId="7301C8AA" w14:textId="12349833" w:rsidR="00C622B4" w:rsidRPr="006B0BDE" w:rsidRDefault="00DB02F4" w:rsidP="00C622B4">
      <w:pPr>
        <w:pStyle w:val="ListParagraph"/>
        <w:numPr>
          <w:ilvl w:val="2"/>
          <w:numId w:val="32"/>
        </w:numPr>
        <w:rPr>
          <w:rFonts w:ascii="Arial" w:hAnsi="Arial" w:cs="Arial"/>
          <w:sz w:val="24"/>
          <w:szCs w:val="24"/>
        </w:rPr>
      </w:pPr>
      <w:r>
        <w:rPr>
          <w:rFonts w:ascii="Arial" w:hAnsi="Arial" w:cs="Arial"/>
          <w:sz w:val="24"/>
          <w:szCs w:val="24"/>
        </w:rPr>
        <w:t xml:space="preserve">nine </w:t>
      </w:r>
      <w:r w:rsidR="00C622B4" w:rsidRPr="006B0BDE">
        <w:rPr>
          <w:rFonts w:ascii="Arial" w:hAnsi="Arial" w:cs="Arial"/>
          <w:sz w:val="24"/>
          <w:szCs w:val="24"/>
        </w:rPr>
        <w:t>months</w:t>
      </w:r>
      <w:r>
        <w:rPr>
          <w:rFonts w:ascii="Arial" w:hAnsi="Arial" w:cs="Arial"/>
          <w:sz w:val="24"/>
          <w:szCs w:val="24"/>
        </w:rPr>
        <w:t xml:space="preserve"> </w:t>
      </w:r>
      <w:r w:rsidR="00C622B4" w:rsidRPr="006B0BDE">
        <w:rPr>
          <w:rFonts w:ascii="Arial" w:hAnsi="Arial" w:cs="Arial"/>
          <w:sz w:val="24"/>
          <w:szCs w:val="24"/>
        </w:rPr>
        <w:t xml:space="preserve">old children up to </w:t>
      </w:r>
      <w:r>
        <w:rPr>
          <w:rFonts w:ascii="Arial" w:hAnsi="Arial" w:cs="Arial"/>
          <w:sz w:val="24"/>
          <w:szCs w:val="24"/>
        </w:rPr>
        <w:t xml:space="preserve">two </w:t>
      </w:r>
      <w:r w:rsidR="00C622B4" w:rsidRPr="006B0BDE">
        <w:rPr>
          <w:rFonts w:ascii="Arial" w:hAnsi="Arial" w:cs="Arial"/>
          <w:sz w:val="24"/>
          <w:szCs w:val="24"/>
        </w:rPr>
        <w:t>year</w:t>
      </w:r>
      <w:r>
        <w:rPr>
          <w:rFonts w:ascii="Arial" w:hAnsi="Arial" w:cs="Arial"/>
          <w:sz w:val="24"/>
          <w:szCs w:val="24"/>
        </w:rPr>
        <w:t xml:space="preserve"> </w:t>
      </w:r>
      <w:r w:rsidR="00C622B4" w:rsidRPr="006B0BDE">
        <w:rPr>
          <w:rFonts w:ascii="Arial" w:hAnsi="Arial" w:cs="Arial"/>
          <w:sz w:val="24"/>
          <w:szCs w:val="24"/>
        </w:rPr>
        <w:t>olds of working parents</w:t>
      </w:r>
    </w:p>
    <w:p w14:paraId="267C214A" w14:textId="2F5AF6D6" w:rsidR="00C622B4" w:rsidRPr="006B0BDE" w:rsidRDefault="00DB02F4" w:rsidP="00C622B4">
      <w:pPr>
        <w:pStyle w:val="ListParagraph"/>
        <w:numPr>
          <w:ilvl w:val="2"/>
          <w:numId w:val="32"/>
        </w:numPr>
        <w:rPr>
          <w:rFonts w:ascii="Arial" w:hAnsi="Arial" w:cs="Arial"/>
          <w:sz w:val="24"/>
          <w:szCs w:val="24"/>
        </w:rPr>
      </w:pPr>
      <w:r>
        <w:rPr>
          <w:rFonts w:ascii="Arial" w:hAnsi="Arial" w:cs="Arial"/>
          <w:sz w:val="24"/>
          <w:szCs w:val="24"/>
        </w:rPr>
        <w:t xml:space="preserve">two </w:t>
      </w:r>
      <w:r w:rsidR="00C622B4" w:rsidRPr="006B0BDE">
        <w:rPr>
          <w:rFonts w:ascii="Arial" w:hAnsi="Arial" w:cs="Arial"/>
          <w:sz w:val="24"/>
          <w:szCs w:val="24"/>
        </w:rPr>
        <w:t>year</w:t>
      </w:r>
      <w:r>
        <w:rPr>
          <w:rFonts w:ascii="Arial" w:hAnsi="Arial" w:cs="Arial"/>
          <w:sz w:val="24"/>
          <w:szCs w:val="24"/>
        </w:rPr>
        <w:t xml:space="preserve"> </w:t>
      </w:r>
      <w:r w:rsidR="00C622B4" w:rsidRPr="006B0BDE">
        <w:rPr>
          <w:rFonts w:ascii="Arial" w:hAnsi="Arial" w:cs="Arial"/>
          <w:sz w:val="24"/>
          <w:szCs w:val="24"/>
        </w:rPr>
        <w:t>old children of working parents</w:t>
      </w:r>
    </w:p>
    <w:p w14:paraId="0315DB98" w14:textId="6A4313F4" w:rsidR="00C622B4" w:rsidRPr="006B0BDE" w:rsidRDefault="00DB02F4" w:rsidP="00C622B4">
      <w:pPr>
        <w:pStyle w:val="ListParagraph"/>
        <w:numPr>
          <w:ilvl w:val="2"/>
          <w:numId w:val="32"/>
        </w:numPr>
        <w:rPr>
          <w:rFonts w:ascii="Arial" w:hAnsi="Arial" w:cs="Arial"/>
          <w:sz w:val="24"/>
          <w:szCs w:val="24"/>
        </w:rPr>
      </w:pPr>
      <w:r>
        <w:rPr>
          <w:rFonts w:ascii="Arial" w:hAnsi="Arial" w:cs="Arial"/>
          <w:sz w:val="24"/>
          <w:szCs w:val="24"/>
        </w:rPr>
        <w:t xml:space="preserve">two </w:t>
      </w:r>
      <w:r w:rsidR="00C622B4" w:rsidRPr="006B0BDE">
        <w:rPr>
          <w:rFonts w:ascii="Arial" w:hAnsi="Arial" w:cs="Arial"/>
          <w:sz w:val="24"/>
          <w:szCs w:val="24"/>
        </w:rPr>
        <w:t>year</w:t>
      </w:r>
      <w:r>
        <w:rPr>
          <w:rFonts w:ascii="Arial" w:hAnsi="Arial" w:cs="Arial"/>
          <w:sz w:val="24"/>
          <w:szCs w:val="24"/>
        </w:rPr>
        <w:t xml:space="preserve"> </w:t>
      </w:r>
      <w:r w:rsidR="00C622B4" w:rsidRPr="006B0BDE">
        <w:rPr>
          <w:rFonts w:ascii="Arial" w:hAnsi="Arial" w:cs="Arial"/>
          <w:sz w:val="24"/>
          <w:szCs w:val="24"/>
        </w:rPr>
        <w:t>old children from disadvantaged families</w:t>
      </w:r>
    </w:p>
    <w:p w14:paraId="7896032C" w14:textId="6CE8AD2D" w:rsidR="00C622B4" w:rsidRDefault="00DB02F4" w:rsidP="000B2A54">
      <w:pPr>
        <w:pStyle w:val="ListParagraph"/>
        <w:numPr>
          <w:ilvl w:val="2"/>
          <w:numId w:val="32"/>
        </w:numPr>
        <w:spacing w:after="0"/>
        <w:ind w:left="2154" w:hanging="357"/>
        <w:rPr>
          <w:rFonts w:ascii="Arial" w:hAnsi="Arial" w:cs="Arial"/>
          <w:sz w:val="24"/>
          <w:szCs w:val="24"/>
        </w:rPr>
      </w:pPr>
      <w:r>
        <w:rPr>
          <w:rFonts w:ascii="Arial" w:hAnsi="Arial" w:cs="Arial"/>
          <w:sz w:val="24"/>
          <w:szCs w:val="24"/>
        </w:rPr>
        <w:t>three</w:t>
      </w:r>
      <w:r w:rsidR="00C622B4" w:rsidRPr="006B0BDE">
        <w:rPr>
          <w:rFonts w:ascii="Arial" w:hAnsi="Arial" w:cs="Arial"/>
          <w:sz w:val="24"/>
          <w:szCs w:val="24"/>
        </w:rPr>
        <w:t xml:space="preserve"> and </w:t>
      </w:r>
      <w:r>
        <w:rPr>
          <w:rFonts w:ascii="Arial" w:hAnsi="Arial" w:cs="Arial"/>
          <w:sz w:val="24"/>
          <w:szCs w:val="24"/>
        </w:rPr>
        <w:t xml:space="preserve">four </w:t>
      </w:r>
      <w:r w:rsidR="00C622B4" w:rsidRPr="006B0BDE">
        <w:rPr>
          <w:rFonts w:ascii="Arial" w:hAnsi="Arial" w:cs="Arial"/>
          <w:sz w:val="24"/>
          <w:szCs w:val="24"/>
        </w:rPr>
        <w:t>year</w:t>
      </w:r>
      <w:r>
        <w:rPr>
          <w:rFonts w:ascii="Arial" w:hAnsi="Arial" w:cs="Arial"/>
          <w:sz w:val="24"/>
          <w:szCs w:val="24"/>
        </w:rPr>
        <w:t xml:space="preserve"> </w:t>
      </w:r>
      <w:r w:rsidR="00C622B4" w:rsidRPr="006B0BDE">
        <w:rPr>
          <w:rFonts w:ascii="Arial" w:hAnsi="Arial" w:cs="Arial"/>
          <w:sz w:val="24"/>
          <w:szCs w:val="24"/>
        </w:rPr>
        <w:t>olds (universal and additional hours)</w:t>
      </w:r>
      <w:r w:rsidR="00C622B4">
        <w:rPr>
          <w:rFonts w:ascii="Arial" w:hAnsi="Arial" w:cs="Arial"/>
          <w:sz w:val="24"/>
          <w:szCs w:val="24"/>
        </w:rPr>
        <w:t>.</w:t>
      </w:r>
    </w:p>
    <w:p w14:paraId="2E04AE97" w14:textId="77777777" w:rsidR="00C622B4" w:rsidRPr="000B2A54" w:rsidRDefault="00C622B4" w:rsidP="000B2A54">
      <w:pPr>
        <w:spacing w:after="0"/>
        <w:rPr>
          <w:rFonts w:ascii="Arial" w:hAnsi="Arial" w:cs="Arial"/>
          <w:sz w:val="24"/>
          <w:szCs w:val="24"/>
        </w:rPr>
      </w:pPr>
    </w:p>
    <w:p w14:paraId="6C2F57AF" w14:textId="6A537FFD" w:rsidR="00E110E5" w:rsidRDefault="00961714" w:rsidP="000B2A54">
      <w:pPr>
        <w:pStyle w:val="ListParagraph"/>
        <w:numPr>
          <w:ilvl w:val="1"/>
          <w:numId w:val="1"/>
        </w:numPr>
        <w:spacing w:after="0"/>
        <w:ind w:left="1077" w:hanging="720"/>
        <w:rPr>
          <w:rFonts w:ascii="Arial" w:hAnsi="Arial" w:cs="Arial"/>
          <w:sz w:val="24"/>
          <w:szCs w:val="24"/>
        </w:rPr>
      </w:pPr>
      <w:r>
        <w:rPr>
          <w:rFonts w:ascii="Arial" w:hAnsi="Arial" w:cs="Arial"/>
          <w:sz w:val="24"/>
          <w:szCs w:val="24"/>
        </w:rPr>
        <w:t xml:space="preserve">The retention of the 5% will enable the </w:t>
      </w:r>
      <w:r w:rsidR="002C0F00">
        <w:rPr>
          <w:rFonts w:ascii="Arial" w:hAnsi="Arial" w:cs="Arial"/>
          <w:sz w:val="24"/>
          <w:szCs w:val="24"/>
        </w:rPr>
        <w:t>authority</w:t>
      </w:r>
      <w:r>
        <w:rPr>
          <w:rFonts w:ascii="Arial" w:hAnsi="Arial" w:cs="Arial"/>
          <w:sz w:val="24"/>
          <w:szCs w:val="24"/>
        </w:rPr>
        <w:t xml:space="preserve"> to continue to support </w:t>
      </w:r>
      <w:r w:rsidR="002C0F00">
        <w:rPr>
          <w:rFonts w:ascii="Arial" w:hAnsi="Arial" w:cs="Arial"/>
          <w:sz w:val="24"/>
          <w:szCs w:val="24"/>
        </w:rPr>
        <w:t>providers and undertake the eligibility checks required with th</w:t>
      </w:r>
      <w:r w:rsidR="00E110E5">
        <w:rPr>
          <w:rFonts w:ascii="Arial" w:hAnsi="Arial" w:cs="Arial"/>
          <w:sz w:val="24"/>
          <w:szCs w:val="24"/>
        </w:rPr>
        <w:t xml:space="preserve">e </w:t>
      </w:r>
      <w:r w:rsidR="00D11656">
        <w:rPr>
          <w:rFonts w:ascii="Arial" w:hAnsi="Arial" w:cs="Arial"/>
          <w:sz w:val="24"/>
          <w:szCs w:val="24"/>
        </w:rPr>
        <w:t xml:space="preserve">expansion of the entitlements and the early years pupil premium to include all </w:t>
      </w:r>
      <w:r w:rsidR="00D2563A">
        <w:rPr>
          <w:rFonts w:ascii="Arial" w:hAnsi="Arial" w:cs="Arial"/>
          <w:sz w:val="24"/>
          <w:szCs w:val="24"/>
        </w:rPr>
        <w:t>two</w:t>
      </w:r>
      <w:r w:rsidR="00D11656">
        <w:rPr>
          <w:rFonts w:ascii="Arial" w:hAnsi="Arial" w:cs="Arial"/>
          <w:sz w:val="24"/>
          <w:szCs w:val="24"/>
        </w:rPr>
        <w:t xml:space="preserve"> year olds and under</w:t>
      </w:r>
      <w:r w:rsidR="009B1073">
        <w:rPr>
          <w:rFonts w:ascii="Arial" w:hAnsi="Arial" w:cs="Arial"/>
          <w:sz w:val="24"/>
          <w:szCs w:val="24"/>
        </w:rPr>
        <w:t xml:space="preserve"> 2s</w:t>
      </w:r>
      <w:r w:rsidR="00A319C6">
        <w:rPr>
          <w:rFonts w:ascii="Arial" w:hAnsi="Arial" w:cs="Arial"/>
          <w:sz w:val="24"/>
          <w:szCs w:val="24"/>
        </w:rPr>
        <w:t>.</w:t>
      </w:r>
    </w:p>
    <w:p w14:paraId="724A9D75" w14:textId="77777777" w:rsidR="00A319C6" w:rsidRPr="000B2A54" w:rsidRDefault="00A319C6" w:rsidP="000B2A54">
      <w:pPr>
        <w:spacing w:after="0"/>
        <w:rPr>
          <w:rFonts w:ascii="Arial" w:hAnsi="Arial" w:cs="Arial"/>
          <w:sz w:val="24"/>
          <w:szCs w:val="24"/>
        </w:rPr>
      </w:pPr>
    </w:p>
    <w:p w14:paraId="04AAAE27" w14:textId="574AFB3D" w:rsidR="00C622B4" w:rsidRPr="007620B8" w:rsidRDefault="00A319C6" w:rsidP="000B2A54">
      <w:pPr>
        <w:pStyle w:val="ListParagraph"/>
        <w:numPr>
          <w:ilvl w:val="1"/>
          <w:numId w:val="1"/>
        </w:numPr>
        <w:spacing w:after="0"/>
        <w:ind w:left="1077" w:hanging="720"/>
        <w:rPr>
          <w:rFonts w:ascii="Arial" w:hAnsi="Arial" w:cs="Arial"/>
          <w:sz w:val="24"/>
          <w:szCs w:val="24"/>
        </w:rPr>
      </w:pPr>
      <w:r>
        <w:rPr>
          <w:rFonts w:ascii="Arial" w:hAnsi="Arial" w:cs="Arial"/>
          <w:sz w:val="24"/>
          <w:szCs w:val="24"/>
        </w:rPr>
        <w:t>Therefor</w:t>
      </w:r>
      <w:r w:rsidR="00CA6841">
        <w:rPr>
          <w:rFonts w:ascii="Arial" w:hAnsi="Arial" w:cs="Arial"/>
          <w:sz w:val="24"/>
          <w:szCs w:val="24"/>
        </w:rPr>
        <w:t>e</w:t>
      </w:r>
      <w:r w:rsidR="00D557E0">
        <w:rPr>
          <w:rFonts w:ascii="Arial" w:hAnsi="Arial" w:cs="Arial"/>
          <w:sz w:val="24"/>
          <w:szCs w:val="24"/>
        </w:rPr>
        <w:t>,</w:t>
      </w:r>
      <w:r>
        <w:rPr>
          <w:rFonts w:ascii="Arial" w:hAnsi="Arial" w:cs="Arial"/>
          <w:sz w:val="24"/>
          <w:szCs w:val="24"/>
        </w:rPr>
        <w:t xml:space="preserve"> it is proposed that the 5% retention will </w:t>
      </w:r>
      <w:r w:rsidR="007172C1">
        <w:rPr>
          <w:rFonts w:ascii="Arial" w:hAnsi="Arial" w:cs="Arial"/>
          <w:sz w:val="24"/>
          <w:szCs w:val="24"/>
        </w:rPr>
        <w:t xml:space="preserve">be applied to all funding formulas as set out in tables </w:t>
      </w:r>
      <w:r w:rsidR="00CD0059">
        <w:rPr>
          <w:rFonts w:ascii="Arial" w:hAnsi="Arial" w:cs="Arial"/>
          <w:sz w:val="24"/>
          <w:szCs w:val="24"/>
        </w:rPr>
        <w:t>1, 3 and 4.</w:t>
      </w:r>
    </w:p>
    <w:p w14:paraId="0FF7749C" w14:textId="77777777" w:rsidR="00E97990" w:rsidRPr="00AD0639" w:rsidRDefault="00E97990" w:rsidP="00AD0639">
      <w:pPr>
        <w:spacing w:after="0"/>
        <w:rPr>
          <w:rFonts w:ascii="Arial" w:hAnsi="Arial" w:cs="Arial"/>
          <w:sz w:val="24"/>
          <w:szCs w:val="24"/>
        </w:rPr>
      </w:pPr>
    </w:p>
    <w:p w14:paraId="3386FD99" w14:textId="2E1F8605" w:rsidR="003617FD" w:rsidRPr="00853BC2" w:rsidRDefault="003617FD" w:rsidP="00AD0639">
      <w:pPr>
        <w:pStyle w:val="ListParagraph"/>
        <w:numPr>
          <w:ilvl w:val="0"/>
          <w:numId w:val="1"/>
        </w:numPr>
        <w:rPr>
          <w:rFonts w:ascii="Arial" w:hAnsi="Arial" w:cs="Arial"/>
          <w:b/>
          <w:bCs/>
          <w:sz w:val="24"/>
          <w:szCs w:val="24"/>
        </w:rPr>
      </w:pPr>
      <w:r w:rsidRPr="00853BC2">
        <w:rPr>
          <w:rFonts w:ascii="Arial" w:hAnsi="Arial" w:cs="Arial"/>
          <w:b/>
          <w:bCs/>
          <w:sz w:val="24"/>
          <w:szCs w:val="24"/>
        </w:rPr>
        <w:t>Next steps</w:t>
      </w:r>
    </w:p>
    <w:p w14:paraId="2D9128DC" w14:textId="294F297E" w:rsidR="003617FD" w:rsidRPr="00853BC2" w:rsidRDefault="00264BD2" w:rsidP="00182793">
      <w:pPr>
        <w:pStyle w:val="ListParagraph"/>
        <w:numPr>
          <w:ilvl w:val="1"/>
          <w:numId w:val="1"/>
        </w:numPr>
        <w:spacing w:after="0"/>
        <w:ind w:left="1077" w:hanging="720"/>
        <w:rPr>
          <w:rFonts w:ascii="Arial" w:hAnsi="Arial" w:cs="Arial"/>
          <w:sz w:val="24"/>
          <w:szCs w:val="24"/>
        </w:rPr>
      </w:pPr>
      <w:r w:rsidRPr="00853BC2">
        <w:rPr>
          <w:rFonts w:ascii="Arial" w:hAnsi="Arial" w:cs="Arial"/>
          <w:sz w:val="24"/>
          <w:szCs w:val="24"/>
        </w:rPr>
        <w:t>T</w:t>
      </w:r>
      <w:r w:rsidR="003617FD" w:rsidRPr="00853BC2">
        <w:rPr>
          <w:rFonts w:ascii="Arial" w:hAnsi="Arial" w:cs="Arial"/>
          <w:sz w:val="24"/>
          <w:szCs w:val="24"/>
        </w:rPr>
        <w:t xml:space="preserve">he feedback provided from this consultation will </w:t>
      </w:r>
      <w:r w:rsidRPr="00853BC2">
        <w:rPr>
          <w:rFonts w:ascii="Arial" w:hAnsi="Arial" w:cs="Arial"/>
          <w:sz w:val="24"/>
          <w:szCs w:val="24"/>
        </w:rPr>
        <w:t>inform the report to Schools Forum and Cabinet Member early in 202</w:t>
      </w:r>
      <w:r w:rsidR="000448FF" w:rsidRPr="00853BC2">
        <w:rPr>
          <w:rFonts w:ascii="Arial" w:hAnsi="Arial" w:cs="Arial"/>
          <w:sz w:val="24"/>
          <w:szCs w:val="24"/>
        </w:rPr>
        <w:t>4</w:t>
      </w:r>
      <w:r w:rsidRPr="00853BC2">
        <w:rPr>
          <w:rFonts w:ascii="Arial" w:hAnsi="Arial" w:cs="Arial"/>
          <w:sz w:val="24"/>
          <w:szCs w:val="24"/>
        </w:rPr>
        <w:t xml:space="preserve"> to set the </w:t>
      </w:r>
      <w:r w:rsidR="003617FD" w:rsidRPr="00853BC2">
        <w:rPr>
          <w:rFonts w:ascii="Arial" w:hAnsi="Arial" w:cs="Arial"/>
          <w:sz w:val="24"/>
          <w:szCs w:val="24"/>
        </w:rPr>
        <w:t>hourly rates for two</w:t>
      </w:r>
      <w:r w:rsidRPr="00853BC2">
        <w:rPr>
          <w:rFonts w:ascii="Arial" w:hAnsi="Arial" w:cs="Arial"/>
          <w:sz w:val="24"/>
          <w:szCs w:val="24"/>
        </w:rPr>
        <w:t xml:space="preserve"> year olds</w:t>
      </w:r>
      <w:r w:rsidR="000448FF" w:rsidRPr="00853BC2">
        <w:rPr>
          <w:rFonts w:ascii="Arial" w:hAnsi="Arial" w:cs="Arial"/>
          <w:sz w:val="24"/>
          <w:szCs w:val="24"/>
        </w:rPr>
        <w:t xml:space="preserve"> and under</w:t>
      </w:r>
      <w:r w:rsidRPr="00853BC2">
        <w:rPr>
          <w:rFonts w:ascii="Arial" w:hAnsi="Arial" w:cs="Arial"/>
          <w:sz w:val="24"/>
          <w:szCs w:val="24"/>
        </w:rPr>
        <w:t xml:space="preserve"> and </w:t>
      </w:r>
      <w:r w:rsidR="003617FD" w:rsidRPr="00853BC2">
        <w:rPr>
          <w:rFonts w:ascii="Arial" w:hAnsi="Arial" w:cs="Arial"/>
          <w:sz w:val="24"/>
          <w:szCs w:val="24"/>
        </w:rPr>
        <w:t>three and four year olds for 202</w:t>
      </w:r>
      <w:r w:rsidR="000448FF" w:rsidRPr="00853BC2">
        <w:rPr>
          <w:rFonts w:ascii="Arial" w:hAnsi="Arial" w:cs="Arial"/>
          <w:sz w:val="24"/>
          <w:szCs w:val="24"/>
        </w:rPr>
        <w:t>4</w:t>
      </w:r>
      <w:r w:rsidR="003617FD" w:rsidRPr="00853BC2">
        <w:rPr>
          <w:rFonts w:ascii="Arial" w:hAnsi="Arial" w:cs="Arial"/>
          <w:sz w:val="24"/>
          <w:szCs w:val="24"/>
        </w:rPr>
        <w:t>-2</w:t>
      </w:r>
      <w:r w:rsidR="000448FF" w:rsidRPr="00853BC2">
        <w:rPr>
          <w:rFonts w:ascii="Arial" w:hAnsi="Arial" w:cs="Arial"/>
          <w:sz w:val="24"/>
          <w:szCs w:val="24"/>
        </w:rPr>
        <w:t>5</w:t>
      </w:r>
      <w:r w:rsidR="003617FD" w:rsidRPr="00853BC2">
        <w:rPr>
          <w:rFonts w:ascii="Arial" w:hAnsi="Arial" w:cs="Arial"/>
          <w:sz w:val="24"/>
          <w:szCs w:val="24"/>
        </w:rPr>
        <w:t>.</w:t>
      </w:r>
    </w:p>
    <w:p w14:paraId="22EB78EF" w14:textId="77777777" w:rsidR="00D54B87" w:rsidRPr="00182793" w:rsidRDefault="00D54B87" w:rsidP="00182793">
      <w:pPr>
        <w:spacing w:after="0"/>
        <w:rPr>
          <w:rFonts w:ascii="Arial" w:hAnsi="Arial" w:cs="Arial"/>
          <w:sz w:val="24"/>
          <w:szCs w:val="24"/>
        </w:rPr>
      </w:pPr>
    </w:p>
    <w:p w14:paraId="603A07A9" w14:textId="1593E1B4" w:rsidR="00FE59F1" w:rsidRPr="00853BC2" w:rsidRDefault="00FE59F1" w:rsidP="00182793">
      <w:pPr>
        <w:pStyle w:val="ListParagraph"/>
        <w:numPr>
          <w:ilvl w:val="1"/>
          <w:numId w:val="1"/>
        </w:numPr>
        <w:spacing w:after="0"/>
        <w:ind w:left="1077" w:hanging="720"/>
        <w:rPr>
          <w:rFonts w:ascii="Arial" w:hAnsi="Arial" w:cs="Arial"/>
          <w:sz w:val="24"/>
          <w:szCs w:val="24"/>
        </w:rPr>
      </w:pPr>
      <w:r w:rsidRPr="00853BC2">
        <w:rPr>
          <w:rFonts w:ascii="Arial" w:hAnsi="Arial" w:cs="Arial"/>
          <w:sz w:val="24"/>
          <w:szCs w:val="24"/>
        </w:rPr>
        <w:t xml:space="preserve">When responding to </w:t>
      </w:r>
      <w:r w:rsidR="00D54B87" w:rsidRPr="00853BC2">
        <w:rPr>
          <w:rFonts w:ascii="Arial" w:hAnsi="Arial" w:cs="Arial"/>
          <w:sz w:val="24"/>
          <w:szCs w:val="24"/>
        </w:rPr>
        <w:t xml:space="preserve">the consultation please be aware that your response may be shared in the public domain, </w:t>
      </w:r>
      <w:r w:rsidR="00FB4EA7" w:rsidRPr="00853BC2">
        <w:rPr>
          <w:rFonts w:ascii="Arial" w:hAnsi="Arial" w:cs="Arial"/>
          <w:sz w:val="24"/>
          <w:szCs w:val="24"/>
        </w:rPr>
        <w:t>e.g.,</w:t>
      </w:r>
      <w:r w:rsidR="00D54B87" w:rsidRPr="00853BC2">
        <w:rPr>
          <w:rFonts w:ascii="Arial" w:hAnsi="Arial" w:cs="Arial"/>
          <w:sz w:val="24"/>
          <w:szCs w:val="24"/>
        </w:rPr>
        <w:t xml:space="preserve"> via a Freedom of Information request</w:t>
      </w:r>
      <w:r w:rsidR="00AC2ECF" w:rsidRPr="00853BC2">
        <w:rPr>
          <w:rFonts w:ascii="Arial" w:hAnsi="Arial" w:cs="Arial"/>
          <w:sz w:val="24"/>
          <w:szCs w:val="24"/>
        </w:rPr>
        <w:t xml:space="preserve">, therefore please don't share information that may be commercially </w:t>
      </w:r>
      <w:r w:rsidR="00182793" w:rsidRPr="00853BC2">
        <w:rPr>
          <w:rFonts w:ascii="Arial" w:hAnsi="Arial" w:cs="Arial"/>
          <w:sz w:val="24"/>
          <w:szCs w:val="24"/>
        </w:rPr>
        <w:t>sensitive,</w:t>
      </w:r>
      <w:r w:rsidR="00AC2ECF" w:rsidRPr="00853BC2">
        <w:rPr>
          <w:rFonts w:ascii="Arial" w:hAnsi="Arial" w:cs="Arial"/>
          <w:sz w:val="24"/>
          <w:szCs w:val="24"/>
        </w:rPr>
        <w:t xml:space="preserve"> or you would not want shared </w:t>
      </w:r>
      <w:r w:rsidR="00FC6F0C">
        <w:rPr>
          <w:rFonts w:ascii="Arial" w:hAnsi="Arial" w:cs="Arial"/>
          <w:sz w:val="24"/>
          <w:szCs w:val="24"/>
        </w:rPr>
        <w:t>more widely</w:t>
      </w:r>
      <w:r w:rsidR="00AC2ECF" w:rsidRPr="00853BC2">
        <w:rPr>
          <w:rFonts w:ascii="Arial" w:hAnsi="Arial" w:cs="Arial"/>
          <w:sz w:val="24"/>
          <w:szCs w:val="24"/>
        </w:rPr>
        <w:t>.</w:t>
      </w:r>
    </w:p>
    <w:p w14:paraId="70E1C0A7" w14:textId="77777777" w:rsidR="00AC2ECF" w:rsidRPr="00182793" w:rsidRDefault="00AC2ECF" w:rsidP="00182793">
      <w:pPr>
        <w:spacing w:after="0"/>
        <w:rPr>
          <w:rFonts w:ascii="Arial" w:hAnsi="Arial" w:cs="Arial"/>
          <w:sz w:val="24"/>
          <w:szCs w:val="24"/>
        </w:rPr>
      </w:pPr>
    </w:p>
    <w:p w14:paraId="2702C4EC" w14:textId="0C147907" w:rsidR="00AC2ECF" w:rsidRDefault="004E7880" w:rsidP="00182793">
      <w:pPr>
        <w:pStyle w:val="ListParagraph"/>
        <w:numPr>
          <w:ilvl w:val="1"/>
          <w:numId w:val="1"/>
        </w:numPr>
        <w:spacing w:after="0"/>
        <w:ind w:left="1077" w:hanging="720"/>
        <w:rPr>
          <w:rFonts w:ascii="Arial" w:hAnsi="Arial" w:cs="Arial"/>
          <w:sz w:val="24"/>
          <w:szCs w:val="24"/>
        </w:rPr>
      </w:pPr>
      <w:r w:rsidRPr="00853BC2">
        <w:rPr>
          <w:rFonts w:ascii="Arial" w:hAnsi="Arial" w:cs="Arial"/>
          <w:sz w:val="24"/>
          <w:szCs w:val="24"/>
        </w:rPr>
        <w:t>To respond to the consultation</w:t>
      </w:r>
      <w:r w:rsidR="000A4CB9" w:rsidRPr="00853BC2">
        <w:rPr>
          <w:rFonts w:ascii="Arial" w:hAnsi="Arial" w:cs="Arial"/>
          <w:sz w:val="24"/>
          <w:szCs w:val="24"/>
        </w:rPr>
        <w:t>,</w:t>
      </w:r>
      <w:r w:rsidRPr="00853BC2">
        <w:rPr>
          <w:rFonts w:ascii="Arial" w:hAnsi="Arial" w:cs="Arial"/>
          <w:sz w:val="24"/>
          <w:szCs w:val="24"/>
        </w:rPr>
        <w:t xml:space="preserve"> please </w:t>
      </w:r>
      <w:r w:rsidR="00AC2ECF" w:rsidRPr="00853BC2">
        <w:rPr>
          <w:rFonts w:ascii="Arial" w:hAnsi="Arial" w:cs="Arial"/>
          <w:sz w:val="24"/>
          <w:szCs w:val="24"/>
        </w:rPr>
        <w:t xml:space="preserve">complete the attached document and return to </w:t>
      </w:r>
      <w:hyperlink r:id="rId12" w:history="1">
        <w:r w:rsidR="004B4593" w:rsidRPr="00853BC2">
          <w:rPr>
            <w:rStyle w:val="Hyperlink"/>
            <w:rFonts w:ascii="Arial" w:hAnsi="Arial" w:cs="Arial"/>
            <w:sz w:val="24"/>
            <w:szCs w:val="24"/>
          </w:rPr>
          <w:t>EYfunding@portsmouthcc.gov.uk</w:t>
        </w:r>
      </w:hyperlink>
      <w:r w:rsidR="004B4593" w:rsidRPr="00853BC2">
        <w:rPr>
          <w:rFonts w:ascii="Arial" w:hAnsi="Arial" w:cs="Arial"/>
          <w:sz w:val="24"/>
          <w:szCs w:val="24"/>
        </w:rPr>
        <w:t xml:space="preserve"> </w:t>
      </w:r>
    </w:p>
    <w:p w14:paraId="44E7D2D3" w14:textId="77777777" w:rsidR="00182793" w:rsidRPr="00182793" w:rsidRDefault="00182793" w:rsidP="00182793">
      <w:pPr>
        <w:spacing w:after="0"/>
        <w:rPr>
          <w:rFonts w:ascii="Arial" w:hAnsi="Arial" w:cs="Arial"/>
          <w:sz w:val="24"/>
          <w:szCs w:val="24"/>
        </w:rPr>
      </w:pPr>
    </w:p>
    <w:p w14:paraId="50CEC25A" w14:textId="0294FB05" w:rsidR="00AC2ECF" w:rsidRPr="006D6938" w:rsidRDefault="00C407FB" w:rsidP="00182793">
      <w:pPr>
        <w:pStyle w:val="ListParagraph"/>
        <w:numPr>
          <w:ilvl w:val="1"/>
          <w:numId w:val="1"/>
        </w:numPr>
        <w:spacing w:after="0"/>
        <w:ind w:left="1077" w:hanging="720"/>
        <w:rPr>
          <w:rFonts w:ascii="Arial" w:hAnsi="Arial" w:cs="Arial"/>
          <w:sz w:val="24"/>
          <w:szCs w:val="24"/>
        </w:rPr>
      </w:pPr>
      <w:r>
        <w:rPr>
          <w:rFonts w:ascii="Arial" w:hAnsi="Arial" w:cs="Arial"/>
          <w:sz w:val="24"/>
          <w:szCs w:val="24"/>
        </w:rPr>
        <w:t xml:space="preserve"> </w:t>
      </w:r>
      <w:r w:rsidR="00AC2ECF" w:rsidRPr="006D6938">
        <w:rPr>
          <w:rFonts w:ascii="Arial" w:hAnsi="Arial" w:cs="Arial"/>
          <w:sz w:val="24"/>
          <w:szCs w:val="24"/>
        </w:rPr>
        <w:t>Responses should be return</w:t>
      </w:r>
      <w:r w:rsidR="000A4CB9" w:rsidRPr="006D6938">
        <w:rPr>
          <w:rFonts w:ascii="Arial" w:hAnsi="Arial" w:cs="Arial"/>
          <w:sz w:val="24"/>
          <w:szCs w:val="24"/>
        </w:rPr>
        <w:t>ed</w:t>
      </w:r>
      <w:r w:rsidR="00AC2ECF" w:rsidRPr="006D6938">
        <w:rPr>
          <w:rFonts w:ascii="Arial" w:hAnsi="Arial" w:cs="Arial"/>
          <w:sz w:val="24"/>
          <w:szCs w:val="24"/>
        </w:rPr>
        <w:t xml:space="preserve"> no later than</w:t>
      </w:r>
      <w:r w:rsidR="000A4CB9" w:rsidRPr="006D6938">
        <w:rPr>
          <w:rFonts w:ascii="Arial" w:hAnsi="Arial" w:cs="Arial"/>
          <w:sz w:val="24"/>
          <w:szCs w:val="24"/>
        </w:rPr>
        <w:t xml:space="preserve"> close of play</w:t>
      </w:r>
      <w:r w:rsidR="00AC2ECF" w:rsidRPr="006D6938">
        <w:rPr>
          <w:rFonts w:ascii="Arial" w:hAnsi="Arial" w:cs="Arial"/>
          <w:sz w:val="24"/>
          <w:szCs w:val="24"/>
        </w:rPr>
        <w:t xml:space="preserve"> </w:t>
      </w:r>
      <w:r w:rsidR="00AC2ECF" w:rsidRPr="00182793">
        <w:rPr>
          <w:rFonts w:ascii="Arial" w:hAnsi="Arial" w:cs="Arial"/>
          <w:b/>
          <w:bCs/>
          <w:sz w:val="24"/>
          <w:szCs w:val="24"/>
        </w:rPr>
        <w:t xml:space="preserve">Friday </w:t>
      </w:r>
      <w:r w:rsidR="00D358B5" w:rsidRPr="00182793">
        <w:rPr>
          <w:rFonts w:ascii="Arial" w:hAnsi="Arial" w:cs="Arial"/>
          <w:b/>
          <w:bCs/>
          <w:sz w:val="24"/>
          <w:szCs w:val="24"/>
        </w:rPr>
        <w:t xml:space="preserve">5th </w:t>
      </w:r>
      <w:r w:rsidR="00E02C58" w:rsidRPr="00182793">
        <w:rPr>
          <w:rFonts w:ascii="Arial" w:hAnsi="Arial" w:cs="Arial"/>
          <w:b/>
          <w:bCs/>
          <w:sz w:val="24"/>
          <w:szCs w:val="24"/>
        </w:rPr>
        <w:t>Januar</w:t>
      </w:r>
      <w:r w:rsidR="00853BC2" w:rsidRPr="00182793">
        <w:rPr>
          <w:rFonts w:ascii="Arial" w:hAnsi="Arial" w:cs="Arial"/>
          <w:b/>
          <w:bCs/>
          <w:sz w:val="24"/>
          <w:szCs w:val="24"/>
        </w:rPr>
        <w:t>y</w:t>
      </w:r>
      <w:r w:rsidR="003222F4" w:rsidRPr="00182793">
        <w:rPr>
          <w:rFonts w:ascii="Arial" w:hAnsi="Arial" w:cs="Arial"/>
          <w:b/>
          <w:bCs/>
          <w:sz w:val="24"/>
          <w:szCs w:val="24"/>
        </w:rPr>
        <w:t xml:space="preserve"> </w:t>
      </w:r>
      <w:r w:rsidR="00E02C58" w:rsidRPr="00182793">
        <w:rPr>
          <w:rFonts w:ascii="Arial" w:hAnsi="Arial" w:cs="Arial"/>
          <w:b/>
          <w:bCs/>
          <w:sz w:val="24"/>
          <w:szCs w:val="24"/>
        </w:rPr>
        <w:t>2024</w:t>
      </w:r>
      <w:r w:rsidR="00E02C58" w:rsidRPr="00182793">
        <w:rPr>
          <w:rFonts w:ascii="Arial" w:hAnsi="Arial" w:cs="Arial"/>
          <w:sz w:val="24"/>
          <w:szCs w:val="24"/>
        </w:rPr>
        <w:t>.</w:t>
      </w:r>
    </w:p>
    <w:p w14:paraId="52FCDE95" w14:textId="77777777" w:rsidR="00AC2ECF" w:rsidRDefault="00AC2ECF">
      <w:pPr>
        <w:rPr>
          <w:rFonts w:ascii="Arial" w:hAnsi="Arial" w:cs="Arial"/>
          <w:sz w:val="24"/>
          <w:szCs w:val="24"/>
        </w:rPr>
      </w:pPr>
      <w:r>
        <w:rPr>
          <w:rFonts w:ascii="Arial" w:hAnsi="Arial" w:cs="Arial"/>
          <w:sz w:val="24"/>
          <w:szCs w:val="24"/>
        </w:rPr>
        <w:br w:type="page"/>
      </w:r>
    </w:p>
    <w:p w14:paraId="589A2AEC" w14:textId="377B9B07" w:rsidR="00D02EEF" w:rsidRDefault="00D02EEF" w:rsidP="00D02EEF">
      <w:pPr>
        <w:keepNext/>
        <w:keepLines/>
        <w:spacing w:before="240" w:after="120"/>
        <w:ind w:left="431"/>
        <w:outlineLvl w:val="0"/>
        <w:rPr>
          <w:rFonts w:ascii="Arial" w:eastAsiaTheme="majorEastAsia" w:hAnsi="Arial" w:cs="Arial"/>
          <w:b/>
          <w:sz w:val="24"/>
          <w:szCs w:val="24"/>
        </w:rPr>
      </w:pPr>
      <w:bookmarkStart w:id="3" w:name="_Toc54079118"/>
      <w:bookmarkStart w:id="4" w:name="_Toc119055292"/>
      <w:r>
        <w:rPr>
          <w:rFonts w:ascii="Arial" w:eastAsiaTheme="majorEastAsia" w:hAnsi="Arial" w:cs="Arial"/>
          <w:b/>
          <w:sz w:val="24"/>
          <w:szCs w:val="24"/>
        </w:rPr>
        <w:lastRenderedPageBreak/>
        <w:t xml:space="preserve">Early Years Consultation </w:t>
      </w:r>
      <w:r w:rsidRPr="00D02EEF">
        <w:rPr>
          <w:rFonts w:ascii="Arial" w:eastAsiaTheme="majorEastAsia" w:hAnsi="Arial" w:cs="Arial"/>
          <w:b/>
          <w:sz w:val="24"/>
          <w:szCs w:val="24"/>
        </w:rPr>
        <w:t>Response Form</w:t>
      </w:r>
      <w:bookmarkEnd w:id="3"/>
      <w:bookmarkEnd w:id="4"/>
      <w:r w:rsidR="000A4CB9">
        <w:rPr>
          <w:rFonts w:ascii="Arial" w:eastAsiaTheme="majorEastAsia" w:hAnsi="Arial" w:cs="Arial"/>
          <w:b/>
          <w:sz w:val="24"/>
          <w:szCs w:val="24"/>
        </w:rPr>
        <w:t xml:space="preserve"> 202</w:t>
      </w:r>
      <w:r w:rsidR="003A5F04">
        <w:rPr>
          <w:rFonts w:ascii="Arial" w:eastAsiaTheme="majorEastAsia" w:hAnsi="Arial" w:cs="Arial"/>
          <w:b/>
          <w:sz w:val="24"/>
          <w:szCs w:val="24"/>
        </w:rPr>
        <w:t>3</w:t>
      </w:r>
    </w:p>
    <w:p w14:paraId="6C0C6680" w14:textId="77777777" w:rsidR="003D5AF9" w:rsidRPr="00D02EEF" w:rsidRDefault="003D5AF9" w:rsidP="00D02EEF">
      <w:pPr>
        <w:keepNext/>
        <w:keepLines/>
        <w:spacing w:before="240" w:after="120"/>
        <w:ind w:left="431"/>
        <w:outlineLvl w:val="0"/>
        <w:rPr>
          <w:rFonts w:ascii="Arial" w:eastAsiaTheme="majorEastAsia" w:hAnsi="Arial" w:cs="Arial"/>
          <w:b/>
          <w:sz w:val="24"/>
          <w:szCs w:val="24"/>
        </w:rPr>
      </w:pPr>
    </w:p>
    <w:p w14:paraId="2D6D7C1F" w14:textId="60DE86C0" w:rsidR="00D02EEF" w:rsidRDefault="00D02EEF" w:rsidP="00D02EEF">
      <w:pPr>
        <w:ind w:left="426"/>
        <w:rPr>
          <w:rFonts w:ascii="Arial" w:hAnsi="Arial"/>
          <w:sz w:val="24"/>
        </w:rPr>
      </w:pPr>
      <w:r>
        <w:rPr>
          <w:rFonts w:ascii="Arial" w:hAnsi="Arial"/>
          <w:b/>
          <w:sz w:val="24"/>
        </w:rPr>
        <w:t xml:space="preserve">Provider </w:t>
      </w:r>
      <w:r w:rsidRPr="00D02EEF">
        <w:rPr>
          <w:rFonts w:ascii="Arial" w:hAnsi="Arial"/>
          <w:b/>
          <w:sz w:val="24"/>
        </w:rPr>
        <w:t>Name:</w:t>
      </w:r>
      <w:r w:rsidR="00657A93">
        <w:rPr>
          <w:rFonts w:ascii="Arial" w:hAnsi="Arial"/>
          <w:b/>
          <w:sz w:val="24"/>
        </w:rPr>
        <w:t xml:space="preserve"> </w:t>
      </w:r>
      <w:r w:rsidRPr="00D02EEF">
        <w:rPr>
          <w:rFonts w:ascii="Arial" w:hAnsi="Arial"/>
          <w:sz w:val="24"/>
        </w:rPr>
        <w:t>…………………………………………………………………</w:t>
      </w:r>
    </w:p>
    <w:p w14:paraId="53A837DC" w14:textId="77777777" w:rsidR="003D5AF9" w:rsidRPr="00D02EEF" w:rsidRDefault="003D5AF9" w:rsidP="00D02EEF">
      <w:pPr>
        <w:ind w:left="426"/>
        <w:rPr>
          <w:rFonts w:ascii="Arial" w:hAnsi="Arial"/>
          <w:sz w:val="24"/>
        </w:rPr>
      </w:pPr>
    </w:p>
    <w:tbl>
      <w:tblPr>
        <w:tblStyle w:val="TableGrid1"/>
        <w:tblW w:w="9105" w:type="dxa"/>
        <w:tblInd w:w="250" w:type="dxa"/>
        <w:tblLook w:val="04A0" w:firstRow="1" w:lastRow="0" w:firstColumn="1" w:lastColumn="0" w:noHBand="0" w:noVBand="1"/>
      </w:tblPr>
      <w:tblGrid>
        <w:gridCol w:w="7952"/>
        <w:gridCol w:w="630"/>
        <w:gridCol w:w="523"/>
      </w:tblGrid>
      <w:tr w:rsidR="00D02EEF" w:rsidRPr="00D02EEF" w14:paraId="67DB4F41" w14:textId="595D2532" w:rsidTr="00657A93">
        <w:tc>
          <w:tcPr>
            <w:tcW w:w="7952" w:type="dxa"/>
          </w:tcPr>
          <w:p w14:paraId="32796F21" w14:textId="7C806198" w:rsidR="00D02EEF" w:rsidRDefault="00D02EEF" w:rsidP="00D02EEF">
            <w:pPr>
              <w:numPr>
                <w:ilvl w:val="0"/>
                <w:numId w:val="8"/>
              </w:numPr>
              <w:contextualSpacing/>
              <w:rPr>
                <w:rFonts w:cs="Arial"/>
                <w:b/>
                <w:szCs w:val="24"/>
              </w:rPr>
            </w:pPr>
            <w:r w:rsidRPr="00D02EEF">
              <w:rPr>
                <w:rFonts w:cs="Arial"/>
                <w:b/>
                <w:szCs w:val="24"/>
              </w:rPr>
              <w:t>Do you agree with the proposed 202</w:t>
            </w:r>
            <w:r w:rsidR="00E02C58">
              <w:rPr>
                <w:rFonts w:cs="Arial"/>
                <w:b/>
                <w:szCs w:val="24"/>
              </w:rPr>
              <w:t>4</w:t>
            </w:r>
            <w:r w:rsidRPr="00D02EEF">
              <w:rPr>
                <w:rFonts w:cs="Arial"/>
                <w:b/>
                <w:szCs w:val="24"/>
              </w:rPr>
              <w:t>-2</w:t>
            </w:r>
            <w:r w:rsidR="00A339F5">
              <w:rPr>
                <w:rFonts w:cs="Arial"/>
                <w:b/>
                <w:szCs w:val="24"/>
              </w:rPr>
              <w:t>5</w:t>
            </w:r>
            <w:r w:rsidRPr="00D02EEF">
              <w:rPr>
                <w:rFonts w:cs="Arial"/>
                <w:b/>
                <w:szCs w:val="24"/>
              </w:rPr>
              <w:t xml:space="preserve"> funding formula for </w:t>
            </w:r>
            <w:r w:rsidR="00853BC2" w:rsidRPr="00D02EEF">
              <w:rPr>
                <w:rFonts w:cs="Arial"/>
                <w:b/>
                <w:szCs w:val="24"/>
              </w:rPr>
              <w:t>three and four</w:t>
            </w:r>
            <w:r w:rsidR="00426A51">
              <w:rPr>
                <w:rFonts w:cs="Arial"/>
                <w:b/>
                <w:szCs w:val="24"/>
              </w:rPr>
              <w:t xml:space="preserve"> </w:t>
            </w:r>
            <w:r w:rsidR="00853BC2" w:rsidRPr="00D02EEF">
              <w:rPr>
                <w:rFonts w:cs="Arial"/>
                <w:b/>
                <w:szCs w:val="24"/>
              </w:rPr>
              <w:t>year</w:t>
            </w:r>
            <w:r w:rsidR="00426A51">
              <w:rPr>
                <w:rFonts w:cs="Arial"/>
                <w:b/>
                <w:szCs w:val="24"/>
              </w:rPr>
              <w:t xml:space="preserve"> </w:t>
            </w:r>
            <w:r w:rsidR="00853BC2" w:rsidRPr="00D02EEF">
              <w:rPr>
                <w:rFonts w:cs="Arial"/>
                <w:b/>
                <w:szCs w:val="24"/>
              </w:rPr>
              <w:t>olds</w:t>
            </w:r>
            <w:r>
              <w:rPr>
                <w:rFonts w:cs="Arial"/>
                <w:b/>
                <w:szCs w:val="24"/>
              </w:rPr>
              <w:t xml:space="preserve">, as set out in Table </w:t>
            </w:r>
            <w:r w:rsidR="00294676">
              <w:rPr>
                <w:rFonts w:cs="Arial"/>
                <w:b/>
                <w:szCs w:val="24"/>
              </w:rPr>
              <w:t>1</w:t>
            </w:r>
            <w:r w:rsidR="00657A93">
              <w:rPr>
                <w:rFonts w:cs="Arial"/>
                <w:b/>
                <w:szCs w:val="24"/>
              </w:rPr>
              <w:t>?</w:t>
            </w:r>
          </w:p>
          <w:p w14:paraId="48971A5D" w14:textId="6141C041" w:rsidR="00657A93" w:rsidRPr="00D02EEF" w:rsidRDefault="00657A93" w:rsidP="00657A93">
            <w:pPr>
              <w:ind w:left="720"/>
              <w:contextualSpacing/>
              <w:rPr>
                <w:rFonts w:cs="Arial"/>
                <w:b/>
                <w:szCs w:val="24"/>
              </w:rPr>
            </w:pPr>
          </w:p>
        </w:tc>
        <w:tc>
          <w:tcPr>
            <w:tcW w:w="630" w:type="dxa"/>
          </w:tcPr>
          <w:p w14:paraId="33E3611A" w14:textId="7232B578" w:rsidR="00D02EEF" w:rsidRPr="00D02EEF" w:rsidRDefault="00D02EEF" w:rsidP="00D02EEF">
            <w:pPr>
              <w:jc w:val="center"/>
              <w:rPr>
                <w:rFonts w:cs="Arial"/>
              </w:rPr>
            </w:pPr>
            <w:r w:rsidRPr="00D02EEF">
              <w:rPr>
                <w:rFonts w:cs="Arial"/>
              </w:rPr>
              <w:t>Yes</w:t>
            </w:r>
          </w:p>
        </w:tc>
        <w:tc>
          <w:tcPr>
            <w:tcW w:w="523" w:type="dxa"/>
          </w:tcPr>
          <w:p w14:paraId="6568DC08" w14:textId="1E68B202" w:rsidR="00D02EEF" w:rsidRPr="00D02EEF" w:rsidRDefault="00D02EEF" w:rsidP="00D02EEF">
            <w:pPr>
              <w:jc w:val="center"/>
              <w:rPr>
                <w:rFonts w:cs="Arial"/>
              </w:rPr>
            </w:pPr>
            <w:r w:rsidRPr="00D02EEF">
              <w:rPr>
                <w:rFonts w:cs="Arial"/>
              </w:rPr>
              <w:t>No</w:t>
            </w:r>
          </w:p>
        </w:tc>
      </w:tr>
      <w:tr w:rsidR="00D02EEF" w:rsidRPr="00D02EEF" w14:paraId="637E351B" w14:textId="1317EEDA" w:rsidTr="00657A93">
        <w:trPr>
          <w:trHeight w:val="1418"/>
        </w:trPr>
        <w:tc>
          <w:tcPr>
            <w:tcW w:w="9105" w:type="dxa"/>
            <w:gridSpan w:val="3"/>
          </w:tcPr>
          <w:p w14:paraId="500D60D1" w14:textId="2089D6D8" w:rsidR="00D02EEF" w:rsidRPr="00D02EEF" w:rsidRDefault="00D02EEF" w:rsidP="00D02EEF">
            <w:pPr>
              <w:rPr>
                <w:rFonts w:cs="Arial"/>
                <w:szCs w:val="24"/>
              </w:rPr>
            </w:pPr>
            <w:r w:rsidRPr="00D02EEF">
              <w:rPr>
                <w:rFonts w:cs="Arial"/>
                <w:szCs w:val="24"/>
              </w:rPr>
              <w:t>If not, what would you change</w:t>
            </w:r>
            <w:r w:rsidR="00657A93">
              <w:rPr>
                <w:rFonts w:cs="Arial"/>
                <w:szCs w:val="24"/>
              </w:rPr>
              <w:t>?</w:t>
            </w:r>
          </w:p>
          <w:p w14:paraId="02657E14" w14:textId="77777777" w:rsidR="00D02EEF" w:rsidRPr="00D02EEF" w:rsidRDefault="00D02EEF" w:rsidP="00D02EEF">
            <w:pPr>
              <w:ind w:left="131"/>
              <w:rPr>
                <w:rFonts w:cs="Arial"/>
              </w:rPr>
            </w:pPr>
          </w:p>
          <w:p w14:paraId="0AA27500" w14:textId="77777777" w:rsidR="00D02EEF" w:rsidRPr="00D02EEF" w:rsidRDefault="00D02EEF" w:rsidP="00D02EEF">
            <w:pPr>
              <w:ind w:left="131"/>
              <w:rPr>
                <w:rFonts w:cs="Arial"/>
              </w:rPr>
            </w:pPr>
          </w:p>
          <w:p w14:paraId="156F292B" w14:textId="77777777" w:rsidR="00D02EEF" w:rsidRPr="00D02EEF" w:rsidRDefault="00D02EEF" w:rsidP="00D02EEF">
            <w:pPr>
              <w:ind w:left="131"/>
              <w:rPr>
                <w:rFonts w:cs="Arial"/>
              </w:rPr>
            </w:pPr>
          </w:p>
          <w:p w14:paraId="648B0883" w14:textId="77777777" w:rsidR="00D02EEF" w:rsidRPr="00D02EEF" w:rsidRDefault="00D02EEF" w:rsidP="00D02EEF">
            <w:pPr>
              <w:ind w:left="131"/>
              <w:rPr>
                <w:rFonts w:cs="Arial"/>
              </w:rPr>
            </w:pPr>
          </w:p>
          <w:p w14:paraId="44D2797F" w14:textId="77777777" w:rsidR="00D02EEF" w:rsidRPr="00D02EEF" w:rsidRDefault="00D02EEF" w:rsidP="00D02EEF">
            <w:pPr>
              <w:ind w:left="131"/>
              <w:rPr>
                <w:rFonts w:cs="Arial"/>
              </w:rPr>
            </w:pPr>
          </w:p>
          <w:p w14:paraId="598BCE82" w14:textId="77777777" w:rsidR="00D02EEF" w:rsidRPr="00D02EEF" w:rsidRDefault="00D02EEF" w:rsidP="00D02EEF">
            <w:pPr>
              <w:ind w:left="131"/>
              <w:rPr>
                <w:rFonts w:cs="Arial"/>
              </w:rPr>
            </w:pPr>
          </w:p>
        </w:tc>
      </w:tr>
      <w:tr w:rsidR="00657A93" w:rsidRPr="00D02EEF" w14:paraId="493A5792" w14:textId="70F31DB5" w:rsidTr="00657A93">
        <w:tc>
          <w:tcPr>
            <w:tcW w:w="7952" w:type="dxa"/>
          </w:tcPr>
          <w:p w14:paraId="7A2B1140" w14:textId="2F17E916" w:rsidR="00657A93" w:rsidRDefault="00657A93" w:rsidP="00657A93">
            <w:pPr>
              <w:numPr>
                <w:ilvl w:val="0"/>
                <w:numId w:val="8"/>
              </w:numPr>
              <w:contextualSpacing/>
              <w:rPr>
                <w:rFonts w:cs="Arial"/>
                <w:b/>
                <w:szCs w:val="24"/>
              </w:rPr>
            </w:pPr>
            <w:r w:rsidRPr="00D02EEF">
              <w:rPr>
                <w:rFonts w:cs="Arial"/>
                <w:b/>
                <w:szCs w:val="24"/>
              </w:rPr>
              <w:t>Do you agree with the proposed 202</w:t>
            </w:r>
            <w:r w:rsidR="00A339F5">
              <w:rPr>
                <w:rFonts w:cs="Arial"/>
                <w:b/>
                <w:szCs w:val="24"/>
              </w:rPr>
              <w:t>4</w:t>
            </w:r>
            <w:r w:rsidRPr="00D02EEF">
              <w:rPr>
                <w:rFonts w:cs="Arial"/>
                <w:b/>
                <w:szCs w:val="24"/>
              </w:rPr>
              <w:t>-2</w:t>
            </w:r>
            <w:r w:rsidR="00A339F5">
              <w:rPr>
                <w:rFonts w:cs="Arial"/>
                <w:b/>
                <w:szCs w:val="24"/>
              </w:rPr>
              <w:t>5</w:t>
            </w:r>
            <w:r w:rsidRPr="00D02EEF">
              <w:rPr>
                <w:rFonts w:cs="Arial"/>
                <w:b/>
                <w:szCs w:val="24"/>
              </w:rPr>
              <w:t xml:space="preserve"> funding formula for </w:t>
            </w:r>
            <w:r w:rsidR="00853BC2" w:rsidRPr="00D02EEF">
              <w:rPr>
                <w:rFonts w:cs="Arial"/>
                <w:b/>
                <w:szCs w:val="24"/>
              </w:rPr>
              <w:t>two</w:t>
            </w:r>
            <w:r w:rsidR="00426A51">
              <w:rPr>
                <w:rFonts w:cs="Arial"/>
                <w:b/>
                <w:szCs w:val="24"/>
              </w:rPr>
              <w:t xml:space="preserve"> </w:t>
            </w:r>
            <w:r w:rsidR="00853BC2" w:rsidRPr="00D02EEF">
              <w:rPr>
                <w:rFonts w:cs="Arial"/>
                <w:b/>
                <w:szCs w:val="24"/>
              </w:rPr>
              <w:t>year</w:t>
            </w:r>
            <w:r w:rsidR="00426A51">
              <w:rPr>
                <w:rFonts w:cs="Arial"/>
                <w:b/>
                <w:szCs w:val="24"/>
              </w:rPr>
              <w:t xml:space="preserve"> </w:t>
            </w:r>
            <w:r w:rsidR="00853BC2" w:rsidRPr="00D02EEF">
              <w:rPr>
                <w:rFonts w:cs="Arial"/>
                <w:b/>
                <w:szCs w:val="24"/>
              </w:rPr>
              <w:t>olds</w:t>
            </w:r>
            <w:r>
              <w:rPr>
                <w:rFonts w:cs="Arial"/>
                <w:b/>
                <w:szCs w:val="24"/>
              </w:rPr>
              <w:t xml:space="preserve">, as set out in Table </w:t>
            </w:r>
            <w:r w:rsidR="00294676">
              <w:rPr>
                <w:rFonts w:cs="Arial"/>
                <w:b/>
                <w:szCs w:val="24"/>
              </w:rPr>
              <w:t>3</w:t>
            </w:r>
            <w:r>
              <w:rPr>
                <w:rFonts w:cs="Arial"/>
                <w:b/>
                <w:szCs w:val="24"/>
              </w:rPr>
              <w:t>?</w:t>
            </w:r>
          </w:p>
          <w:p w14:paraId="7BC82B84" w14:textId="779A6BEB" w:rsidR="00657A93" w:rsidRPr="00D02EEF" w:rsidRDefault="00657A93" w:rsidP="00657A93">
            <w:pPr>
              <w:ind w:left="720"/>
              <w:contextualSpacing/>
              <w:rPr>
                <w:rFonts w:cs="Arial"/>
                <w:b/>
                <w:szCs w:val="24"/>
              </w:rPr>
            </w:pPr>
          </w:p>
        </w:tc>
        <w:tc>
          <w:tcPr>
            <w:tcW w:w="630" w:type="dxa"/>
          </w:tcPr>
          <w:p w14:paraId="6C4A3BBF" w14:textId="77777777" w:rsidR="00657A93" w:rsidRDefault="00657A93" w:rsidP="00657A93">
            <w:pPr>
              <w:jc w:val="center"/>
              <w:rPr>
                <w:rFonts w:cs="Arial"/>
              </w:rPr>
            </w:pPr>
            <w:r w:rsidRPr="00D02EEF">
              <w:rPr>
                <w:rFonts w:cs="Arial"/>
              </w:rPr>
              <w:t>Yes</w:t>
            </w:r>
          </w:p>
          <w:p w14:paraId="4CEC1D02" w14:textId="6B06507A" w:rsidR="00657A93" w:rsidRPr="00657A93" w:rsidRDefault="00657A93" w:rsidP="00657A93">
            <w:pPr>
              <w:jc w:val="center"/>
              <w:rPr>
                <w:rFonts w:cs="Arial"/>
              </w:rPr>
            </w:pPr>
          </w:p>
        </w:tc>
        <w:tc>
          <w:tcPr>
            <w:tcW w:w="523" w:type="dxa"/>
          </w:tcPr>
          <w:p w14:paraId="7FED0603" w14:textId="77777777" w:rsidR="00657A93" w:rsidRDefault="00657A93" w:rsidP="00657A93">
            <w:pPr>
              <w:jc w:val="center"/>
              <w:rPr>
                <w:rFonts w:cs="Arial"/>
              </w:rPr>
            </w:pPr>
            <w:r w:rsidRPr="00D02EEF">
              <w:rPr>
                <w:rFonts w:cs="Arial"/>
              </w:rPr>
              <w:t>No</w:t>
            </w:r>
          </w:p>
          <w:p w14:paraId="39C78D3C" w14:textId="76E31016" w:rsidR="00657A93" w:rsidRPr="00657A93" w:rsidRDefault="00657A93" w:rsidP="00657A93">
            <w:pPr>
              <w:jc w:val="center"/>
              <w:rPr>
                <w:rFonts w:cs="Arial"/>
              </w:rPr>
            </w:pPr>
          </w:p>
        </w:tc>
      </w:tr>
      <w:tr w:rsidR="00657A93" w:rsidRPr="00D02EEF" w14:paraId="21215B05" w14:textId="3782009A" w:rsidTr="00657A93">
        <w:tc>
          <w:tcPr>
            <w:tcW w:w="9105" w:type="dxa"/>
            <w:gridSpan w:val="3"/>
          </w:tcPr>
          <w:p w14:paraId="2E083921" w14:textId="36C52482" w:rsidR="00657A93" w:rsidRDefault="00657A93" w:rsidP="00657A93">
            <w:pPr>
              <w:rPr>
                <w:rFonts w:cs="Arial"/>
                <w:szCs w:val="24"/>
              </w:rPr>
            </w:pPr>
            <w:bookmarkStart w:id="5" w:name="_Hlk120030787"/>
            <w:r w:rsidRPr="00657A93">
              <w:rPr>
                <w:rFonts w:cs="Arial"/>
                <w:szCs w:val="24"/>
              </w:rPr>
              <w:t>If not, what would you change</w:t>
            </w:r>
            <w:r>
              <w:rPr>
                <w:rFonts w:cs="Arial"/>
                <w:szCs w:val="24"/>
              </w:rPr>
              <w:t>?</w:t>
            </w:r>
          </w:p>
          <w:p w14:paraId="44165117" w14:textId="2731AC3C" w:rsidR="00657A93" w:rsidRDefault="00657A93" w:rsidP="00657A93">
            <w:pPr>
              <w:rPr>
                <w:rFonts w:cs="Arial"/>
                <w:szCs w:val="24"/>
              </w:rPr>
            </w:pPr>
          </w:p>
          <w:p w14:paraId="37A93B36" w14:textId="7251500B" w:rsidR="00657A93" w:rsidRDefault="00657A93" w:rsidP="00657A93">
            <w:pPr>
              <w:rPr>
                <w:rFonts w:cs="Arial"/>
                <w:szCs w:val="24"/>
              </w:rPr>
            </w:pPr>
          </w:p>
          <w:p w14:paraId="3478B680" w14:textId="15FE13C2" w:rsidR="00657A93" w:rsidRDefault="00657A93" w:rsidP="00657A93">
            <w:pPr>
              <w:rPr>
                <w:rFonts w:cs="Arial"/>
                <w:szCs w:val="24"/>
              </w:rPr>
            </w:pPr>
          </w:p>
          <w:p w14:paraId="4F48C959" w14:textId="36614D4D" w:rsidR="00657A93" w:rsidRDefault="00657A93" w:rsidP="00657A93">
            <w:pPr>
              <w:rPr>
                <w:rFonts w:cs="Arial"/>
                <w:szCs w:val="24"/>
              </w:rPr>
            </w:pPr>
          </w:p>
          <w:p w14:paraId="4DDF4103" w14:textId="77777777" w:rsidR="00657A93" w:rsidRPr="00657A93" w:rsidRDefault="00657A93" w:rsidP="00657A93">
            <w:pPr>
              <w:rPr>
                <w:rFonts w:cs="Arial"/>
                <w:szCs w:val="24"/>
              </w:rPr>
            </w:pPr>
          </w:p>
          <w:p w14:paraId="774C5B8D" w14:textId="5E6F9DC9" w:rsidR="00657A93" w:rsidRPr="00D02EEF" w:rsidRDefault="00657A93" w:rsidP="00D02EEF">
            <w:pPr>
              <w:rPr>
                <w:rFonts w:cs="Arial"/>
              </w:rPr>
            </w:pPr>
          </w:p>
        </w:tc>
      </w:tr>
      <w:bookmarkEnd w:id="5"/>
      <w:tr w:rsidR="00657A93" w:rsidRPr="00657A93" w14:paraId="740A08B3" w14:textId="5AFC6F40" w:rsidTr="005A6E9D">
        <w:tc>
          <w:tcPr>
            <w:tcW w:w="7952" w:type="dxa"/>
          </w:tcPr>
          <w:p w14:paraId="1FD61C57" w14:textId="3D9C41D8" w:rsidR="00657A93" w:rsidRPr="00D02EEF" w:rsidRDefault="005816F3" w:rsidP="005A6E9D">
            <w:pPr>
              <w:numPr>
                <w:ilvl w:val="0"/>
                <w:numId w:val="8"/>
              </w:numPr>
              <w:contextualSpacing/>
              <w:rPr>
                <w:rFonts w:cs="Arial"/>
                <w:b/>
                <w:szCs w:val="24"/>
              </w:rPr>
            </w:pPr>
            <w:r>
              <w:rPr>
                <w:rFonts w:cs="Arial"/>
                <w:b/>
                <w:szCs w:val="24"/>
              </w:rPr>
              <w:t xml:space="preserve">Do you agree with the proposed 2024-2025 funding formula for under 2's as set out in Table </w:t>
            </w:r>
            <w:r w:rsidR="00294676">
              <w:rPr>
                <w:rFonts w:cs="Arial"/>
                <w:b/>
                <w:szCs w:val="24"/>
              </w:rPr>
              <w:t>4</w:t>
            </w:r>
          </w:p>
        </w:tc>
        <w:tc>
          <w:tcPr>
            <w:tcW w:w="630" w:type="dxa"/>
          </w:tcPr>
          <w:p w14:paraId="20625CB4" w14:textId="77777777" w:rsidR="00657A93" w:rsidRDefault="00657A93" w:rsidP="00657A93">
            <w:pPr>
              <w:jc w:val="center"/>
              <w:rPr>
                <w:rFonts w:cs="Arial"/>
              </w:rPr>
            </w:pPr>
            <w:r w:rsidRPr="00D02EEF">
              <w:rPr>
                <w:rFonts w:cs="Arial"/>
              </w:rPr>
              <w:t>Yes</w:t>
            </w:r>
          </w:p>
          <w:p w14:paraId="006F0EA2" w14:textId="77777777" w:rsidR="00657A93" w:rsidRPr="00657A93" w:rsidRDefault="00657A93" w:rsidP="00657A93">
            <w:pPr>
              <w:jc w:val="center"/>
              <w:rPr>
                <w:rFonts w:cs="Arial"/>
              </w:rPr>
            </w:pPr>
          </w:p>
        </w:tc>
        <w:tc>
          <w:tcPr>
            <w:tcW w:w="523" w:type="dxa"/>
          </w:tcPr>
          <w:p w14:paraId="788B2BE5" w14:textId="77777777" w:rsidR="00657A93" w:rsidRDefault="00657A93" w:rsidP="00657A93">
            <w:pPr>
              <w:jc w:val="center"/>
              <w:rPr>
                <w:rFonts w:cs="Arial"/>
              </w:rPr>
            </w:pPr>
            <w:r w:rsidRPr="00D02EEF">
              <w:rPr>
                <w:rFonts w:cs="Arial"/>
              </w:rPr>
              <w:t>No</w:t>
            </w:r>
          </w:p>
          <w:p w14:paraId="2144DB65" w14:textId="49B002FA" w:rsidR="00657A93" w:rsidRPr="00657A93" w:rsidRDefault="00657A93" w:rsidP="00657A93">
            <w:pPr>
              <w:jc w:val="center"/>
              <w:rPr>
                <w:rFonts w:cs="Arial"/>
              </w:rPr>
            </w:pPr>
          </w:p>
        </w:tc>
      </w:tr>
      <w:tr w:rsidR="00657A93" w:rsidRPr="00D02EEF" w14:paraId="28158123" w14:textId="77777777" w:rsidTr="00421CA7">
        <w:tc>
          <w:tcPr>
            <w:tcW w:w="9105" w:type="dxa"/>
            <w:gridSpan w:val="3"/>
          </w:tcPr>
          <w:p w14:paraId="068BE1E8" w14:textId="0BB86DF9" w:rsidR="00657A93" w:rsidRDefault="00657A93" w:rsidP="00421CA7">
            <w:pPr>
              <w:rPr>
                <w:rFonts w:cs="Arial"/>
                <w:szCs w:val="24"/>
              </w:rPr>
            </w:pPr>
            <w:r w:rsidRPr="00657A93">
              <w:rPr>
                <w:rFonts w:cs="Arial"/>
                <w:szCs w:val="24"/>
              </w:rPr>
              <w:t>If not, what would you change</w:t>
            </w:r>
            <w:r>
              <w:rPr>
                <w:rFonts w:cs="Arial"/>
                <w:szCs w:val="24"/>
              </w:rPr>
              <w:t>?</w:t>
            </w:r>
          </w:p>
          <w:p w14:paraId="3F662DF0" w14:textId="77777777" w:rsidR="00657A93" w:rsidRDefault="00657A93" w:rsidP="00421CA7">
            <w:pPr>
              <w:rPr>
                <w:rFonts w:cs="Arial"/>
                <w:szCs w:val="24"/>
              </w:rPr>
            </w:pPr>
          </w:p>
          <w:p w14:paraId="4DFD33EB" w14:textId="77777777" w:rsidR="00657A93" w:rsidRDefault="00657A93" w:rsidP="00421CA7">
            <w:pPr>
              <w:rPr>
                <w:rFonts w:cs="Arial"/>
                <w:szCs w:val="24"/>
              </w:rPr>
            </w:pPr>
          </w:p>
          <w:p w14:paraId="05BD8F26" w14:textId="77777777" w:rsidR="00657A93" w:rsidRDefault="00657A93" w:rsidP="00421CA7">
            <w:pPr>
              <w:rPr>
                <w:rFonts w:cs="Arial"/>
                <w:szCs w:val="24"/>
              </w:rPr>
            </w:pPr>
          </w:p>
          <w:p w14:paraId="542950F0" w14:textId="77777777" w:rsidR="00657A93" w:rsidRDefault="00657A93" w:rsidP="00421CA7">
            <w:pPr>
              <w:rPr>
                <w:rFonts w:cs="Arial"/>
                <w:szCs w:val="24"/>
              </w:rPr>
            </w:pPr>
          </w:p>
          <w:p w14:paraId="5012E080" w14:textId="77777777" w:rsidR="00657A93" w:rsidRPr="00657A93" w:rsidRDefault="00657A93" w:rsidP="00421CA7">
            <w:pPr>
              <w:rPr>
                <w:rFonts w:cs="Arial"/>
                <w:szCs w:val="24"/>
              </w:rPr>
            </w:pPr>
          </w:p>
          <w:p w14:paraId="7F3B7C1E" w14:textId="77777777" w:rsidR="00657A93" w:rsidRPr="00D02EEF" w:rsidRDefault="00657A93" w:rsidP="00421CA7">
            <w:pPr>
              <w:rPr>
                <w:rFonts w:cs="Arial"/>
              </w:rPr>
            </w:pPr>
          </w:p>
        </w:tc>
      </w:tr>
    </w:tbl>
    <w:p w14:paraId="10BC4C76" w14:textId="77777777" w:rsidR="00D02EEF" w:rsidRDefault="00D02EEF" w:rsidP="00294676">
      <w:pPr>
        <w:rPr>
          <w:rFonts w:ascii="Arial" w:hAnsi="Arial" w:cs="Arial"/>
          <w:sz w:val="24"/>
          <w:szCs w:val="24"/>
          <w:highlight w:val="yellow"/>
        </w:rPr>
      </w:pPr>
    </w:p>
    <w:sectPr w:rsidR="00D02EEF" w:rsidSect="007363E1">
      <w:headerReference w:type="even" r:id="rId13"/>
      <w:headerReference w:type="default" r:id="rId14"/>
      <w:footerReference w:type="default" r:id="rId15"/>
      <w:headerReference w:type="first" r:id="rId1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9CF1" w14:textId="77777777" w:rsidR="00086924" w:rsidRDefault="00086924" w:rsidP="009A65F2">
      <w:pPr>
        <w:spacing w:after="0" w:line="240" w:lineRule="auto"/>
      </w:pPr>
      <w:r>
        <w:separator/>
      </w:r>
    </w:p>
  </w:endnote>
  <w:endnote w:type="continuationSeparator" w:id="0">
    <w:p w14:paraId="6F619949" w14:textId="77777777" w:rsidR="00086924" w:rsidRDefault="00086924" w:rsidP="009A65F2">
      <w:pPr>
        <w:spacing w:after="0" w:line="240" w:lineRule="auto"/>
      </w:pPr>
      <w:r>
        <w:continuationSeparator/>
      </w:r>
    </w:p>
  </w:endnote>
  <w:endnote w:type="continuationNotice" w:id="1">
    <w:p w14:paraId="2739712A" w14:textId="77777777" w:rsidR="00086924" w:rsidRDefault="00086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2052"/>
      <w:docPartObj>
        <w:docPartGallery w:val="Page Numbers (Bottom of Page)"/>
        <w:docPartUnique/>
      </w:docPartObj>
    </w:sdtPr>
    <w:sdtEndPr>
      <w:rPr>
        <w:noProof/>
      </w:rPr>
    </w:sdtEndPr>
    <w:sdtContent>
      <w:p w14:paraId="37B76ED3" w14:textId="2BC69772" w:rsidR="007363E1" w:rsidRDefault="00736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63A55" w14:textId="77777777" w:rsidR="007363E1" w:rsidRDefault="0073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2750" w14:textId="77777777" w:rsidR="00086924" w:rsidRDefault="00086924" w:rsidP="009A65F2">
      <w:pPr>
        <w:spacing w:after="0" w:line="240" w:lineRule="auto"/>
      </w:pPr>
      <w:r>
        <w:separator/>
      </w:r>
    </w:p>
  </w:footnote>
  <w:footnote w:type="continuationSeparator" w:id="0">
    <w:p w14:paraId="72B508B5" w14:textId="77777777" w:rsidR="00086924" w:rsidRDefault="00086924" w:rsidP="009A65F2">
      <w:pPr>
        <w:spacing w:after="0" w:line="240" w:lineRule="auto"/>
      </w:pPr>
      <w:r>
        <w:continuationSeparator/>
      </w:r>
    </w:p>
  </w:footnote>
  <w:footnote w:type="continuationNotice" w:id="1">
    <w:p w14:paraId="1B112346" w14:textId="77777777" w:rsidR="00086924" w:rsidRDefault="00086924">
      <w:pPr>
        <w:spacing w:after="0" w:line="240" w:lineRule="auto"/>
      </w:pPr>
    </w:p>
  </w:footnote>
  <w:footnote w:id="2">
    <w:p w14:paraId="6379A7D1" w14:textId="0E4686ED" w:rsidR="00D916C4" w:rsidRDefault="00D916C4">
      <w:pPr>
        <w:pStyle w:val="FootnoteText"/>
      </w:pPr>
      <w:r>
        <w:rPr>
          <w:rStyle w:val="FootnoteReference"/>
        </w:rPr>
        <w:footnoteRef/>
      </w:r>
      <w:r>
        <w:t xml:space="preserve"> </w:t>
      </w:r>
      <w:hyperlink r:id="rId1" w:history="1">
        <w:r w:rsidR="00EE6466" w:rsidRPr="00EE6466">
          <w:rPr>
            <w:rFonts w:asciiTheme="minorHAnsi" w:hAnsiTheme="minorHAnsi"/>
            <w:color w:val="0000FF"/>
            <w:sz w:val="22"/>
            <w:szCs w:val="22"/>
            <w:u w:val="single"/>
          </w:rPr>
          <w:t>Early years funding - extension of the entitlements Consultation response (publishing.service.gov.uk)</w:t>
        </w:r>
      </w:hyperlink>
    </w:p>
  </w:footnote>
  <w:footnote w:id="3">
    <w:p w14:paraId="7524DA76" w14:textId="4D9464E5" w:rsidR="0059057C" w:rsidRDefault="0059057C">
      <w:pPr>
        <w:pStyle w:val="FootnoteText"/>
      </w:pPr>
      <w:r>
        <w:rPr>
          <w:rStyle w:val="FootnoteReference"/>
        </w:rPr>
        <w:footnoteRef/>
      </w:r>
      <w:r>
        <w:t xml:space="preserve"> Income Deprivation Affecting Children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A17C" w14:textId="36FD23E2" w:rsidR="00CD06B4" w:rsidRDefault="00CD06B4">
    <w:pPr>
      <w:pStyle w:val="Header"/>
    </w:pPr>
    <w:r>
      <w:rPr>
        <w:noProof/>
      </w:rPr>
      <mc:AlternateContent>
        <mc:Choice Requires="wps">
          <w:drawing>
            <wp:anchor distT="0" distB="0" distL="0" distR="0" simplePos="0" relativeHeight="251658241" behindDoc="0" locked="0" layoutInCell="1" allowOverlap="1" wp14:anchorId="28565BD6" wp14:editId="086CA647">
              <wp:simplePos x="635" y="635"/>
              <wp:positionH relativeFrom="page">
                <wp:align>center</wp:align>
              </wp:positionH>
              <wp:positionV relativeFrom="page">
                <wp:align>top</wp:align>
              </wp:positionV>
              <wp:extent cx="443865" cy="443865"/>
              <wp:effectExtent l="0" t="0" r="15875" b="8890"/>
              <wp:wrapNone/>
              <wp:docPr id="160284841" name="Text Box 160284841"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8CA9B" w14:textId="29F1516F"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565BD6" id="_x0000_t202" coordsize="21600,21600" o:spt="202" path="m,l,21600r21600,l21600,xe">
              <v:stroke joinstyle="miter"/>
              <v:path gradientshapeok="t" o:connecttype="rect"/>
            </v:shapetype>
            <v:shape id="Text Box 160284841" o:spid="_x0000_s1026" type="#_x0000_t202" alt="- Official Sensitive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A28CA9B" w14:textId="29F1516F"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5EA2" w14:textId="15FC4964" w:rsidR="00CD06B4" w:rsidRDefault="00CD06B4">
    <w:pPr>
      <w:pStyle w:val="Header"/>
    </w:pPr>
    <w:r>
      <w:rPr>
        <w:noProof/>
      </w:rPr>
      <mc:AlternateContent>
        <mc:Choice Requires="wps">
          <w:drawing>
            <wp:anchor distT="0" distB="0" distL="0" distR="0" simplePos="0" relativeHeight="251658242" behindDoc="0" locked="0" layoutInCell="1" allowOverlap="1" wp14:anchorId="0A983448" wp14:editId="342DCE71">
              <wp:simplePos x="914400" y="448785"/>
              <wp:positionH relativeFrom="page">
                <wp:align>center</wp:align>
              </wp:positionH>
              <wp:positionV relativeFrom="page">
                <wp:align>top</wp:align>
              </wp:positionV>
              <wp:extent cx="443865" cy="443865"/>
              <wp:effectExtent l="0" t="0" r="15875" b="8890"/>
              <wp:wrapNone/>
              <wp:docPr id="1001077860" name="Text Box 1001077860"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B0235" w14:textId="2630695F"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983448" id="_x0000_t202" coordsize="21600,21600" o:spt="202" path="m,l,21600r21600,l21600,xe">
              <v:stroke joinstyle="miter"/>
              <v:path gradientshapeok="t" o:connecttype="rect"/>
            </v:shapetype>
            <v:shape id="Text Box 1001077860" o:spid="_x0000_s1027" type="#_x0000_t202" alt="- Official Sensitive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B1B0235" w14:textId="2630695F"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CD3A" w14:textId="0ADE7A1B" w:rsidR="00CD06B4" w:rsidRDefault="00CD06B4">
    <w:pPr>
      <w:pStyle w:val="Header"/>
    </w:pPr>
    <w:r>
      <w:rPr>
        <w:noProof/>
      </w:rPr>
      <mc:AlternateContent>
        <mc:Choice Requires="wps">
          <w:drawing>
            <wp:anchor distT="0" distB="0" distL="0" distR="0" simplePos="0" relativeHeight="251658240" behindDoc="0" locked="0" layoutInCell="1" allowOverlap="1" wp14:anchorId="13FF04D9" wp14:editId="34B5F5C2">
              <wp:simplePos x="635" y="635"/>
              <wp:positionH relativeFrom="page">
                <wp:align>center</wp:align>
              </wp:positionH>
              <wp:positionV relativeFrom="page">
                <wp:align>top</wp:align>
              </wp:positionV>
              <wp:extent cx="443865" cy="443865"/>
              <wp:effectExtent l="0" t="0" r="15875" b="8890"/>
              <wp:wrapNone/>
              <wp:docPr id="1084991446" name="Text Box 1084991446"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8985F" w14:textId="6CDA230A"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FF04D9" id="_x0000_t202" coordsize="21600,21600" o:spt="202" path="m,l,21600r21600,l21600,xe">
              <v:stroke joinstyle="miter"/>
              <v:path gradientshapeok="t" o:connecttype="rect"/>
            </v:shapetype>
            <v:shape id="Text Box 1084991446" o:spid="_x0000_s1028" type="#_x0000_t202" alt="- Official Sensitive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758985F" w14:textId="6CDA230A" w:rsidR="00CD06B4" w:rsidRPr="00CD06B4" w:rsidRDefault="00CD06B4" w:rsidP="00CD06B4">
                    <w:pPr>
                      <w:spacing w:after="0"/>
                      <w:rPr>
                        <w:rFonts w:ascii="Calibri" w:eastAsia="Calibri" w:hAnsi="Calibri" w:cs="Calibri"/>
                        <w:noProof/>
                        <w:color w:val="0000FF"/>
                        <w:sz w:val="24"/>
                        <w:szCs w:val="24"/>
                      </w:rPr>
                    </w:pPr>
                    <w:r w:rsidRPr="00CD06B4">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DC"/>
    <w:multiLevelType w:val="multilevel"/>
    <w:tmpl w:val="112E568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B10DC"/>
    <w:multiLevelType w:val="multilevel"/>
    <w:tmpl w:val="FF90D36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444078"/>
    <w:multiLevelType w:val="multilevel"/>
    <w:tmpl w:val="6A128AD2"/>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3653D60"/>
    <w:multiLevelType w:val="multilevel"/>
    <w:tmpl w:val="616E39C0"/>
    <w:lvl w:ilvl="0">
      <w:start w:val="2"/>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2D2B0D"/>
    <w:multiLevelType w:val="hybridMultilevel"/>
    <w:tmpl w:val="AABC93DC"/>
    <w:lvl w:ilvl="0" w:tplc="08090001">
      <w:start w:val="1"/>
      <w:numFmt w:val="bullet"/>
      <w:lvlText w:val=""/>
      <w:lvlJc w:val="left"/>
      <w:pPr>
        <w:ind w:left="2892" w:hanging="360"/>
      </w:pPr>
      <w:rPr>
        <w:rFonts w:ascii="Symbol" w:hAnsi="Symbol" w:hint="default"/>
      </w:rPr>
    </w:lvl>
    <w:lvl w:ilvl="1" w:tplc="08090003" w:tentative="1">
      <w:start w:val="1"/>
      <w:numFmt w:val="bullet"/>
      <w:lvlText w:val="o"/>
      <w:lvlJc w:val="left"/>
      <w:pPr>
        <w:ind w:left="3612" w:hanging="360"/>
      </w:pPr>
      <w:rPr>
        <w:rFonts w:ascii="Courier New" w:hAnsi="Courier New" w:cs="Courier New" w:hint="default"/>
      </w:rPr>
    </w:lvl>
    <w:lvl w:ilvl="2" w:tplc="08090005" w:tentative="1">
      <w:start w:val="1"/>
      <w:numFmt w:val="bullet"/>
      <w:lvlText w:val=""/>
      <w:lvlJc w:val="left"/>
      <w:pPr>
        <w:ind w:left="4332" w:hanging="360"/>
      </w:pPr>
      <w:rPr>
        <w:rFonts w:ascii="Wingdings" w:hAnsi="Wingdings" w:hint="default"/>
      </w:rPr>
    </w:lvl>
    <w:lvl w:ilvl="3" w:tplc="08090001" w:tentative="1">
      <w:start w:val="1"/>
      <w:numFmt w:val="bullet"/>
      <w:lvlText w:val=""/>
      <w:lvlJc w:val="left"/>
      <w:pPr>
        <w:ind w:left="5052" w:hanging="360"/>
      </w:pPr>
      <w:rPr>
        <w:rFonts w:ascii="Symbol" w:hAnsi="Symbol" w:hint="default"/>
      </w:rPr>
    </w:lvl>
    <w:lvl w:ilvl="4" w:tplc="08090003" w:tentative="1">
      <w:start w:val="1"/>
      <w:numFmt w:val="bullet"/>
      <w:lvlText w:val="o"/>
      <w:lvlJc w:val="left"/>
      <w:pPr>
        <w:ind w:left="5772" w:hanging="360"/>
      </w:pPr>
      <w:rPr>
        <w:rFonts w:ascii="Courier New" w:hAnsi="Courier New" w:cs="Courier New" w:hint="default"/>
      </w:rPr>
    </w:lvl>
    <w:lvl w:ilvl="5" w:tplc="08090005" w:tentative="1">
      <w:start w:val="1"/>
      <w:numFmt w:val="bullet"/>
      <w:lvlText w:val=""/>
      <w:lvlJc w:val="left"/>
      <w:pPr>
        <w:ind w:left="6492" w:hanging="360"/>
      </w:pPr>
      <w:rPr>
        <w:rFonts w:ascii="Wingdings" w:hAnsi="Wingdings" w:hint="default"/>
      </w:rPr>
    </w:lvl>
    <w:lvl w:ilvl="6" w:tplc="08090001" w:tentative="1">
      <w:start w:val="1"/>
      <w:numFmt w:val="bullet"/>
      <w:lvlText w:val=""/>
      <w:lvlJc w:val="left"/>
      <w:pPr>
        <w:ind w:left="7212" w:hanging="360"/>
      </w:pPr>
      <w:rPr>
        <w:rFonts w:ascii="Symbol" w:hAnsi="Symbol" w:hint="default"/>
      </w:rPr>
    </w:lvl>
    <w:lvl w:ilvl="7" w:tplc="08090003" w:tentative="1">
      <w:start w:val="1"/>
      <w:numFmt w:val="bullet"/>
      <w:lvlText w:val="o"/>
      <w:lvlJc w:val="left"/>
      <w:pPr>
        <w:ind w:left="7932" w:hanging="360"/>
      </w:pPr>
      <w:rPr>
        <w:rFonts w:ascii="Courier New" w:hAnsi="Courier New" w:cs="Courier New" w:hint="default"/>
      </w:rPr>
    </w:lvl>
    <w:lvl w:ilvl="8" w:tplc="08090005" w:tentative="1">
      <w:start w:val="1"/>
      <w:numFmt w:val="bullet"/>
      <w:lvlText w:val=""/>
      <w:lvlJc w:val="left"/>
      <w:pPr>
        <w:ind w:left="8652" w:hanging="360"/>
      </w:pPr>
      <w:rPr>
        <w:rFonts w:ascii="Wingdings" w:hAnsi="Wingdings" w:hint="default"/>
      </w:rPr>
    </w:lvl>
  </w:abstractNum>
  <w:abstractNum w:abstractNumId="5" w15:restartNumberingAfterBreak="0">
    <w:nsid w:val="1F50667D"/>
    <w:multiLevelType w:val="multilevel"/>
    <w:tmpl w:val="10F861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F3A8F"/>
    <w:multiLevelType w:val="hybridMultilevel"/>
    <w:tmpl w:val="5B64A6AA"/>
    <w:lvl w:ilvl="0" w:tplc="081A1F20">
      <w:start w:val="1"/>
      <w:numFmt w:val="decimal"/>
      <w:pStyle w:val="Heading1PC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157F2"/>
    <w:multiLevelType w:val="multilevel"/>
    <w:tmpl w:val="5DEED30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3E52B0"/>
    <w:multiLevelType w:val="hybridMultilevel"/>
    <w:tmpl w:val="E78A52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293C2B84"/>
    <w:multiLevelType w:val="multilevel"/>
    <w:tmpl w:val="F1865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1E72AF"/>
    <w:multiLevelType w:val="multilevel"/>
    <w:tmpl w:val="E01652F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271865"/>
    <w:multiLevelType w:val="hybridMultilevel"/>
    <w:tmpl w:val="2CF8928C"/>
    <w:lvl w:ilvl="0" w:tplc="A91E73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679E3"/>
    <w:multiLevelType w:val="multilevel"/>
    <w:tmpl w:val="72360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C39AD"/>
    <w:multiLevelType w:val="hybridMultilevel"/>
    <w:tmpl w:val="ABAC6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812DBA"/>
    <w:multiLevelType w:val="hybridMultilevel"/>
    <w:tmpl w:val="A78E5B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C0A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282EC5"/>
    <w:multiLevelType w:val="hybridMultilevel"/>
    <w:tmpl w:val="E7B6B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F2575"/>
    <w:multiLevelType w:val="multilevel"/>
    <w:tmpl w:val="5394C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217758"/>
    <w:multiLevelType w:val="multilevel"/>
    <w:tmpl w:val="6150B9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417EA9"/>
    <w:multiLevelType w:val="multilevel"/>
    <w:tmpl w:val="75245A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875479E"/>
    <w:multiLevelType w:val="multilevel"/>
    <w:tmpl w:val="66763C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B41E5B"/>
    <w:multiLevelType w:val="multilevel"/>
    <w:tmpl w:val="FA1A7754"/>
    <w:lvl w:ilvl="0">
      <w:start w:val="3"/>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BDD0423"/>
    <w:multiLevelType w:val="hybridMultilevel"/>
    <w:tmpl w:val="ABB0271E"/>
    <w:lvl w:ilvl="0" w:tplc="75080E94">
      <w:start w:val="1"/>
      <w:numFmt w:val="decimal"/>
      <w:lvlText w:val="%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0DD43F9"/>
    <w:multiLevelType w:val="multilevel"/>
    <w:tmpl w:val="C7243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87159F"/>
    <w:multiLevelType w:val="multilevel"/>
    <w:tmpl w:val="6BB46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3640B1"/>
    <w:multiLevelType w:val="multilevel"/>
    <w:tmpl w:val="04A0B6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083C3D"/>
    <w:multiLevelType w:val="multilevel"/>
    <w:tmpl w:val="157234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C926761"/>
    <w:multiLevelType w:val="multilevel"/>
    <w:tmpl w:val="70503972"/>
    <w:lvl w:ilvl="0">
      <w:start w:val="5"/>
      <w:numFmt w:val="decimal"/>
      <w:lvlText w:val="%1."/>
      <w:lvlJc w:val="left"/>
      <w:pPr>
        <w:ind w:left="720" w:hanging="360"/>
      </w:pPr>
      <w:rPr>
        <w:rFonts w:hint="default"/>
        <w:color w:val="0B0C0C"/>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BC622E"/>
    <w:multiLevelType w:val="hybridMultilevel"/>
    <w:tmpl w:val="842E6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315C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E42533"/>
    <w:multiLevelType w:val="multilevel"/>
    <w:tmpl w:val="0A6AE2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D4175"/>
    <w:multiLevelType w:val="hybridMultilevel"/>
    <w:tmpl w:val="F03A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C4A3F"/>
    <w:multiLevelType w:val="multilevel"/>
    <w:tmpl w:val="FF90D36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4B21EE3"/>
    <w:multiLevelType w:val="hybridMultilevel"/>
    <w:tmpl w:val="3F04EE5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4" w15:restartNumberingAfterBreak="0">
    <w:nsid w:val="776B1F4F"/>
    <w:multiLevelType w:val="multilevel"/>
    <w:tmpl w:val="112E568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8A23F9"/>
    <w:multiLevelType w:val="multilevel"/>
    <w:tmpl w:val="112E568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88D7DE8"/>
    <w:multiLevelType w:val="multilevel"/>
    <w:tmpl w:val="134C9E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A04D93"/>
    <w:multiLevelType w:val="multilevel"/>
    <w:tmpl w:val="6DAE16B6"/>
    <w:lvl w:ilvl="0">
      <w:start w:val="2"/>
      <w:numFmt w:val="decimal"/>
      <w:lvlText w:val="%1"/>
      <w:lvlJc w:val="left"/>
      <w:pPr>
        <w:ind w:left="360" w:hanging="360"/>
      </w:pPr>
      <w:rPr>
        <w:rFonts w:hint="default"/>
        <w:color w:val="auto"/>
        <w:sz w:val="24"/>
      </w:rPr>
    </w:lvl>
    <w:lvl w:ilvl="1">
      <w:start w:val="1"/>
      <w:numFmt w:val="decimal"/>
      <w:lvlText w:val="%1.%2"/>
      <w:lvlJc w:val="left"/>
      <w:pPr>
        <w:ind w:left="786" w:hanging="360"/>
      </w:pPr>
      <w:rPr>
        <w:rFonts w:hint="default"/>
        <w:color w:val="auto"/>
        <w:sz w:val="24"/>
      </w:rPr>
    </w:lvl>
    <w:lvl w:ilvl="2">
      <w:start w:val="1"/>
      <w:numFmt w:val="decimal"/>
      <w:lvlText w:val="%1.%2.%3"/>
      <w:lvlJc w:val="left"/>
      <w:pPr>
        <w:ind w:left="1572" w:hanging="720"/>
      </w:pPr>
      <w:rPr>
        <w:rFonts w:hint="default"/>
        <w:color w:val="auto"/>
        <w:sz w:val="24"/>
      </w:rPr>
    </w:lvl>
    <w:lvl w:ilvl="3">
      <w:start w:val="1"/>
      <w:numFmt w:val="decimal"/>
      <w:lvlText w:val="%1.%2.%3.%4"/>
      <w:lvlJc w:val="left"/>
      <w:pPr>
        <w:ind w:left="1998" w:hanging="720"/>
      </w:pPr>
      <w:rPr>
        <w:rFonts w:hint="default"/>
        <w:color w:val="auto"/>
        <w:sz w:val="24"/>
      </w:rPr>
    </w:lvl>
    <w:lvl w:ilvl="4">
      <w:start w:val="1"/>
      <w:numFmt w:val="decimal"/>
      <w:lvlText w:val="%1.%2.%3.%4.%5"/>
      <w:lvlJc w:val="left"/>
      <w:pPr>
        <w:ind w:left="2784" w:hanging="1080"/>
      </w:pPr>
      <w:rPr>
        <w:rFonts w:hint="default"/>
        <w:color w:val="auto"/>
        <w:sz w:val="24"/>
      </w:rPr>
    </w:lvl>
    <w:lvl w:ilvl="5">
      <w:start w:val="1"/>
      <w:numFmt w:val="decimal"/>
      <w:lvlText w:val="%1.%2.%3.%4.%5.%6"/>
      <w:lvlJc w:val="left"/>
      <w:pPr>
        <w:ind w:left="3210" w:hanging="1080"/>
      </w:pPr>
      <w:rPr>
        <w:rFonts w:hint="default"/>
        <w:color w:val="auto"/>
        <w:sz w:val="24"/>
      </w:rPr>
    </w:lvl>
    <w:lvl w:ilvl="6">
      <w:start w:val="1"/>
      <w:numFmt w:val="decimal"/>
      <w:lvlText w:val="%1.%2.%3.%4.%5.%6.%7"/>
      <w:lvlJc w:val="left"/>
      <w:pPr>
        <w:ind w:left="3996" w:hanging="1440"/>
      </w:pPr>
      <w:rPr>
        <w:rFonts w:hint="default"/>
        <w:color w:val="auto"/>
        <w:sz w:val="24"/>
      </w:rPr>
    </w:lvl>
    <w:lvl w:ilvl="7">
      <w:start w:val="1"/>
      <w:numFmt w:val="decimal"/>
      <w:lvlText w:val="%1.%2.%3.%4.%5.%6.%7.%8"/>
      <w:lvlJc w:val="left"/>
      <w:pPr>
        <w:ind w:left="4422" w:hanging="1440"/>
      </w:pPr>
      <w:rPr>
        <w:rFonts w:hint="default"/>
        <w:color w:val="auto"/>
        <w:sz w:val="24"/>
      </w:rPr>
    </w:lvl>
    <w:lvl w:ilvl="8">
      <w:start w:val="1"/>
      <w:numFmt w:val="decimal"/>
      <w:lvlText w:val="%1.%2.%3.%4.%5.%6.%7.%8.%9"/>
      <w:lvlJc w:val="left"/>
      <w:pPr>
        <w:ind w:left="5208" w:hanging="1800"/>
      </w:pPr>
      <w:rPr>
        <w:rFonts w:hint="default"/>
        <w:color w:val="auto"/>
        <w:sz w:val="24"/>
      </w:rPr>
    </w:lvl>
  </w:abstractNum>
  <w:num w:numId="1" w16cid:durableId="570500563">
    <w:abstractNumId w:val="15"/>
  </w:num>
  <w:num w:numId="2" w16cid:durableId="2017805484">
    <w:abstractNumId w:val="6"/>
  </w:num>
  <w:num w:numId="3" w16cid:durableId="739058654">
    <w:abstractNumId w:val="11"/>
  </w:num>
  <w:num w:numId="4" w16cid:durableId="1135561685">
    <w:abstractNumId w:val="33"/>
  </w:num>
  <w:num w:numId="5" w16cid:durableId="1543246375">
    <w:abstractNumId w:val="30"/>
  </w:num>
  <w:num w:numId="6" w16cid:durableId="1848785729">
    <w:abstractNumId w:val="13"/>
  </w:num>
  <w:num w:numId="7" w16cid:durableId="1628975837">
    <w:abstractNumId w:val="28"/>
  </w:num>
  <w:num w:numId="8" w16cid:durableId="1930194749">
    <w:abstractNumId w:val="31"/>
  </w:num>
  <w:num w:numId="9" w16cid:durableId="18481554">
    <w:abstractNumId w:val="0"/>
  </w:num>
  <w:num w:numId="10" w16cid:durableId="462426269">
    <w:abstractNumId w:val="23"/>
  </w:num>
  <w:num w:numId="11" w16cid:durableId="519203576">
    <w:abstractNumId w:val="17"/>
  </w:num>
  <w:num w:numId="12" w16cid:durableId="32309488">
    <w:abstractNumId w:val="24"/>
  </w:num>
  <w:num w:numId="13" w16cid:durableId="1729065422">
    <w:abstractNumId w:val="12"/>
  </w:num>
  <w:num w:numId="14" w16cid:durableId="2051298765">
    <w:abstractNumId w:val="1"/>
  </w:num>
  <w:num w:numId="15" w16cid:durableId="2121414882">
    <w:abstractNumId w:val="32"/>
  </w:num>
  <w:num w:numId="16" w16cid:durableId="601958949">
    <w:abstractNumId w:val="9"/>
  </w:num>
  <w:num w:numId="17" w16cid:durableId="168832689">
    <w:abstractNumId w:val="2"/>
  </w:num>
  <w:num w:numId="18" w16cid:durableId="1830831342">
    <w:abstractNumId w:val="5"/>
  </w:num>
  <w:num w:numId="19" w16cid:durableId="772701405">
    <w:abstractNumId w:val="21"/>
  </w:num>
  <w:num w:numId="20" w16cid:durableId="882979641">
    <w:abstractNumId w:val="7"/>
  </w:num>
  <w:num w:numId="21" w16cid:durableId="439109944">
    <w:abstractNumId w:val="36"/>
  </w:num>
  <w:num w:numId="22" w16cid:durableId="2079202651">
    <w:abstractNumId w:val="14"/>
  </w:num>
  <w:num w:numId="23" w16cid:durableId="2052264733">
    <w:abstractNumId w:val="18"/>
  </w:num>
  <w:num w:numId="24" w16cid:durableId="782656901">
    <w:abstractNumId w:val="20"/>
  </w:num>
  <w:num w:numId="25" w16cid:durableId="785194336">
    <w:abstractNumId w:val="10"/>
  </w:num>
  <w:num w:numId="26" w16cid:durableId="549345211">
    <w:abstractNumId w:val="34"/>
  </w:num>
  <w:num w:numId="27" w16cid:durableId="1656520657">
    <w:abstractNumId w:val="37"/>
  </w:num>
  <w:num w:numId="28" w16cid:durableId="1674648311">
    <w:abstractNumId w:val="8"/>
  </w:num>
  <w:num w:numId="29" w16cid:durableId="281501866">
    <w:abstractNumId w:val="4"/>
  </w:num>
  <w:num w:numId="30" w16cid:durableId="848258495">
    <w:abstractNumId w:val="35"/>
  </w:num>
  <w:num w:numId="31" w16cid:durableId="1908224112">
    <w:abstractNumId w:val="27"/>
  </w:num>
  <w:num w:numId="32" w16cid:durableId="1601641315">
    <w:abstractNumId w:val="16"/>
  </w:num>
  <w:num w:numId="33" w16cid:durableId="1777942764">
    <w:abstractNumId w:val="25"/>
  </w:num>
  <w:num w:numId="34" w16cid:durableId="318920781">
    <w:abstractNumId w:val="22"/>
  </w:num>
  <w:num w:numId="35" w16cid:durableId="1262682567">
    <w:abstractNumId w:val="19"/>
  </w:num>
  <w:num w:numId="36" w16cid:durableId="1041439079">
    <w:abstractNumId w:val="3"/>
  </w:num>
  <w:num w:numId="37" w16cid:durableId="1125125613">
    <w:abstractNumId w:val="26"/>
  </w:num>
  <w:num w:numId="38" w16cid:durableId="10458361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4B"/>
    <w:rsid w:val="000038EF"/>
    <w:rsid w:val="00004E21"/>
    <w:rsid w:val="00005C41"/>
    <w:rsid w:val="000178E3"/>
    <w:rsid w:val="000327DD"/>
    <w:rsid w:val="00036F7A"/>
    <w:rsid w:val="000448FF"/>
    <w:rsid w:val="000459D8"/>
    <w:rsid w:val="00045CD9"/>
    <w:rsid w:val="00046CBB"/>
    <w:rsid w:val="00047098"/>
    <w:rsid w:val="0005172F"/>
    <w:rsid w:val="0005356C"/>
    <w:rsid w:val="00062C47"/>
    <w:rsid w:val="000637E0"/>
    <w:rsid w:val="000719CA"/>
    <w:rsid w:val="00071EDC"/>
    <w:rsid w:val="000862B2"/>
    <w:rsid w:val="00086924"/>
    <w:rsid w:val="000874F4"/>
    <w:rsid w:val="0009254C"/>
    <w:rsid w:val="000A2B6B"/>
    <w:rsid w:val="000A38B1"/>
    <w:rsid w:val="000A478A"/>
    <w:rsid w:val="000A4CB9"/>
    <w:rsid w:val="000A6EBB"/>
    <w:rsid w:val="000A7B56"/>
    <w:rsid w:val="000B2A54"/>
    <w:rsid w:val="000B788A"/>
    <w:rsid w:val="000C5557"/>
    <w:rsid w:val="000D21E3"/>
    <w:rsid w:val="000D3C96"/>
    <w:rsid w:val="000D6195"/>
    <w:rsid w:val="000E0484"/>
    <w:rsid w:val="000E5678"/>
    <w:rsid w:val="000E709D"/>
    <w:rsid w:val="000F104B"/>
    <w:rsid w:val="000F7678"/>
    <w:rsid w:val="00101710"/>
    <w:rsid w:val="001024C4"/>
    <w:rsid w:val="00104234"/>
    <w:rsid w:val="00105397"/>
    <w:rsid w:val="00106DD6"/>
    <w:rsid w:val="00125FA8"/>
    <w:rsid w:val="00126213"/>
    <w:rsid w:val="00140E2D"/>
    <w:rsid w:val="00141D6C"/>
    <w:rsid w:val="001437C8"/>
    <w:rsid w:val="0014419F"/>
    <w:rsid w:val="0014437A"/>
    <w:rsid w:val="00166485"/>
    <w:rsid w:val="00167E78"/>
    <w:rsid w:val="00172286"/>
    <w:rsid w:val="00174EF1"/>
    <w:rsid w:val="001822DE"/>
    <w:rsid w:val="00182793"/>
    <w:rsid w:val="00183EAD"/>
    <w:rsid w:val="0018466E"/>
    <w:rsid w:val="00185F3F"/>
    <w:rsid w:val="00186754"/>
    <w:rsid w:val="001A11B7"/>
    <w:rsid w:val="001A416A"/>
    <w:rsid w:val="001C3BFA"/>
    <w:rsid w:val="001C4FA4"/>
    <w:rsid w:val="001D2A9D"/>
    <w:rsid w:val="001D50A6"/>
    <w:rsid w:val="001E2E1C"/>
    <w:rsid w:val="001E6060"/>
    <w:rsid w:val="001F077A"/>
    <w:rsid w:val="001F0F65"/>
    <w:rsid w:val="001F0FD4"/>
    <w:rsid w:val="002044C6"/>
    <w:rsid w:val="002066A3"/>
    <w:rsid w:val="002146EC"/>
    <w:rsid w:val="0021620D"/>
    <w:rsid w:val="00221E10"/>
    <w:rsid w:val="00223027"/>
    <w:rsid w:val="00230853"/>
    <w:rsid w:val="0024205A"/>
    <w:rsid w:val="00246A04"/>
    <w:rsid w:val="00246E79"/>
    <w:rsid w:val="0025626B"/>
    <w:rsid w:val="00263C07"/>
    <w:rsid w:val="00264BD2"/>
    <w:rsid w:val="002650AE"/>
    <w:rsid w:val="00267BCD"/>
    <w:rsid w:val="00274E84"/>
    <w:rsid w:val="00280485"/>
    <w:rsid w:val="00280951"/>
    <w:rsid w:val="00294676"/>
    <w:rsid w:val="002A1D47"/>
    <w:rsid w:val="002A281F"/>
    <w:rsid w:val="002A3B3A"/>
    <w:rsid w:val="002B0B2E"/>
    <w:rsid w:val="002B376C"/>
    <w:rsid w:val="002B4095"/>
    <w:rsid w:val="002C0DB4"/>
    <w:rsid w:val="002C0F00"/>
    <w:rsid w:val="002D1A8F"/>
    <w:rsid w:val="002E304C"/>
    <w:rsid w:val="002E305E"/>
    <w:rsid w:val="002E50B1"/>
    <w:rsid w:val="002F5E64"/>
    <w:rsid w:val="003013F2"/>
    <w:rsid w:val="0030657F"/>
    <w:rsid w:val="00310525"/>
    <w:rsid w:val="00310CE9"/>
    <w:rsid w:val="00314906"/>
    <w:rsid w:val="003222F4"/>
    <w:rsid w:val="00330208"/>
    <w:rsid w:val="00332E0F"/>
    <w:rsid w:val="00346005"/>
    <w:rsid w:val="00346613"/>
    <w:rsid w:val="003525E5"/>
    <w:rsid w:val="003527CE"/>
    <w:rsid w:val="003617FD"/>
    <w:rsid w:val="00364971"/>
    <w:rsid w:val="00365E82"/>
    <w:rsid w:val="00370B9A"/>
    <w:rsid w:val="00371DDA"/>
    <w:rsid w:val="00375AC1"/>
    <w:rsid w:val="00377648"/>
    <w:rsid w:val="00377817"/>
    <w:rsid w:val="00382F27"/>
    <w:rsid w:val="003851BC"/>
    <w:rsid w:val="0038522B"/>
    <w:rsid w:val="00390C97"/>
    <w:rsid w:val="00395626"/>
    <w:rsid w:val="003A0848"/>
    <w:rsid w:val="003A5F04"/>
    <w:rsid w:val="003A63C9"/>
    <w:rsid w:val="003B582D"/>
    <w:rsid w:val="003B7B18"/>
    <w:rsid w:val="003C06C4"/>
    <w:rsid w:val="003C2E49"/>
    <w:rsid w:val="003C3E16"/>
    <w:rsid w:val="003C5214"/>
    <w:rsid w:val="003D5AF9"/>
    <w:rsid w:val="003E00CE"/>
    <w:rsid w:val="003E4880"/>
    <w:rsid w:val="003F3324"/>
    <w:rsid w:val="00406C8B"/>
    <w:rsid w:val="00407D61"/>
    <w:rsid w:val="004124C1"/>
    <w:rsid w:val="00421CA7"/>
    <w:rsid w:val="00426410"/>
    <w:rsid w:val="00426A51"/>
    <w:rsid w:val="0042727F"/>
    <w:rsid w:val="004339B9"/>
    <w:rsid w:val="0044658D"/>
    <w:rsid w:val="00450A83"/>
    <w:rsid w:val="00462B88"/>
    <w:rsid w:val="0046520F"/>
    <w:rsid w:val="00467E51"/>
    <w:rsid w:val="00471E90"/>
    <w:rsid w:val="00472085"/>
    <w:rsid w:val="00473321"/>
    <w:rsid w:val="004776F1"/>
    <w:rsid w:val="004818A7"/>
    <w:rsid w:val="0048608F"/>
    <w:rsid w:val="0048772F"/>
    <w:rsid w:val="00494CFE"/>
    <w:rsid w:val="004B1291"/>
    <w:rsid w:val="004B1D37"/>
    <w:rsid w:val="004B3EFA"/>
    <w:rsid w:val="004B4593"/>
    <w:rsid w:val="004B4EDB"/>
    <w:rsid w:val="004B64AD"/>
    <w:rsid w:val="004B6BAE"/>
    <w:rsid w:val="004C15EC"/>
    <w:rsid w:val="004C3EA4"/>
    <w:rsid w:val="004C4129"/>
    <w:rsid w:val="004C57D4"/>
    <w:rsid w:val="004D0B77"/>
    <w:rsid w:val="004E2C4C"/>
    <w:rsid w:val="004E56BA"/>
    <w:rsid w:val="004E7880"/>
    <w:rsid w:val="004F0D08"/>
    <w:rsid w:val="004F17BD"/>
    <w:rsid w:val="004F6246"/>
    <w:rsid w:val="00501598"/>
    <w:rsid w:val="005037EA"/>
    <w:rsid w:val="00503A2F"/>
    <w:rsid w:val="005047A1"/>
    <w:rsid w:val="00507275"/>
    <w:rsid w:val="00507EA5"/>
    <w:rsid w:val="005169BD"/>
    <w:rsid w:val="00522816"/>
    <w:rsid w:val="00535245"/>
    <w:rsid w:val="005429B6"/>
    <w:rsid w:val="0054350E"/>
    <w:rsid w:val="005467CA"/>
    <w:rsid w:val="00551D59"/>
    <w:rsid w:val="00555347"/>
    <w:rsid w:val="00555D57"/>
    <w:rsid w:val="00556056"/>
    <w:rsid w:val="00561459"/>
    <w:rsid w:val="00561865"/>
    <w:rsid w:val="0056705A"/>
    <w:rsid w:val="00574977"/>
    <w:rsid w:val="005759AF"/>
    <w:rsid w:val="00575B01"/>
    <w:rsid w:val="00576486"/>
    <w:rsid w:val="005816F3"/>
    <w:rsid w:val="00585FF3"/>
    <w:rsid w:val="00590087"/>
    <w:rsid w:val="0059057C"/>
    <w:rsid w:val="0059183B"/>
    <w:rsid w:val="00593C7C"/>
    <w:rsid w:val="005A0AB5"/>
    <w:rsid w:val="005A0BC3"/>
    <w:rsid w:val="005A5E88"/>
    <w:rsid w:val="005A6E9D"/>
    <w:rsid w:val="005B07C9"/>
    <w:rsid w:val="005B483B"/>
    <w:rsid w:val="005C0CBB"/>
    <w:rsid w:val="005C1DF8"/>
    <w:rsid w:val="005C4749"/>
    <w:rsid w:val="005D22A1"/>
    <w:rsid w:val="005D7533"/>
    <w:rsid w:val="005D76CA"/>
    <w:rsid w:val="005E1D2F"/>
    <w:rsid w:val="005F0090"/>
    <w:rsid w:val="006000E6"/>
    <w:rsid w:val="0060083B"/>
    <w:rsid w:val="006067D4"/>
    <w:rsid w:val="00607747"/>
    <w:rsid w:val="00625A02"/>
    <w:rsid w:val="00626C99"/>
    <w:rsid w:val="00631909"/>
    <w:rsid w:val="00631C20"/>
    <w:rsid w:val="00632C5E"/>
    <w:rsid w:val="00641AF7"/>
    <w:rsid w:val="0065708E"/>
    <w:rsid w:val="00657A93"/>
    <w:rsid w:val="0066104A"/>
    <w:rsid w:val="00662A5A"/>
    <w:rsid w:val="00662ABD"/>
    <w:rsid w:val="006717EC"/>
    <w:rsid w:val="00676146"/>
    <w:rsid w:val="0068709B"/>
    <w:rsid w:val="00690DCC"/>
    <w:rsid w:val="00695894"/>
    <w:rsid w:val="00695B4D"/>
    <w:rsid w:val="006A027A"/>
    <w:rsid w:val="006A0D5D"/>
    <w:rsid w:val="006A1AD1"/>
    <w:rsid w:val="006A30AB"/>
    <w:rsid w:val="006B0BDE"/>
    <w:rsid w:val="006B47DD"/>
    <w:rsid w:val="006C6865"/>
    <w:rsid w:val="006D3869"/>
    <w:rsid w:val="006D5572"/>
    <w:rsid w:val="006D6791"/>
    <w:rsid w:val="006D6938"/>
    <w:rsid w:val="006E2338"/>
    <w:rsid w:val="006F0EE5"/>
    <w:rsid w:val="006F3D39"/>
    <w:rsid w:val="006F3EDF"/>
    <w:rsid w:val="0070462F"/>
    <w:rsid w:val="00706CC7"/>
    <w:rsid w:val="00712A1F"/>
    <w:rsid w:val="007172C1"/>
    <w:rsid w:val="007263F5"/>
    <w:rsid w:val="007303D5"/>
    <w:rsid w:val="00731D80"/>
    <w:rsid w:val="00733874"/>
    <w:rsid w:val="00735271"/>
    <w:rsid w:val="007363E1"/>
    <w:rsid w:val="00740F94"/>
    <w:rsid w:val="007465B3"/>
    <w:rsid w:val="00746D71"/>
    <w:rsid w:val="0075081F"/>
    <w:rsid w:val="0075196E"/>
    <w:rsid w:val="007540FC"/>
    <w:rsid w:val="00755E19"/>
    <w:rsid w:val="007620B8"/>
    <w:rsid w:val="00763275"/>
    <w:rsid w:val="0076532B"/>
    <w:rsid w:val="00766225"/>
    <w:rsid w:val="00777376"/>
    <w:rsid w:val="0078579D"/>
    <w:rsid w:val="007B02B2"/>
    <w:rsid w:val="007B114B"/>
    <w:rsid w:val="007B2ED6"/>
    <w:rsid w:val="007C373C"/>
    <w:rsid w:val="007C6522"/>
    <w:rsid w:val="007D11A4"/>
    <w:rsid w:val="007D1778"/>
    <w:rsid w:val="007E0F1D"/>
    <w:rsid w:val="007E1124"/>
    <w:rsid w:val="007E3F9A"/>
    <w:rsid w:val="007F7F13"/>
    <w:rsid w:val="008060F1"/>
    <w:rsid w:val="00811319"/>
    <w:rsid w:val="00813590"/>
    <w:rsid w:val="00822C16"/>
    <w:rsid w:val="00823C52"/>
    <w:rsid w:val="00824CE0"/>
    <w:rsid w:val="008272CD"/>
    <w:rsid w:val="00827425"/>
    <w:rsid w:val="00837C09"/>
    <w:rsid w:val="00843E5B"/>
    <w:rsid w:val="00853BC2"/>
    <w:rsid w:val="00862867"/>
    <w:rsid w:val="00865C65"/>
    <w:rsid w:val="00866CCB"/>
    <w:rsid w:val="008734FA"/>
    <w:rsid w:val="008755FF"/>
    <w:rsid w:val="008919A8"/>
    <w:rsid w:val="008A0319"/>
    <w:rsid w:val="008A25E3"/>
    <w:rsid w:val="008B7F5E"/>
    <w:rsid w:val="008C04E6"/>
    <w:rsid w:val="008D00DC"/>
    <w:rsid w:val="008D3B1A"/>
    <w:rsid w:val="008D4266"/>
    <w:rsid w:val="008D7CC7"/>
    <w:rsid w:val="008D7E91"/>
    <w:rsid w:val="008E00A4"/>
    <w:rsid w:val="008E0809"/>
    <w:rsid w:val="008E7ED2"/>
    <w:rsid w:val="008F00FC"/>
    <w:rsid w:val="008F043C"/>
    <w:rsid w:val="009033E3"/>
    <w:rsid w:val="00904CA6"/>
    <w:rsid w:val="00913F9D"/>
    <w:rsid w:val="009144D8"/>
    <w:rsid w:val="0092575D"/>
    <w:rsid w:val="00927512"/>
    <w:rsid w:val="00933C46"/>
    <w:rsid w:val="009440CB"/>
    <w:rsid w:val="009468E6"/>
    <w:rsid w:val="009568C5"/>
    <w:rsid w:val="00961714"/>
    <w:rsid w:val="009634B8"/>
    <w:rsid w:val="00970AAE"/>
    <w:rsid w:val="00976765"/>
    <w:rsid w:val="0097687A"/>
    <w:rsid w:val="009835B8"/>
    <w:rsid w:val="009857F4"/>
    <w:rsid w:val="009862AA"/>
    <w:rsid w:val="00986648"/>
    <w:rsid w:val="0099175A"/>
    <w:rsid w:val="00992390"/>
    <w:rsid w:val="00993F73"/>
    <w:rsid w:val="009A2D2B"/>
    <w:rsid w:val="009A582F"/>
    <w:rsid w:val="009A65F2"/>
    <w:rsid w:val="009A761A"/>
    <w:rsid w:val="009B1073"/>
    <w:rsid w:val="009B1B57"/>
    <w:rsid w:val="009B5665"/>
    <w:rsid w:val="009C0DC3"/>
    <w:rsid w:val="009C2EE1"/>
    <w:rsid w:val="009C7C54"/>
    <w:rsid w:val="009D4C72"/>
    <w:rsid w:val="009E69AF"/>
    <w:rsid w:val="009F19FB"/>
    <w:rsid w:val="009F262E"/>
    <w:rsid w:val="009F7F01"/>
    <w:rsid w:val="00A0210D"/>
    <w:rsid w:val="00A07C85"/>
    <w:rsid w:val="00A11BC7"/>
    <w:rsid w:val="00A15A79"/>
    <w:rsid w:val="00A25947"/>
    <w:rsid w:val="00A25B84"/>
    <w:rsid w:val="00A273CE"/>
    <w:rsid w:val="00A319C6"/>
    <w:rsid w:val="00A339F5"/>
    <w:rsid w:val="00A370AC"/>
    <w:rsid w:val="00A41979"/>
    <w:rsid w:val="00A4534F"/>
    <w:rsid w:val="00A531EC"/>
    <w:rsid w:val="00A53E77"/>
    <w:rsid w:val="00A55558"/>
    <w:rsid w:val="00A5629D"/>
    <w:rsid w:val="00A5710D"/>
    <w:rsid w:val="00A60E29"/>
    <w:rsid w:val="00A65B88"/>
    <w:rsid w:val="00A66A48"/>
    <w:rsid w:val="00A70646"/>
    <w:rsid w:val="00A71E79"/>
    <w:rsid w:val="00A7538B"/>
    <w:rsid w:val="00A9216F"/>
    <w:rsid w:val="00A929D5"/>
    <w:rsid w:val="00A95F0B"/>
    <w:rsid w:val="00AA0C1A"/>
    <w:rsid w:val="00AC2DE4"/>
    <w:rsid w:val="00AC2ECF"/>
    <w:rsid w:val="00AD0639"/>
    <w:rsid w:val="00AD255E"/>
    <w:rsid w:val="00AD393B"/>
    <w:rsid w:val="00AD5942"/>
    <w:rsid w:val="00AD6289"/>
    <w:rsid w:val="00AE3F48"/>
    <w:rsid w:val="00AF1A81"/>
    <w:rsid w:val="00AF70CF"/>
    <w:rsid w:val="00B11099"/>
    <w:rsid w:val="00B159C7"/>
    <w:rsid w:val="00B21B98"/>
    <w:rsid w:val="00B276B6"/>
    <w:rsid w:val="00B30E82"/>
    <w:rsid w:val="00B414E3"/>
    <w:rsid w:val="00B44030"/>
    <w:rsid w:val="00B4473E"/>
    <w:rsid w:val="00B4672E"/>
    <w:rsid w:val="00B52CE1"/>
    <w:rsid w:val="00B55848"/>
    <w:rsid w:val="00B60519"/>
    <w:rsid w:val="00B62A50"/>
    <w:rsid w:val="00B70017"/>
    <w:rsid w:val="00B71862"/>
    <w:rsid w:val="00B721FA"/>
    <w:rsid w:val="00B80AA5"/>
    <w:rsid w:val="00BA5D05"/>
    <w:rsid w:val="00BA71A3"/>
    <w:rsid w:val="00BA7532"/>
    <w:rsid w:val="00BB186D"/>
    <w:rsid w:val="00BB3459"/>
    <w:rsid w:val="00BC7F98"/>
    <w:rsid w:val="00BD072A"/>
    <w:rsid w:val="00BD4481"/>
    <w:rsid w:val="00BD55C7"/>
    <w:rsid w:val="00BD66B0"/>
    <w:rsid w:val="00BE6B9D"/>
    <w:rsid w:val="00BF4E4C"/>
    <w:rsid w:val="00C00804"/>
    <w:rsid w:val="00C02BDB"/>
    <w:rsid w:val="00C07C16"/>
    <w:rsid w:val="00C13840"/>
    <w:rsid w:val="00C200AF"/>
    <w:rsid w:val="00C20F9A"/>
    <w:rsid w:val="00C253CF"/>
    <w:rsid w:val="00C2680C"/>
    <w:rsid w:val="00C26AE1"/>
    <w:rsid w:val="00C3571A"/>
    <w:rsid w:val="00C37C3D"/>
    <w:rsid w:val="00C405C2"/>
    <w:rsid w:val="00C407FB"/>
    <w:rsid w:val="00C4586A"/>
    <w:rsid w:val="00C5111E"/>
    <w:rsid w:val="00C52FBE"/>
    <w:rsid w:val="00C622B4"/>
    <w:rsid w:val="00C64A4A"/>
    <w:rsid w:val="00C74A63"/>
    <w:rsid w:val="00C77BB6"/>
    <w:rsid w:val="00C805F6"/>
    <w:rsid w:val="00C922FA"/>
    <w:rsid w:val="00C92906"/>
    <w:rsid w:val="00C93D23"/>
    <w:rsid w:val="00C95313"/>
    <w:rsid w:val="00CA0305"/>
    <w:rsid w:val="00CA2B8B"/>
    <w:rsid w:val="00CA3A8F"/>
    <w:rsid w:val="00CA5F5E"/>
    <w:rsid w:val="00CA6841"/>
    <w:rsid w:val="00CB2D55"/>
    <w:rsid w:val="00CB456A"/>
    <w:rsid w:val="00CC0ECB"/>
    <w:rsid w:val="00CC37A2"/>
    <w:rsid w:val="00CC4310"/>
    <w:rsid w:val="00CD0059"/>
    <w:rsid w:val="00CD06B4"/>
    <w:rsid w:val="00CD1256"/>
    <w:rsid w:val="00CD3778"/>
    <w:rsid w:val="00CD4956"/>
    <w:rsid w:val="00CE7999"/>
    <w:rsid w:val="00CF27C6"/>
    <w:rsid w:val="00CF4025"/>
    <w:rsid w:val="00D02EEF"/>
    <w:rsid w:val="00D11656"/>
    <w:rsid w:val="00D12055"/>
    <w:rsid w:val="00D16280"/>
    <w:rsid w:val="00D16AAB"/>
    <w:rsid w:val="00D1737B"/>
    <w:rsid w:val="00D23708"/>
    <w:rsid w:val="00D2563A"/>
    <w:rsid w:val="00D25E7F"/>
    <w:rsid w:val="00D2610E"/>
    <w:rsid w:val="00D30DD7"/>
    <w:rsid w:val="00D31EA9"/>
    <w:rsid w:val="00D358B5"/>
    <w:rsid w:val="00D37CCA"/>
    <w:rsid w:val="00D54B87"/>
    <w:rsid w:val="00D55689"/>
    <w:rsid w:val="00D557E0"/>
    <w:rsid w:val="00D57D6E"/>
    <w:rsid w:val="00D612E4"/>
    <w:rsid w:val="00D61E15"/>
    <w:rsid w:val="00D70851"/>
    <w:rsid w:val="00D709B9"/>
    <w:rsid w:val="00D71839"/>
    <w:rsid w:val="00D75A6A"/>
    <w:rsid w:val="00D776B8"/>
    <w:rsid w:val="00D8411D"/>
    <w:rsid w:val="00D916C4"/>
    <w:rsid w:val="00D944D6"/>
    <w:rsid w:val="00D96FD4"/>
    <w:rsid w:val="00DA205E"/>
    <w:rsid w:val="00DA26DC"/>
    <w:rsid w:val="00DA4908"/>
    <w:rsid w:val="00DA57C6"/>
    <w:rsid w:val="00DB02F4"/>
    <w:rsid w:val="00DB6C4F"/>
    <w:rsid w:val="00DB6DC6"/>
    <w:rsid w:val="00DE0FC6"/>
    <w:rsid w:val="00DE4676"/>
    <w:rsid w:val="00DE526E"/>
    <w:rsid w:val="00DE57FE"/>
    <w:rsid w:val="00DE5A65"/>
    <w:rsid w:val="00DE6131"/>
    <w:rsid w:val="00DE71A6"/>
    <w:rsid w:val="00DF4618"/>
    <w:rsid w:val="00E00136"/>
    <w:rsid w:val="00E002BC"/>
    <w:rsid w:val="00E02C58"/>
    <w:rsid w:val="00E053B4"/>
    <w:rsid w:val="00E110E5"/>
    <w:rsid w:val="00E13358"/>
    <w:rsid w:val="00E20AD9"/>
    <w:rsid w:val="00E233E9"/>
    <w:rsid w:val="00E255E6"/>
    <w:rsid w:val="00E3665B"/>
    <w:rsid w:val="00E40967"/>
    <w:rsid w:val="00E42253"/>
    <w:rsid w:val="00E44854"/>
    <w:rsid w:val="00E45956"/>
    <w:rsid w:val="00E474FA"/>
    <w:rsid w:val="00E51700"/>
    <w:rsid w:val="00E52639"/>
    <w:rsid w:val="00E52828"/>
    <w:rsid w:val="00E5540A"/>
    <w:rsid w:val="00E55643"/>
    <w:rsid w:val="00E55974"/>
    <w:rsid w:val="00E63253"/>
    <w:rsid w:val="00E725F2"/>
    <w:rsid w:val="00E76B13"/>
    <w:rsid w:val="00E85375"/>
    <w:rsid w:val="00E9097A"/>
    <w:rsid w:val="00E90D36"/>
    <w:rsid w:val="00E932ED"/>
    <w:rsid w:val="00E97990"/>
    <w:rsid w:val="00EB1921"/>
    <w:rsid w:val="00EB1A89"/>
    <w:rsid w:val="00EB5DEE"/>
    <w:rsid w:val="00EC11B5"/>
    <w:rsid w:val="00EC290A"/>
    <w:rsid w:val="00ED2789"/>
    <w:rsid w:val="00EE37B0"/>
    <w:rsid w:val="00EE6466"/>
    <w:rsid w:val="00EE6D52"/>
    <w:rsid w:val="00EF3D5B"/>
    <w:rsid w:val="00F03816"/>
    <w:rsid w:val="00F11D4A"/>
    <w:rsid w:val="00F206EE"/>
    <w:rsid w:val="00F21089"/>
    <w:rsid w:val="00F334F6"/>
    <w:rsid w:val="00F4590D"/>
    <w:rsid w:val="00F66467"/>
    <w:rsid w:val="00F67900"/>
    <w:rsid w:val="00F74388"/>
    <w:rsid w:val="00F80F21"/>
    <w:rsid w:val="00F821C4"/>
    <w:rsid w:val="00F9249C"/>
    <w:rsid w:val="00FA028F"/>
    <w:rsid w:val="00FA2EC6"/>
    <w:rsid w:val="00FA7868"/>
    <w:rsid w:val="00FB4EA7"/>
    <w:rsid w:val="00FB7A98"/>
    <w:rsid w:val="00FB7D08"/>
    <w:rsid w:val="00FC55B6"/>
    <w:rsid w:val="00FC6F0C"/>
    <w:rsid w:val="00FD4099"/>
    <w:rsid w:val="00FD6C4A"/>
    <w:rsid w:val="00FE2541"/>
    <w:rsid w:val="00FE5476"/>
    <w:rsid w:val="00FE59F1"/>
    <w:rsid w:val="00FF3DAB"/>
    <w:rsid w:val="00FF664B"/>
    <w:rsid w:val="00FF6EE7"/>
    <w:rsid w:val="29028FE8"/>
    <w:rsid w:val="558FF7E1"/>
    <w:rsid w:val="7F7784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2A53"/>
  <w15:chartTrackingRefBased/>
  <w15:docId w15:val="{8B620E06-2851-4C12-BCAA-CAE5578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C15EC"/>
    <w:pPr>
      <w:keepNext/>
      <w:keepLines/>
      <w:spacing w:after="0"/>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4B"/>
    <w:pPr>
      <w:ind w:left="720"/>
      <w:contextualSpacing/>
    </w:pPr>
  </w:style>
  <w:style w:type="paragraph" w:styleId="FootnoteText">
    <w:name w:val="footnote text"/>
    <w:basedOn w:val="Normal"/>
    <w:link w:val="FootnoteTextChar"/>
    <w:uiPriority w:val="99"/>
    <w:semiHidden/>
    <w:unhideWhenUsed/>
    <w:rsid w:val="000F104B"/>
    <w:pPr>
      <w:widowControl w:val="0"/>
      <w:spacing w:after="0" w:line="240" w:lineRule="auto"/>
      <w:ind w:left="924" w:hanging="567"/>
    </w:pPr>
    <w:rPr>
      <w:rFonts w:ascii="Arial" w:hAnsi="Arial"/>
      <w:sz w:val="20"/>
      <w:szCs w:val="20"/>
    </w:rPr>
  </w:style>
  <w:style w:type="character" w:customStyle="1" w:styleId="FootnoteTextChar">
    <w:name w:val="Footnote Text Char"/>
    <w:basedOn w:val="DefaultParagraphFont"/>
    <w:link w:val="FootnoteText"/>
    <w:uiPriority w:val="99"/>
    <w:semiHidden/>
    <w:rsid w:val="000F104B"/>
    <w:rPr>
      <w:rFonts w:ascii="Arial" w:hAnsi="Arial"/>
      <w:sz w:val="20"/>
      <w:szCs w:val="20"/>
    </w:rPr>
  </w:style>
  <w:style w:type="paragraph" w:customStyle="1" w:styleId="Heading1PCC">
    <w:name w:val="Heading 1 PCC"/>
    <w:basedOn w:val="Normal"/>
    <w:qFormat/>
    <w:rsid w:val="000F104B"/>
    <w:pPr>
      <w:widowControl w:val="0"/>
      <w:numPr>
        <w:numId w:val="2"/>
      </w:numPr>
      <w:spacing w:after="120"/>
    </w:pPr>
    <w:rPr>
      <w:rFonts w:ascii="Arial" w:hAnsi="Arial" w:cs="Arial"/>
      <w:b/>
      <w:bCs/>
      <w:sz w:val="24"/>
      <w:szCs w:val="24"/>
    </w:rPr>
  </w:style>
  <w:style w:type="table" w:styleId="TableGrid">
    <w:name w:val="Table Grid"/>
    <w:basedOn w:val="TableNormal"/>
    <w:uiPriority w:val="39"/>
    <w:rsid w:val="000F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4B"/>
    <w:rPr>
      <w:color w:val="0563C1" w:themeColor="hyperlink"/>
      <w:u w:val="single"/>
    </w:rPr>
  </w:style>
  <w:style w:type="character" w:styleId="UnresolvedMention">
    <w:name w:val="Unresolved Mention"/>
    <w:basedOn w:val="DefaultParagraphFont"/>
    <w:uiPriority w:val="99"/>
    <w:semiHidden/>
    <w:unhideWhenUsed/>
    <w:rsid w:val="000F104B"/>
    <w:rPr>
      <w:color w:val="605E5C"/>
      <w:shd w:val="clear" w:color="auto" w:fill="E1DFDD"/>
    </w:rPr>
  </w:style>
  <w:style w:type="character" w:styleId="FootnoteReference">
    <w:name w:val="footnote reference"/>
    <w:basedOn w:val="DefaultParagraphFont"/>
    <w:uiPriority w:val="99"/>
    <w:semiHidden/>
    <w:unhideWhenUsed/>
    <w:rsid w:val="009A65F2"/>
    <w:rPr>
      <w:vertAlign w:val="superscript"/>
    </w:rPr>
  </w:style>
  <w:style w:type="character" w:customStyle="1" w:styleId="Heading2Char">
    <w:name w:val="Heading 2 Char"/>
    <w:basedOn w:val="DefaultParagraphFont"/>
    <w:link w:val="Heading2"/>
    <w:uiPriority w:val="9"/>
    <w:rsid w:val="004C15EC"/>
    <w:rPr>
      <w:rFonts w:ascii="Arial" w:eastAsia="Arial" w:hAnsi="Arial" w:cs="Arial"/>
      <w:b/>
      <w:color w:val="000000"/>
      <w:sz w:val="24"/>
      <w:u w:val="single" w:color="000000"/>
      <w:lang w:eastAsia="en-GB"/>
    </w:rPr>
  </w:style>
  <w:style w:type="table" w:customStyle="1" w:styleId="TableGrid0">
    <w:name w:val="TableGrid"/>
    <w:rsid w:val="004C15E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02EEF"/>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D02E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3EFA"/>
    <w:pPr>
      <w:spacing w:after="0" w:line="240" w:lineRule="auto"/>
    </w:pPr>
  </w:style>
  <w:style w:type="character" w:styleId="CommentReference">
    <w:name w:val="annotation reference"/>
    <w:basedOn w:val="DefaultParagraphFont"/>
    <w:uiPriority w:val="99"/>
    <w:semiHidden/>
    <w:unhideWhenUsed/>
    <w:rsid w:val="002E305E"/>
    <w:rPr>
      <w:sz w:val="16"/>
      <w:szCs w:val="16"/>
    </w:rPr>
  </w:style>
  <w:style w:type="paragraph" w:styleId="CommentText">
    <w:name w:val="annotation text"/>
    <w:basedOn w:val="Normal"/>
    <w:link w:val="CommentTextChar"/>
    <w:uiPriority w:val="99"/>
    <w:unhideWhenUsed/>
    <w:rsid w:val="002E305E"/>
    <w:pPr>
      <w:spacing w:line="240" w:lineRule="auto"/>
    </w:pPr>
    <w:rPr>
      <w:sz w:val="20"/>
      <w:szCs w:val="20"/>
    </w:rPr>
  </w:style>
  <w:style w:type="character" w:customStyle="1" w:styleId="CommentTextChar">
    <w:name w:val="Comment Text Char"/>
    <w:basedOn w:val="DefaultParagraphFont"/>
    <w:link w:val="CommentText"/>
    <w:uiPriority w:val="99"/>
    <w:rsid w:val="002E305E"/>
    <w:rPr>
      <w:sz w:val="20"/>
      <w:szCs w:val="20"/>
    </w:rPr>
  </w:style>
  <w:style w:type="paragraph" w:styleId="CommentSubject">
    <w:name w:val="annotation subject"/>
    <w:basedOn w:val="CommentText"/>
    <w:next w:val="CommentText"/>
    <w:link w:val="CommentSubjectChar"/>
    <w:uiPriority w:val="99"/>
    <w:semiHidden/>
    <w:unhideWhenUsed/>
    <w:rsid w:val="002E305E"/>
    <w:rPr>
      <w:b/>
      <w:bCs/>
    </w:rPr>
  </w:style>
  <w:style w:type="character" w:customStyle="1" w:styleId="CommentSubjectChar">
    <w:name w:val="Comment Subject Char"/>
    <w:basedOn w:val="CommentTextChar"/>
    <w:link w:val="CommentSubject"/>
    <w:uiPriority w:val="99"/>
    <w:semiHidden/>
    <w:rsid w:val="002E305E"/>
    <w:rPr>
      <w:b/>
      <w:bCs/>
      <w:sz w:val="20"/>
      <w:szCs w:val="20"/>
    </w:rPr>
  </w:style>
  <w:style w:type="paragraph" w:styleId="Header">
    <w:name w:val="header"/>
    <w:basedOn w:val="Normal"/>
    <w:link w:val="HeaderChar"/>
    <w:uiPriority w:val="99"/>
    <w:unhideWhenUsed/>
    <w:rsid w:val="00CD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B4"/>
  </w:style>
  <w:style w:type="paragraph" w:styleId="Footer">
    <w:name w:val="footer"/>
    <w:basedOn w:val="Normal"/>
    <w:link w:val="FooterChar"/>
    <w:uiPriority w:val="99"/>
    <w:unhideWhenUsed/>
    <w:rsid w:val="00A6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88"/>
  </w:style>
  <w:style w:type="paragraph" w:styleId="NormalWeb">
    <w:name w:val="Normal (Web)"/>
    <w:basedOn w:val="Normal"/>
    <w:uiPriority w:val="99"/>
    <w:unhideWhenUsed/>
    <w:rsid w:val="00C64A4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7365">
      <w:bodyDiv w:val="1"/>
      <w:marLeft w:val="0"/>
      <w:marRight w:val="0"/>
      <w:marTop w:val="0"/>
      <w:marBottom w:val="0"/>
      <w:divBdr>
        <w:top w:val="none" w:sz="0" w:space="0" w:color="auto"/>
        <w:left w:val="none" w:sz="0" w:space="0" w:color="auto"/>
        <w:bottom w:val="none" w:sz="0" w:space="0" w:color="auto"/>
        <w:right w:val="none" w:sz="0" w:space="0" w:color="auto"/>
      </w:divBdr>
    </w:div>
    <w:div w:id="451828479">
      <w:bodyDiv w:val="1"/>
      <w:marLeft w:val="0"/>
      <w:marRight w:val="0"/>
      <w:marTop w:val="0"/>
      <w:marBottom w:val="0"/>
      <w:divBdr>
        <w:top w:val="none" w:sz="0" w:space="0" w:color="auto"/>
        <w:left w:val="none" w:sz="0" w:space="0" w:color="auto"/>
        <w:bottom w:val="none" w:sz="0" w:space="0" w:color="auto"/>
        <w:right w:val="none" w:sz="0" w:space="0" w:color="auto"/>
      </w:divBdr>
    </w:div>
    <w:div w:id="656810527">
      <w:bodyDiv w:val="1"/>
      <w:marLeft w:val="0"/>
      <w:marRight w:val="0"/>
      <w:marTop w:val="0"/>
      <w:marBottom w:val="0"/>
      <w:divBdr>
        <w:top w:val="none" w:sz="0" w:space="0" w:color="auto"/>
        <w:left w:val="none" w:sz="0" w:space="0" w:color="auto"/>
        <w:bottom w:val="none" w:sz="0" w:space="0" w:color="auto"/>
        <w:right w:val="none" w:sz="0" w:space="0" w:color="auto"/>
      </w:divBdr>
    </w:div>
    <w:div w:id="1327054656">
      <w:bodyDiv w:val="1"/>
      <w:marLeft w:val="0"/>
      <w:marRight w:val="0"/>
      <w:marTop w:val="0"/>
      <w:marBottom w:val="0"/>
      <w:divBdr>
        <w:top w:val="none" w:sz="0" w:space="0" w:color="auto"/>
        <w:left w:val="none" w:sz="0" w:space="0" w:color="auto"/>
        <w:bottom w:val="none" w:sz="0" w:space="0" w:color="auto"/>
        <w:right w:val="none" w:sz="0" w:space="0" w:color="auto"/>
      </w:divBdr>
    </w:div>
    <w:div w:id="1333869841">
      <w:bodyDiv w:val="1"/>
      <w:marLeft w:val="0"/>
      <w:marRight w:val="0"/>
      <w:marTop w:val="0"/>
      <w:marBottom w:val="0"/>
      <w:divBdr>
        <w:top w:val="none" w:sz="0" w:space="0" w:color="auto"/>
        <w:left w:val="none" w:sz="0" w:space="0" w:color="auto"/>
        <w:bottom w:val="none" w:sz="0" w:space="0" w:color="auto"/>
        <w:right w:val="none" w:sz="0" w:space="0" w:color="auto"/>
      </w:divBdr>
    </w:div>
    <w:div w:id="1687321421">
      <w:bodyDiv w:val="1"/>
      <w:marLeft w:val="0"/>
      <w:marRight w:val="0"/>
      <w:marTop w:val="0"/>
      <w:marBottom w:val="0"/>
      <w:divBdr>
        <w:top w:val="none" w:sz="0" w:space="0" w:color="auto"/>
        <w:left w:val="none" w:sz="0" w:space="0" w:color="auto"/>
        <w:bottom w:val="none" w:sz="0" w:space="0" w:color="auto"/>
        <w:right w:val="none" w:sz="0" w:space="0" w:color="auto"/>
      </w:divBdr>
    </w:div>
    <w:div w:id="18824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Yfunding@portsmouthc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65670dd9312f40000de5d56c/Early_years_funding_-_Extension_of_the_Entitlements_Consultation_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536ccb-b14a-4ea0-b1e3-f942d5f494ca">
      <UserInfo>
        <DisplayName>Butler, Mindy</DisplayName>
        <AccountId>57</AccountId>
        <AccountType/>
      </UserInfo>
      <UserInfo>
        <DisplayName>Robinson, Tracy</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9" ma:contentTypeDescription="Create a new document." ma:contentTypeScope="" ma:versionID="04d7dd377818b1816ab823ac57ba0a9d">
  <xsd:schema xmlns:xsd="http://www.w3.org/2001/XMLSchema" xmlns:xs="http://www.w3.org/2001/XMLSchema" xmlns:p="http://schemas.microsoft.com/office/2006/metadata/properties" xmlns:ns2="4d536ccb-b14a-4ea0-b1e3-f942d5f494ca" xmlns:ns3="94e04209-f32b-462e-b41a-6c7c48ba4040" targetNamespace="http://schemas.microsoft.com/office/2006/metadata/properties" ma:root="true" ma:fieldsID="30b0a1fbbc1fd4d25c59bad4731be479" ns2:_="" ns3:_="">
    <xsd:import namespace="4d536ccb-b14a-4ea0-b1e3-f942d5f494ca"/>
    <xsd:import namespace="94e04209-f32b-462e-b41a-6c7c48ba4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7AD8-1204-4632-B38F-D2694BD148BB}">
  <ds:schemaRefs>
    <ds:schemaRef ds:uri="http://schemas.microsoft.com/sharepoint/v3/contenttype/forms"/>
  </ds:schemaRefs>
</ds:datastoreItem>
</file>

<file path=customXml/itemProps2.xml><?xml version="1.0" encoding="utf-8"?>
<ds:datastoreItem xmlns:ds="http://schemas.openxmlformats.org/officeDocument/2006/customXml" ds:itemID="{3371C3A1-FB98-43FA-AD06-5BC326F86B65}">
  <ds:schemaRefs>
    <ds:schemaRef ds:uri="http://schemas.microsoft.com/office/2006/metadata/properties"/>
    <ds:schemaRef ds:uri="http://schemas.microsoft.com/office/infopath/2007/PartnerControls"/>
    <ds:schemaRef ds:uri="4d536ccb-b14a-4ea0-b1e3-f942d5f494ca"/>
  </ds:schemaRefs>
</ds:datastoreItem>
</file>

<file path=customXml/itemProps3.xml><?xml version="1.0" encoding="utf-8"?>
<ds:datastoreItem xmlns:ds="http://schemas.openxmlformats.org/officeDocument/2006/customXml" ds:itemID="{667AFD45-EFBC-45D7-80C0-C215C0E3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94e04209-f32b-462e-b41a-6c7c48ba4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51120-085B-46CC-9CF1-6D110D7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1737</Words>
  <Characters>9903</Characters>
  <Application>Microsoft Office Word</Application>
  <DocSecurity>4</DocSecurity>
  <Lines>82</Lines>
  <Paragraphs>23</Paragraphs>
  <ScaleCrop>false</ScaleCrop>
  <Company/>
  <LinksUpToDate>false</LinksUpToDate>
  <CharactersWithSpaces>11617</CharactersWithSpaces>
  <SharedDoc>false</SharedDoc>
  <HLinks>
    <vt:vector size="12" baseType="variant">
      <vt:variant>
        <vt:i4>786528</vt:i4>
      </vt:variant>
      <vt:variant>
        <vt:i4>0</vt:i4>
      </vt:variant>
      <vt:variant>
        <vt:i4>0</vt:i4>
      </vt:variant>
      <vt:variant>
        <vt:i4>5</vt:i4>
      </vt:variant>
      <vt:variant>
        <vt:lpwstr>mailto:EYfunding@portsmouthcc.gov.uk</vt:lpwstr>
      </vt:variant>
      <vt:variant>
        <vt:lpwstr/>
      </vt:variant>
      <vt:variant>
        <vt:i4>65642</vt:i4>
      </vt:variant>
      <vt:variant>
        <vt:i4>0</vt:i4>
      </vt:variant>
      <vt:variant>
        <vt:i4>0</vt:i4>
      </vt:variant>
      <vt:variant>
        <vt:i4>5</vt:i4>
      </vt:variant>
      <vt:variant>
        <vt:lpwstr>https://assets.publishing.service.gov.uk/media/65670dd9312f40000de5d56c/Early_years_funding_-_Extension_of_the_Entitlements_Consultation_Response.pdf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Egerton, Alison</dc:creator>
  <cp:keywords/>
  <dc:description/>
  <cp:lastModifiedBy>Frank, Gemma</cp:lastModifiedBy>
  <cp:revision>2</cp:revision>
  <cp:lastPrinted>2024-01-02T13:00:00Z</cp:lastPrinted>
  <dcterms:created xsi:type="dcterms:W3CDTF">2024-01-02T13:02:00Z</dcterms:created>
  <dcterms:modified xsi:type="dcterms:W3CDTF">2024-01-02T13:02:00Z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1419600</vt:r8>
  </property>
  <property fmtid="{D5CDD505-2E9C-101B-9397-08002B2CF9AE}" pid="4" name="ClassificationContentMarkingHeaderShapeIds">
    <vt:lpwstr>40aba7d6,98dc0a9,3bab3c64</vt:lpwstr>
  </property>
  <property fmtid="{D5CDD505-2E9C-101B-9397-08002B2CF9AE}" pid="5" name="ClassificationContentMarkingHeaderFontProps">
    <vt:lpwstr>#0000ff,12,Calibri</vt:lpwstr>
  </property>
  <property fmtid="{D5CDD505-2E9C-101B-9397-08002B2CF9AE}" pid="6" name="ClassificationContentMarkingHeaderText">
    <vt:lpwstr>- Official Sensitive -</vt:lpwstr>
  </property>
  <property fmtid="{D5CDD505-2E9C-101B-9397-08002B2CF9AE}" pid="7" name="MSIP_Label_9f9c8121-f60b-4274-a2ba-4c1156a38c4e_Enabled">
    <vt:lpwstr>true</vt:lpwstr>
  </property>
  <property fmtid="{D5CDD505-2E9C-101B-9397-08002B2CF9AE}" pid="8" name="MSIP_Label_9f9c8121-f60b-4274-a2ba-4c1156a38c4e_SetDate">
    <vt:lpwstr>2023-11-22T13:06:04Z</vt:lpwstr>
  </property>
  <property fmtid="{D5CDD505-2E9C-101B-9397-08002B2CF9AE}" pid="9" name="MSIP_Label_9f9c8121-f60b-4274-a2ba-4c1156a38c4e_Method">
    <vt:lpwstr>Privileged</vt:lpwstr>
  </property>
  <property fmtid="{D5CDD505-2E9C-101B-9397-08002B2CF9AE}" pid="10" name="MSIP_Label_9f9c8121-f60b-4274-a2ba-4c1156a38c4e_Name">
    <vt:lpwstr>Official Sensitive</vt:lpwstr>
  </property>
  <property fmtid="{D5CDD505-2E9C-101B-9397-08002B2CF9AE}" pid="11" name="MSIP_Label_9f9c8121-f60b-4274-a2ba-4c1156a38c4e_SiteId">
    <vt:lpwstr>d6674c51-daa4-4142-8047-15a78bbe9306</vt:lpwstr>
  </property>
  <property fmtid="{D5CDD505-2E9C-101B-9397-08002B2CF9AE}" pid="12" name="MSIP_Label_9f9c8121-f60b-4274-a2ba-4c1156a38c4e_ActionId">
    <vt:lpwstr>0af48d12-5847-429f-80e6-e79517c07b3d</vt:lpwstr>
  </property>
  <property fmtid="{D5CDD505-2E9C-101B-9397-08002B2CF9AE}" pid="13" name="MSIP_Label_9f9c8121-f60b-4274-a2ba-4c1156a38c4e_ContentBits">
    <vt:lpwstr>1</vt:lpwstr>
  </property>
  <property fmtid="{D5CDD505-2E9C-101B-9397-08002B2CF9AE}" pid="14" name="MediaServiceImageTags">
    <vt:lpwstr/>
  </property>
</Properties>
</file>