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39" w:rsidRDefault="00CB24D6" w:rsidP="00C64539">
      <w:r w:rsidRPr="00C64539">
        <w:rPr>
          <w:noProof/>
        </w:rPr>
        <w:drawing>
          <wp:anchor distT="0" distB="0" distL="114300" distR="114300" simplePos="0" relativeHeight="251659264" behindDoc="1" locked="0" layoutInCell="1" allowOverlap="1" wp14:anchorId="60AFC20C" wp14:editId="51B429CA">
            <wp:simplePos x="0" y="0"/>
            <wp:positionH relativeFrom="column">
              <wp:posOffset>5628277</wp:posOffset>
            </wp:positionH>
            <wp:positionV relativeFrom="paragraph">
              <wp:posOffset>-213492</wp:posOffset>
            </wp:positionV>
            <wp:extent cx="975296" cy="102274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96" cy="10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539" w:rsidRDefault="00C64539" w:rsidP="00C64539"/>
    <w:p w:rsidR="003500E5" w:rsidRDefault="003500E5" w:rsidP="00C64539">
      <w:pPr>
        <w:jc w:val="center"/>
        <w:rPr>
          <w:sz w:val="32"/>
          <w:szCs w:val="32"/>
        </w:rPr>
      </w:pPr>
      <w:r>
        <w:rPr>
          <w:sz w:val="32"/>
          <w:szCs w:val="32"/>
        </w:rPr>
        <w:t>Portage Approved Early Years Settings</w:t>
      </w:r>
    </w:p>
    <w:p w:rsidR="003500E5" w:rsidRDefault="003500E5" w:rsidP="00C64539">
      <w:pPr>
        <w:jc w:val="center"/>
        <w:rPr>
          <w:sz w:val="32"/>
          <w:szCs w:val="32"/>
        </w:rPr>
      </w:pPr>
    </w:p>
    <w:p w:rsidR="00C64539" w:rsidRPr="003500E5" w:rsidRDefault="003500E5" w:rsidP="003500E5">
      <w:r w:rsidRPr="003500E5">
        <w:t xml:space="preserve">Portsmouth Portage promotes the </w:t>
      </w:r>
      <w:r w:rsidR="00C64539" w:rsidRPr="003500E5">
        <w:t>N</w:t>
      </w:r>
      <w:r w:rsidRPr="003500E5">
        <w:t xml:space="preserve">ational </w:t>
      </w:r>
      <w:r w:rsidR="00C64539" w:rsidRPr="003500E5">
        <w:t>P</w:t>
      </w:r>
      <w:r w:rsidRPr="003500E5">
        <w:t xml:space="preserve">ortage </w:t>
      </w:r>
      <w:r w:rsidR="00C64539" w:rsidRPr="003500E5">
        <w:t>A</w:t>
      </w:r>
      <w:r w:rsidRPr="003500E5">
        <w:t>ssociation</w:t>
      </w:r>
      <w:r w:rsidR="00C64539" w:rsidRPr="003500E5">
        <w:t xml:space="preserve"> Stamp of Approval Scheme</w:t>
      </w:r>
    </w:p>
    <w:p w:rsidR="00C64539" w:rsidRDefault="00C64539" w:rsidP="00C64539">
      <w:pPr>
        <w:jc w:val="center"/>
      </w:pPr>
    </w:p>
    <w:p w:rsidR="00C64539" w:rsidRDefault="00C64539" w:rsidP="00C64539">
      <w:r>
        <w:t>The</w:t>
      </w:r>
      <w:r w:rsidR="003500E5">
        <w:t xml:space="preserve"> </w:t>
      </w:r>
      <w:r w:rsidR="003500E5" w:rsidRPr="003500E5">
        <w:t xml:space="preserve">National Portage Association </w:t>
      </w:r>
      <w:r w:rsidR="003500E5">
        <w:t xml:space="preserve">set up the </w:t>
      </w:r>
      <w:r>
        <w:t xml:space="preserve">Stamp of Approval Scheme </w:t>
      </w:r>
      <w:r w:rsidR="003500E5">
        <w:t>with the DFE endorsement to provide</w:t>
      </w:r>
      <w:r>
        <w:t xml:space="preserve"> a quality standard award </w:t>
      </w:r>
      <w:r w:rsidR="00327584">
        <w:t>for</w:t>
      </w:r>
      <w:r>
        <w:t xml:space="preserve"> early year’s </w:t>
      </w:r>
      <w:r w:rsidR="00327584">
        <w:t>settings who</w:t>
      </w:r>
      <w:r>
        <w:t xml:space="preserve"> have demonstrated they deliver inclusive early years education based upon Portage Principles</w:t>
      </w:r>
      <w:r w:rsidR="00442743">
        <w:t xml:space="preserve"> (see below)</w:t>
      </w:r>
      <w:r>
        <w:t xml:space="preserve">. </w:t>
      </w:r>
      <w:r w:rsidR="00CB24D6">
        <w:t xml:space="preserve"> </w:t>
      </w:r>
      <w:r>
        <w:t xml:space="preserve">Childminders are also eligible to apply.  </w:t>
      </w:r>
      <w:r w:rsidR="006857BC">
        <w:t>A</w:t>
      </w:r>
      <w:r w:rsidRPr="00C64539">
        <w:t xml:space="preserve">t least two of </w:t>
      </w:r>
      <w:r>
        <w:t>the</w:t>
      </w:r>
      <w:r w:rsidRPr="00C64539">
        <w:t xml:space="preserve"> setting practitioners </w:t>
      </w:r>
      <w:r w:rsidR="006857BC">
        <w:t xml:space="preserve">(or the </w:t>
      </w:r>
      <w:r w:rsidR="006857BC" w:rsidRPr="00C64539">
        <w:t>childminder</w:t>
      </w:r>
      <w:r w:rsidR="006857BC">
        <w:t xml:space="preserve">) must </w:t>
      </w:r>
      <w:r w:rsidRPr="00C64539">
        <w:t xml:space="preserve">have successfully completed Portage </w:t>
      </w:r>
      <w:r w:rsidR="006857BC">
        <w:t xml:space="preserve">Training </w:t>
      </w:r>
      <w:r w:rsidRPr="00C64539">
        <w:t>delivered by a trainer accredited with the National Portage Association</w:t>
      </w:r>
      <w:r w:rsidR="003500E5">
        <w:t xml:space="preserve">. </w:t>
      </w:r>
      <w:r w:rsidR="00327584">
        <w:t>In Portsmouth,</w:t>
      </w:r>
      <w:r w:rsidR="00EF282E">
        <w:t xml:space="preserve"> a</w:t>
      </w:r>
      <w:r w:rsidR="003500E5">
        <w:t>sses</w:t>
      </w:r>
      <w:r w:rsidR="00442743">
        <w:t>s</w:t>
      </w:r>
      <w:r w:rsidR="003500E5">
        <w:t>ment and support is given by the lead trainer and Portage Team leader, Sharon Ensor</w:t>
      </w:r>
      <w:r w:rsidR="00442743">
        <w:t>.</w:t>
      </w:r>
    </w:p>
    <w:p w:rsidR="003500E5" w:rsidRDefault="003500E5" w:rsidP="00C64539"/>
    <w:p w:rsidR="003500E5" w:rsidRDefault="004D4A28" w:rsidP="00C64539">
      <w:r>
        <w:rPr>
          <w:noProof/>
        </w:rPr>
        <w:t>Portage Principles are:</w:t>
      </w:r>
    </w:p>
    <w:p w:rsidR="003500E5" w:rsidRDefault="003500E5" w:rsidP="00C64539"/>
    <w:p w:rsidR="00CB24D6" w:rsidRDefault="00CB24D6" w:rsidP="00C64539">
      <w:r w:rsidRPr="003500E5">
        <w:rPr>
          <w:b/>
        </w:rPr>
        <w:t>Partnership</w:t>
      </w:r>
      <w:r w:rsidR="006857BC" w:rsidRPr="003500E5">
        <w:rPr>
          <w:b/>
        </w:rPr>
        <w:t xml:space="preserve"> </w:t>
      </w:r>
      <w:r w:rsidR="006857BC">
        <w:t>with parents</w:t>
      </w:r>
      <w:r w:rsidR="006857BC" w:rsidRPr="006857BC">
        <w:t xml:space="preserve"> </w:t>
      </w:r>
      <w:r w:rsidR="006857BC">
        <w:t>and with other agencies</w:t>
      </w:r>
    </w:p>
    <w:p w:rsidR="00CB24D6" w:rsidRDefault="00CB24D6" w:rsidP="00C64539"/>
    <w:p w:rsidR="00C64539" w:rsidRDefault="00C64539" w:rsidP="00C64539">
      <w:r w:rsidRPr="003500E5">
        <w:rPr>
          <w:b/>
        </w:rPr>
        <w:t>Inclusion</w:t>
      </w:r>
      <w:r w:rsidR="006857BC" w:rsidRPr="003500E5">
        <w:rPr>
          <w:b/>
        </w:rPr>
        <w:t xml:space="preserve"> </w:t>
      </w:r>
      <w:r w:rsidR="006857BC">
        <w:t xml:space="preserve">e.g. strategies and approaches such as use of visuals, accessibility to all activities etc. (including parents with needs) </w:t>
      </w:r>
    </w:p>
    <w:p w:rsidR="00C64539" w:rsidRDefault="00C64539" w:rsidP="00C64539"/>
    <w:p w:rsidR="00C64539" w:rsidRDefault="00C64539" w:rsidP="006857BC">
      <w:r w:rsidRPr="003500E5">
        <w:rPr>
          <w:b/>
        </w:rPr>
        <w:lastRenderedPageBreak/>
        <w:t>Being Positive</w:t>
      </w:r>
      <w:r w:rsidR="00D97B77">
        <w:t xml:space="preserve"> -</w:t>
      </w:r>
      <w:r w:rsidR="006857BC">
        <w:t xml:space="preserve"> </w:t>
      </w:r>
      <w:r>
        <w:t>strategies put in place to overcome difficulties</w:t>
      </w:r>
      <w:r w:rsidR="006857BC">
        <w:t>, positive child first language, positive about</w:t>
      </w:r>
      <w:r>
        <w:t xml:space="preserve"> learning</w:t>
      </w:r>
      <w:r w:rsidR="006857BC">
        <w:t>,</w:t>
      </w:r>
      <w:r>
        <w:t xml:space="preserve"> play</w:t>
      </w:r>
      <w:r w:rsidR="006857BC">
        <w:t xml:space="preserve"> and behaviour</w:t>
      </w:r>
    </w:p>
    <w:p w:rsidR="00C64539" w:rsidRDefault="00C64539" w:rsidP="00C64539"/>
    <w:p w:rsidR="00C64539" w:rsidRDefault="00C64539" w:rsidP="006857BC">
      <w:r w:rsidRPr="003500E5">
        <w:rPr>
          <w:b/>
        </w:rPr>
        <w:t>Small Steps</w:t>
      </w:r>
      <w:r w:rsidR="006857BC">
        <w:t xml:space="preserve"> </w:t>
      </w:r>
      <w:r w:rsidR="00D97B77">
        <w:t>-</w:t>
      </w:r>
      <w:r>
        <w:t xml:space="preserve"> small teaching steps</w:t>
      </w:r>
      <w:r w:rsidR="006857BC">
        <w:t xml:space="preserve"> and s</w:t>
      </w:r>
      <w:r>
        <w:t>trategies are used such as grading materials, forward and backward chaining</w:t>
      </w:r>
    </w:p>
    <w:p w:rsidR="00C64539" w:rsidRDefault="00C64539" w:rsidP="00C64539">
      <w:pPr>
        <w:ind w:left="3"/>
      </w:pPr>
    </w:p>
    <w:p w:rsidR="00C64539" w:rsidRDefault="00C64539" w:rsidP="006857BC">
      <w:pPr>
        <w:ind w:left="3"/>
      </w:pPr>
      <w:r w:rsidRPr="003500E5">
        <w:rPr>
          <w:b/>
        </w:rPr>
        <w:t>Enabling</w:t>
      </w:r>
      <w:r w:rsidR="006857BC">
        <w:t xml:space="preserve"> </w:t>
      </w:r>
      <w:r w:rsidR="00D97B77">
        <w:t>-</w:t>
      </w:r>
      <w:r>
        <w:t xml:space="preserve"> Parents participate in their child’s learning</w:t>
      </w:r>
      <w:r w:rsidR="006857BC">
        <w:t>, enabling</w:t>
      </w:r>
      <w:r>
        <w:t xml:space="preserve"> environment to enable access</w:t>
      </w:r>
    </w:p>
    <w:p w:rsidR="00C64539" w:rsidRDefault="00C64539" w:rsidP="00C64539"/>
    <w:p w:rsidR="00C64539" w:rsidRDefault="00C64539" w:rsidP="006857BC">
      <w:r w:rsidRPr="003500E5">
        <w:rPr>
          <w:b/>
        </w:rPr>
        <w:t>Celebrating Success</w:t>
      </w:r>
      <w:r w:rsidR="006857BC">
        <w:t xml:space="preserve"> </w:t>
      </w:r>
      <w:r w:rsidR="00D97B77">
        <w:t>-</w:t>
      </w:r>
      <w:r>
        <w:t xml:space="preserve"> </w:t>
      </w:r>
      <w:r w:rsidR="006857BC">
        <w:t xml:space="preserve">how the setting acknowledges and celebrates </w:t>
      </w:r>
      <w:r>
        <w:t>the smallest achievement</w:t>
      </w:r>
      <w:r w:rsidR="006857BC">
        <w:t>s</w:t>
      </w:r>
    </w:p>
    <w:p w:rsidR="00CB24D6" w:rsidRDefault="00CB24D6" w:rsidP="00C64539"/>
    <w:p w:rsidR="00C64539" w:rsidRDefault="00C64539" w:rsidP="006857BC">
      <w:r w:rsidRPr="003500E5">
        <w:rPr>
          <w:b/>
        </w:rPr>
        <w:t>Looking Forward</w:t>
      </w:r>
      <w:r w:rsidR="006857BC">
        <w:t xml:space="preserve"> </w:t>
      </w:r>
      <w:r w:rsidR="00D97B77">
        <w:t>-</w:t>
      </w:r>
      <w:r w:rsidR="006857BC">
        <w:t xml:space="preserve"> t</w:t>
      </w:r>
      <w:r>
        <w:t xml:space="preserve">he </w:t>
      </w:r>
      <w:proofErr w:type="spellStart"/>
      <w:r>
        <w:t>SENCo</w:t>
      </w:r>
      <w:proofErr w:type="spellEnd"/>
      <w:r>
        <w:t xml:space="preserve">/other staff have knowledge of referral </w:t>
      </w:r>
      <w:r w:rsidR="006857BC">
        <w:t xml:space="preserve">processes, </w:t>
      </w:r>
      <w:r>
        <w:t xml:space="preserve">SEND </w:t>
      </w:r>
      <w:r w:rsidR="006857BC">
        <w:t>r</w:t>
      </w:r>
      <w:r>
        <w:t>eforms</w:t>
      </w:r>
      <w:r w:rsidR="006857BC">
        <w:t xml:space="preserve"> and t</w:t>
      </w:r>
      <w:r>
        <w:t xml:space="preserve">he setting is pro-active and sensitive in their discussion with parents where additional support/advice is needed </w:t>
      </w:r>
    </w:p>
    <w:p w:rsidR="00C64539" w:rsidRDefault="00C64539" w:rsidP="00C64539"/>
    <w:p w:rsidR="00C64539" w:rsidRDefault="00D97B77" w:rsidP="006857BC">
      <w:r w:rsidRPr="003500E5">
        <w:rPr>
          <w:b/>
        </w:rPr>
        <w:t xml:space="preserve">Generalising </w:t>
      </w:r>
      <w:r>
        <w:t xml:space="preserve">- </w:t>
      </w:r>
      <w:r w:rsidR="00C64539">
        <w:t>children have the opportunity to practise new skills with a range of toys/equipment, activities, people and where possible different environments.</w:t>
      </w:r>
    </w:p>
    <w:p w:rsidR="00C64539" w:rsidRDefault="00C64539" w:rsidP="00C64539"/>
    <w:p w:rsidR="00C64539" w:rsidRDefault="00C64539" w:rsidP="00D97B77">
      <w:r w:rsidRPr="003500E5">
        <w:rPr>
          <w:b/>
        </w:rPr>
        <w:t>Practical, Immediate, Relevant</w:t>
      </w:r>
      <w:r w:rsidR="00D97B77" w:rsidRPr="003500E5">
        <w:rPr>
          <w:b/>
        </w:rPr>
        <w:t xml:space="preserve"> </w:t>
      </w:r>
      <w:r w:rsidR="00D97B77" w:rsidRPr="003500E5">
        <w:t>e.</w:t>
      </w:r>
      <w:r w:rsidR="00D97B77">
        <w:t>g. stra</w:t>
      </w:r>
      <w:r>
        <w:t>tegies are used to establish a child’s baseline skills and emerging skills</w:t>
      </w:r>
      <w:r w:rsidR="00D97B77">
        <w:t xml:space="preserve">, </w:t>
      </w:r>
      <w:r>
        <w:t>engag</w:t>
      </w:r>
      <w:r w:rsidR="00D97B77">
        <w:t>ing</w:t>
      </w:r>
      <w:r>
        <w:t xml:space="preserve"> children in activities at their own level</w:t>
      </w:r>
      <w:r w:rsidR="00D97B77">
        <w:t xml:space="preserve">. </w:t>
      </w:r>
      <w:r>
        <w:t>Children’s support plans include targets that reflect parents’ priorities for their child’s development</w:t>
      </w:r>
      <w:r w:rsidR="00D97B77">
        <w:t>.</w:t>
      </w:r>
    </w:p>
    <w:p w:rsidR="00C64539" w:rsidRDefault="00C64539" w:rsidP="00C64539"/>
    <w:p w:rsidR="00C64539" w:rsidRDefault="00C64539" w:rsidP="00D97B77">
      <w:r w:rsidRPr="003500E5">
        <w:rPr>
          <w:b/>
        </w:rPr>
        <w:lastRenderedPageBreak/>
        <w:t>Supporting</w:t>
      </w:r>
      <w:r w:rsidR="00D97B77" w:rsidRPr="003500E5">
        <w:rPr>
          <w:b/>
        </w:rPr>
        <w:t xml:space="preserve"> </w:t>
      </w:r>
      <w:r w:rsidR="00D97B77">
        <w:t xml:space="preserve">- </w:t>
      </w:r>
      <w:r>
        <w:t>attend</w:t>
      </w:r>
      <w:r w:rsidR="00D97B77">
        <w:t>ance at</w:t>
      </w:r>
      <w:r>
        <w:t xml:space="preserve"> TAC Meetings</w:t>
      </w:r>
      <w:r w:rsidR="00D97B77">
        <w:t xml:space="preserve">, </w:t>
      </w:r>
      <w:r>
        <w:t>support/advice to prepare parents for meetings e.g. TAC Meetings, medical appointments etc.</w:t>
      </w:r>
      <w:r w:rsidR="00D97B77">
        <w:t xml:space="preserve"> Providing t</w:t>
      </w:r>
      <w:r>
        <w:t>ransition support</w:t>
      </w:r>
      <w:r w:rsidR="00D97B77">
        <w:t>.</w:t>
      </w:r>
    </w:p>
    <w:p w:rsidR="00C64539" w:rsidRDefault="00C64539" w:rsidP="00C64539"/>
    <w:p w:rsidR="00C64539" w:rsidRDefault="00C64539" w:rsidP="00C64539">
      <w:r w:rsidRPr="003500E5">
        <w:rPr>
          <w:b/>
        </w:rPr>
        <w:t>Celebrating Diversity</w:t>
      </w:r>
      <w:r w:rsidR="00D97B77">
        <w:t xml:space="preserve"> - </w:t>
      </w:r>
      <w:r>
        <w:t>traditions and customs of different cultures celebrated in the setting</w:t>
      </w:r>
    </w:p>
    <w:p w:rsidR="00D97B77" w:rsidRDefault="00D97B77" w:rsidP="00C64539"/>
    <w:p w:rsidR="00C64539" w:rsidRDefault="00C64539" w:rsidP="00D97B77">
      <w:r w:rsidRPr="003500E5">
        <w:rPr>
          <w:b/>
        </w:rPr>
        <w:t>Whole Child, Family and Community</w:t>
      </w:r>
      <w:r w:rsidR="00D97B77">
        <w:t xml:space="preserve"> e.g.</w:t>
      </w:r>
      <w:r>
        <w:t xml:space="preserve"> demonstrat</w:t>
      </w:r>
      <w:r w:rsidR="00D97B77">
        <w:t>ing</w:t>
      </w:r>
      <w:r>
        <w:t xml:space="preserve"> how to access and promote the Local Offer and other support networks</w:t>
      </w:r>
    </w:p>
    <w:p w:rsidR="009B6A2E" w:rsidRDefault="009B6A2E" w:rsidP="00D97B77"/>
    <w:p w:rsidR="009B6A2E" w:rsidRDefault="009B6A2E" w:rsidP="00D97B77">
      <w:r w:rsidRPr="009B6A2E">
        <w:rPr>
          <w:noProof/>
        </w:rPr>
        <w:drawing>
          <wp:inline distT="0" distB="0" distL="0" distR="0">
            <wp:extent cx="6196965" cy="4647724"/>
            <wp:effectExtent l="0" t="0" r="0" b="635"/>
            <wp:docPr id="2" name="Picture 2" descr="C:\Users\438146\AppData\Local\Microsoft\Windows\INetCache\Content.Outlook\88ABBDNL\portage stamp of approva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8146\AppData\Local\Microsoft\Windows\INetCache\Content.Outlook\88ABBDNL\portage stamp of approval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46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2E" w:rsidRDefault="009B6A2E" w:rsidP="00D97B77"/>
    <w:p w:rsidR="009B6A2E" w:rsidRDefault="009B6A2E" w:rsidP="00D97B77">
      <w:r>
        <w:t>Congratulations to Parade Community Preschool</w:t>
      </w:r>
      <w:bookmarkStart w:id="0" w:name="_GoBack"/>
      <w:bookmarkEnd w:id="0"/>
      <w:r>
        <w:t xml:space="preserve"> as they receive the Portage Stamp of Approval.</w:t>
      </w:r>
    </w:p>
    <w:p w:rsidR="009B6A2E" w:rsidRDefault="009B6A2E" w:rsidP="00D97B77"/>
    <w:p w:rsidR="009B6A2E" w:rsidRDefault="009B6A2E" w:rsidP="009B6A2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"We</w:t>
      </w:r>
      <w:r>
        <w:rPr>
          <w:rFonts w:ascii="Helvetica" w:eastAsia="Times New Roman" w:hAnsi="Helvetica" w:cs="Helvetica"/>
          <w:sz w:val="20"/>
          <w:szCs w:val="20"/>
        </w:rPr>
        <w:t xml:space="preserve"> are very proud at The Parade Community Preschool to be awarde</w:t>
      </w:r>
      <w:r>
        <w:rPr>
          <w:rFonts w:ascii="Helvetica" w:eastAsia="Times New Roman" w:hAnsi="Helvetica" w:cs="Helvetica"/>
          <w:sz w:val="20"/>
          <w:szCs w:val="20"/>
        </w:rPr>
        <w:t>d the Portage Stamp of Approval. This</w:t>
      </w:r>
      <w:r>
        <w:rPr>
          <w:rFonts w:ascii="Helvetica" w:eastAsia="Times New Roman" w:hAnsi="Helvetica" w:cs="Helvetica"/>
          <w:sz w:val="20"/>
          <w:szCs w:val="20"/>
        </w:rPr>
        <w:t xml:space="preserve"> award confirms our long standing relationship with our superb local Portage Team.</w:t>
      </w:r>
    </w:p>
    <w:p w:rsidR="009B6A2E" w:rsidRDefault="009B6A2E" w:rsidP="009B6A2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For us here at the setting we believe in an ethos of Inclusion and ensuring that everyone 'belongs'; this includes our children and their parents.</w:t>
      </w:r>
    </w:p>
    <w:p w:rsidR="009B6A2E" w:rsidRDefault="009B6A2E" w:rsidP="009B6A2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At the Parade we ensure that we create a community in which everyone feels comfortable, and that all our children 'belong' and can contribu</w:t>
      </w:r>
      <w:r>
        <w:rPr>
          <w:rFonts w:ascii="Helvetica" w:eastAsia="Times New Roman" w:hAnsi="Helvetica" w:cs="Helvetica"/>
          <w:sz w:val="20"/>
          <w:szCs w:val="20"/>
        </w:rPr>
        <w:t xml:space="preserve">te equally to the setting". - Cathy Robinson, Parade Manager. </w:t>
      </w:r>
    </w:p>
    <w:p w:rsidR="009B6A2E" w:rsidRDefault="009B6A2E" w:rsidP="00D97B77"/>
    <w:sectPr w:rsidR="009B6A2E" w:rsidSect="003500E5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45"/>
    <w:multiLevelType w:val="hybridMultilevel"/>
    <w:tmpl w:val="8294F4A6"/>
    <w:lvl w:ilvl="0" w:tplc="D8748C78">
      <w:numFmt w:val="bullet"/>
      <w:lvlText w:val="•"/>
      <w:lvlJc w:val="left"/>
      <w:pPr>
        <w:ind w:left="66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3FD2186"/>
    <w:multiLevelType w:val="hybridMultilevel"/>
    <w:tmpl w:val="8DE2AC6C"/>
    <w:lvl w:ilvl="0" w:tplc="D8748C78">
      <w:numFmt w:val="bullet"/>
      <w:lvlText w:val="•"/>
      <w:lvlJc w:val="left"/>
      <w:pPr>
        <w:ind w:left="66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B415E7A"/>
    <w:multiLevelType w:val="hybridMultilevel"/>
    <w:tmpl w:val="92D8E900"/>
    <w:lvl w:ilvl="0" w:tplc="D8748C78">
      <w:numFmt w:val="bullet"/>
      <w:lvlText w:val="•"/>
      <w:lvlJc w:val="left"/>
      <w:pPr>
        <w:ind w:left="72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E0D431B"/>
    <w:multiLevelType w:val="hybridMultilevel"/>
    <w:tmpl w:val="3FF85F82"/>
    <w:lvl w:ilvl="0" w:tplc="D8748C78">
      <w:numFmt w:val="bullet"/>
      <w:lvlText w:val="•"/>
      <w:lvlJc w:val="left"/>
      <w:pPr>
        <w:ind w:left="66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1EF347F"/>
    <w:multiLevelType w:val="hybridMultilevel"/>
    <w:tmpl w:val="416C2A7A"/>
    <w:lvl w:ilvl="0" w:tplc="D8748C78">
      <w:numFmt w:val="bullet"/>
      <w:lvlText w:val="•"/>
      <w:lvlJc w:val="left"/>
      <w:pPr>
        <w:ind w:left="723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6751085"/>
    <w:multiLevelType w:val="hybridMultilevel"/>
    <w:tmpl w:val="BDA27E62"/>
    <w:lvl w:ilvl="0" w:tplc="D8748C78">
      <w:numFmt w:val="bullet"/>
      <w:lvlText w:val="•"/>
      <w:lvlJc w:val="left"/>
      <w:pPr>
        <w:ind w:left="66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85C65B3"/>
    <w:multiLevelType w:val="hybridMultilevel"/>
    <w:tmpl w:val="A4468138"/>
    <w:lvl w:ilvl="0" w:tplc="D8748C78">
      <w:numFmt w:val="bullet"/>
      <w:lvlText w:val="•"/>
      <w:lvlJc w:val="left"/>
      <w:pPr>
        <w:ind w:left="723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801E9"/>
    <w:multiLevelType w:val="hybridMultilevel"/>
    <w:tmpl w:val="D02CB736"/>
    <w:lvl w:ilvl="0" w:tplc="D8748C78">
      <w:numFmt w:val="bullet"/>
      <w:lvlText w:val="•"/>
      <w:lvlJc w:val="left"/>
      <w:pPr>
        <w:ind w:left="66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EE2728A"/>
    <w:multiLevelType w:val="hybridMultilevel"/>
    <w:tmpl w:val="AF2A8256"/>
    <w:lvl w:ilvl="0" w:tplc="D8748C78">
      <w:numFmt w:val="bullet"/>
      <w:lvlText w:val="•"/>
      <w:lvlJc w:val="left"/>
      <w:pPr>
        <w:ind w:left="2138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53BA6095"/>
    <w:multiLevelType w:val="hybridMultilevel"/>
    <w:tmpl w:val="1032B11A"/>
    <w:lvl w:ilvl="0" w:tplc="D8748C78">
      <w:numFmt w:val="bullet"/>
      <w:lvlText w:val="•"/>
      <w:lvlJc w:val="left"/>
      <w:pPr>
        <w:ind w:left="723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D494C"/>
    <w:multiLevelType w:val="hybridMultilevel"/>
    <w:tmpl w:val="39CE1018"/>
    <w:lvl w:ilvl="0" w:tplc="D8748C78">
      <w:numFmt w:val="bullet"/>
      <w:lvlText w:val="•"/>
      <w:lvlJc w:val="left"/>
      <w:pPr>
        <w:ind w:left="723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4531B"/>
    <w:multiLevelType w:val="hybridMultilevel"/>
    <w:tmpl w:val="0BBA4E02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6F9D33D7"/>
    <w:multiLevelType w:val="hybridMultilevel"/>
    <w:tmpl w:val="0FE4F58C"/>
    <w:lvl w:ilvl="0" w:tplc="D8748C78">
      <w:numFmt w:val="bullet"/>
      <w:lvlText w:val="•"/>
      <w:lvlJc w:val="left"/>
      <w:pPr>
        <w:ind w:left="66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9"/>
    <w:rsid w:val="000403C0"/>
    <w:rsid w:val="00327584"/>
    <w:rsid w:val="003500E5"/>
    <w:rsid w:val="00394454"/>
    <w:rsid w:val="00442743"/>
    <w:rsid w:val="00451A39"/>
    <w:rsid w:val="004D4A28"/>
    <w:rsid w:val="006857BC"/>
    <w:rsid w:val="007D480E"/>
    <w:rsid w:val="009B26AE"/>
    <w:rsid w:val="009B6A2E"/>
    <w:rsid w:val="00C64539"/>
    <w:rsid w:val="00CB24D6"/>
    <w:rsid w:val="00CF697B"/>
    <w:rsid w:val="00D97B77"/>
    <w:rsid w:val="00E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6726"/>
  <w15:chartTrackingRefBased/>
  <w15:docId w15:val="{F7A4DB79-7EBD-4F92-B979-D3774D1C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ind w:left="-57" w:right="-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C0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403C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03C0"/>
    <w:rPr>
      <w:rFonts w:ascii="Calibri Light" w:eastAsia="Times New Roman" w:hAnsi="Calibri Light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rsid w:val="000403C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rsid w:val="000403C0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rsid w:val="000403C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403C0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rsid w:val="000403C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3C0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uiPriority w:val="99"/>
    <w:semiHidden/>
    <w:rsid w:val="000403C0"/>
    <w:rPr>
      <w:color w:val="808080"/>
    </w:rPr>
  </w:style>
  <w:style w:type="paragraph" w:styleId="NoSpacing">
    <w:name w:val="No Spacing"/>
    <w:uiPriority w:val="1"/>
    <w:qFormat/>
    <w:rsid w:val="000403C0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6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Ensor, Sharon</dc:creator>
  <cp:keywords/>
  <dc:description/>
  <cp:lastModifiedBy>Oliver, Natalie</cp:lastModifiedBy>
  <cp:revision>2</cp:revision>
  <dcterms:created xsi:type="dcterms:W3CDTF">2020-07-21T06:57:00Z</dcterms:created>
  <dcterms:modified xsi:type="dcterms:W3CDTF">2020-07-21T06:57:00Z</dcterms:modified>
</cp:coreProperties>
</file>