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0DEC" w14:textId="77777777" w:rsidR="00D53D26" w:rsidRDefault="00D53D26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</w:p>
    <w:p w14:paraId="6A431656" w14:textId="77777777" w:rsidR="00D53D26" w:rsidRDefault="00D53D26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</w:p>
    <w:p w14:paraId="2ABCC7F8" w14:textId="5F7551E8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iCs/>
          <w:color w:val="201F1E"/>
        </w:rPr>
        <w:t xml:space="preserve">Dear </w:t>
      </w:r>
      <w:r w:rsidR="00FF1921">
        <w:rPr>
          <w:rFonts w:ascii="Calibri" w:hAnsi="Calibri" w:cs="Calibri"/>
          <w:iCs/>
          <w:color w:val="201F1E"/>
        </w:rPr>
        <w:t>colleague</w:t>
      </w:r>
    </w:p>
    <w:p w14:paraId="2750500F" w14:textId="77777777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b/>
          <w:bCs/>
          <w:iCs/>
          <w:color w:val="201F1E"/>
        </w:rPr>
        <w:t> </w:t>
      </w:r>
    </w:p>
    <w:p w14:paraId="4F1C168E" w14:textId="77777777" w:rsidR="00FB351D" w:rsidRPr="0004615C" w:rsidRDefault="00D53D26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iCs/>
          <w:color w:val="201F1E"/>
        </w:rPr>
        <w:t>I hope this letter</w:t>
      </w:r>
      <w:r w:rsidR="00FB351D" w:rsidRPr="0004615C">
        <w:rPr>
          <w:rFonts w:ascii="Calibri" w:hAnsi="Calibri" w:cs="Calibri"/>
          <w:iCs/>
          <w:color w:val="201F1E"/>
        </w:rPr>
        <w:t xml:space="preserve"> finds you well.</w:t>
      </w:r>
    </w:p>
    <w:p w14:paraId="039A2DE4" w14:textId="77777777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iCs/>
          <w:color w:val="201F1E"/>
        </w:rPr>
        <w:t> </w:t>
      </w:r>
    </w:p>
    <w:p w14:paraId="4CDF314F" w14:textId="6B0BD82B" w:rsidR="00FB351D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  <w:r w:rsidRPr="0004615C">
        <w:rPr>
          <w:rFonts w:ascii="Calibri" w:hAnsi="Calibri" w:cs="Calibri"/>
          <w:iCs/>
          <w:color w:val="201F1E"/>
        </w:rPr>
        <w:t>The UK government have now updated the </w:t>
      </w:r>
      <w:hyperlink r:id="rId7" w:tgtFrame="_blank" w:history="1">
        <w:r w:rsidR="00FF1921">
          <w:rPr>
            <w:rStyle w:val="Hyperlink"/>
            <w:rFonts w:ascii="Calibri" w:hAnsi="Calibri" w:cs="Calibri"/>
            <w:iCs/>
            <w:color w:val="0563C1"/>
            <w:bdr w:val="none" w:sz="0" w:space="0" w:color="auto" w:frame="1"/>
          </w:rPr>
          <w:t>guidance for settings</w:t>
        </w:r>
      </w:hyperlink>
      <w:r w:rsidRPr="0004615C">
        <w:rPr>
          <w:rFonts w:ascii="Calibri" w:hAnsi="Calibri" w:cs="Calibri"/>
          <w:iCs/>
          <w:color w:val="201F1E"/>
        </w:rPr>
        <w:t xml:space="preserve"> to reflect the ‘Living Safely with COVID’ strategy. This letter is to explain some of the changes and to outline how </w:t>
      </w:r>
      <w:r w:rsidR="002105AC">
        <w:rPr>
          <w:rFonts w:ascii="Calibri" w:hAnsi="Calibri" w:cs="Calibri"/>
          <w:iCs/>
          <w:color w:val="201F1E"/>
        </w:rPr>
        <w:t xml:space="preserve">North Lincolnshire Council </w:t>
      </w:r>
      <w:r w:rsidRPr="0004615C">
        <w:rPr>
          <w:rFonts w:ascii="Calibri" w:hAnsi="Calibri" w:cs="Calibri"/>
          <w:iCs/>
          <w:color w:val="201F1E"/>
        </w:rPr>
        <w:t xml:space="preserve">Public Health </w:t>
      </w:r>
      <w:r w:rsidR="002105AC">
        <w:rPr>
          <w:rFonts w:ascii="Calibri" w:hAnsi="Calibri" w:cs="Calibri"/>
          <w:iCs/>
          <w:color w:val="201F1E"/>
        </w:rPr>
        <w:t>are</w:t>
      </w:r>
      <w:r w:rsidRPr="0004615C">
        <w:rPr>
          <w:rFonts w:ascii="Calibri" w:hAnsi="Calibri" w:cs="Calibri"/>
          <w:iCs/>
          <w:color w:val="201F1E"/>
        </w:rPr>
        <w:t xml:space="preserve"> available to help provide advice </w:t>
      </w:r>
      <w:r w:rsidR="00A44DB9">
        <w:rPr>
          <w:rFonts w:ascii="Calibri" w:hAnsi="Calibri" w:cs="Calibri"/>
          <w:iCs/>
          <w:color w:val="201F1E"/>
        </w:rPr>
        <w:t>and</w:t>
      </w:r>
      <w:r w:rsidR="00A44DB9" w:rsidRPr="0004615C">
        <w:rPr>
          <w:rFonts w:ascii="Calibri" w:hAnsi="Calibri" w:cs="Calibri"/>
          <w:iCs/>
          <w:color w:val="201F1E"/>
        </w:rPr>
        <w:t xml:space="preserve"> </w:t>
      </w:r>
      <w:r w:rsidRPr="0004615C">
        <w:rPr>
          <w:rFonts w:ascii="Calibri" w:hAnsi="Calibri" w:cs="Calibri"/>
          <w:iCs/>
          <w:color w:val="201F1E"/>
        </w:rPr>
        <w:t>guidance to schools</w:t>
      </w:r>
      <w:r w:rsidR="002105AC">
        <w:rPr>
          <w:rFonts w:ascii="Calibri" w:hAnsi="Calibri" w:cs="Calibri"/>
          <w:iCs/>
          <w:color w:val="201F1E"/>
        </w:rPr>
        <w:t xml:space="preserve"> and settings</w:t>
      </w:r>
      <w:r w:rsidRPr="0004615C">
        <w:rPr>
          <w:rFonts w:ascii="Calibri" w:hAnsi="Calibri" w:cs="Calibri"/>
          <w:iCs/>
          <w:color w:val="201F1E"/>
        </w:rPr>
        <w:t>.</w:t>
      </w:r>
    </w:p>
    <w:p w14:paraId="2973875B" w14:textId="77777777" w:rsidR="00206402" w:rsidRPr="00206402" w:rsidRDefault="00206402" w:rsidP="00206402">
      <w:pPr>
        <w:pStyle w:val="xmsonormal"/>
        <w:shd w:val="clear" w:color="auto" w:fill="FFFFFF"/>
        <w:spacing w:before="0"/>
        <w:rPr>
          <w:rFonts w:ascii="Calibri" w:hAnsi="Calibri" w:cs="Calibri"/>
          <w:iCs/>
          <w:color w:val="201F1E"/>
        </w:rPr>
      </w:pPr>
      <w:r w:rsidRPr="00206402">
        <w:rPr>
          <w:rFonts w:ascii="Calibri" w:hAnsi="Calibri" w:cs="Calibri"/>
          <w:iCs/>
          <w:color w:val="201F1E"/>
        </w:rPr>
        <w:t>The Prime Minister announced the Government’s ‘Living with COVID’ plan on 21 February. A summary of the key points and changes include: </w:t>
      </w:r>
    </w:p>
    <w:p w14:paraId="501C77DD" w14:textId="77777777" w:rsidR="00CB3CBC" w:rsidRPr="00206402" w:rsidRDefault="00F22647" w:rsidP="00206402">
      <w:pPr>
        <w:pStyle w:val="xmsonormal"/>
        <w:numPr>
          <w:ilvl w:val="0"/>
          <w:numId w:val="4"/>
        </w:numPr>
        <w:shd w:val="clear" w:color="auto" w:fill="FFFFFF"/>
        <w:spacing w:before="0"/>
        <w:rPr>
          <w:rFonts w:ascii="Calibri" w:hAnsi="Calibri" w:cs="Calibri"/>
          <w:iCs/>
          <w:color w:val="201F1E"/>
        </w:rPr>
      </w:pPr>
      <w:r w:rsidRPr="00206402">
        <w:rPr>
          <w:rFonts w:ascii="Calibri" w:hAnsi="Calibri" w:cs="Calibri"/>
          <w:iCs/>
          <w:color w:val="201F1E"/>
        </w:rPr>
        <w:t xml:space="preserve">Ending the requirement to self-isolate following a positive test result from </w:t>
      </w:r>
      <w:r w:rsidRPr="00206402">
        <w:rPr>
          <w:rFonts w:ascii="Calibri" w:hAnsi="Calibri" w:cs="Calibri"/>
          <w:b/>
          <w:bCs/>
          <w:iCs/>
          <w:color w:val="201F1E"/>
        </w:rPr>
        <w:t>24 February</w:t>
      </w:r>
      <w:r w:rsidRPr="00206402">
        <w:rPr>
          <w:rFonts w:ascii="Calibri" w:hAnsi="Calibri" w:cs="Calibri"/>
          <w:iCs/>
          <w:color w:val="201F1E"/>
        </w:rPr>
        <w:t>. </w:t>
      </w:r>
    </w:p>
    <w:p w14:paraId="6F2F2FE6" w14:textId="77777777" w:rsidR="00CB3CBC" w:rsidRPr="00206402" w:rsidRDefault="00F22647" w:rsidP="00206402">
      <w:pPr>
        <w:pStyle w:val="xmsonormal"/>
        <w:numPr>
          <w:ilvl w:val="0"/>
          <w:numId w:val="4"/>
        </w:numPr>
        <w:shd w:val="clear" w:color="auto" w:fill="FFFFFF"/>
        <w:spacing w:before="0"/>
        <w:rPr>
          <w:rFonts w:ascii="Calibri" w:hAnsi="Calibri" w:cs="Calibri"/>
          <w:iCs/>
          <w:color w:val="201F1E"/>
        </w:rPr>
      </w:pPr>
      <w:r w:rsidRPr="00206402">
        <w:rPr>
          <w:rFonts w:ascii="Calibri" w:hAnsi="Calibri" w:cs="Calibri"/>
          <w:iCs/>
          <w:color w:val="201F1E"/>
        </w:rPr>
        <w:t xml:space="preserve">Ending the requirement to test for 7 days after coming into contact with someone who has tested positive from </w:t>
      </w:r>
      <w:r w:rsidRPr="00206402">
        <w:rPr>
          <w:rFonts w:ascii="Calibri" w:hAnsi="Calibri" w:cs="Calibri"/>
          <w:b/>
          <w:bCs/>
          <w:iCs/>
          <w:color w:val="201F1E"/>
        </w:rPr>
        <w:t>24 February</w:t>
      </w:r>
      <w:r w:rsidRPr="00206402">
        <w:rPr>
          <w:rFonts w:ascii="Calibri" w:hAnsi="Calibri" w:cs="Calibri"/>
          <w:iCs/>
          <w:color w:val="201F1E"/>
        </w:rPr>
        <w:t>. </w:t>
      </w:r>
    </w:p>
    <w:p w14:paraId="004D89DD" w14:textId="77777777" w:rsidR="00CB3CBC" w:rsidRPr="00206402" w:rsidRDefault="00F22647" w:rsidP="00206402">
      <w:pPr>
        <w:pStyle w:val="xmsonormal"/>
        <w:numPr>
          <w:ilvl w:val="0"/>
          <w:numId w:val="4"/>
        </w:numPr>
        <w:shd w:val="clear" w:color="auto" w:fill="FFFFFF"/>
        <w:spacing w:before="0"/>
        <w:rPr>
          <w:rFonts w:ascii="Calibri" w:hAnsi="Calibri" w:cs="Calibri"/>
          <w:iCs/>
          <w:color w:val="201F1E"/>
        </w:rPr>
      </w:pPr>
      <w:r w:rsidRPr="00206402">
        <w:rPr>
          <w:rFonts w:ascii="Calibri" w:hAnsi="Calibri" w:cs="Calibri"/>
          <w:iCs/>
          <w:color w:val="201F1E"/>
        </w:rPr>
        <w:t xml:space="preserve">End of routine contact tracing from </w:t>
      </w:r>
      <w:r w:rsidRPr="00206402">
        <w:rPr>
          <w:rFonts w:ascii="Calibri" w:hAnsi="Calibri" w:cs="Calibri"/>
          <w:b/>
          <w:bCs/>
          <w:iCs/>
          <w:color w:val="201F1E"/>
        </w:rPr>
        <w:t>24 February</w:t>
      </w:r>
      <w:r w:rsidRPr="00206402">
        <w:rPr>
          <w:rFonts w:ascii="Calibri" w:hAnsi="Calibri" w:cs="Calibri"/>
          <w:iCs/>
          <w:color w:val="201F1E"/>
        </w:rPr>
        <w:t>. </w:t>
      </w:r>
    </w:p>
    <w:p w14:paraId="39AE87C7" w14:textId="77777777" w:rsidR="00CB3CBC" w:rsidRPr="00206402" w:rsidRDefault="00F22647" w:rsidP="00206402">
      <w:pPr>
        <w:pStyle w:val="xmsonormal"/>
        <w:numPr>
          <w:ilvl w:val="0"/>
          <w:numId w:val="4"/>
        </w:numPr>
        <w:shd w:val="clear" w:color="auto" w:fill="FFFFFF"/>
        <w:spacing w:before="0"/>
        <w:rPr>
          <w:rFonts w:ascii="Calibri" w:hAnsi="Calibri" w:cs="Calibri"/>
          <w:iCs/>
          <w:color w:val="201F1E"/>
        </w:rPr>
      </w:pPr>
      <w:r w:rsidRPr="00206402">
        <w:rPr>
          <w:rFonts w:ascii="Calibri" w:hAnsi="Calibri" w:cs="Calibri"/>
          <w:iCs/>
          <w:color w:val="201F1E"/>
        </w:rPr>
        <w:t xml:space="preserve">Ending of free testing (exception for those who are vulnerable to COVID-19, and some high-risk spaces) from </w:t>
      </w:r>
      <w:r w:rsidRPr="00206402">
        <w:rPr>
          <w:rFonts w:ascii="Calibri" w:hAnsi="Calibri" w:cs="Calibri"/>
          <w:b/>
          <w:bCs/>
          <w:iCs/>
          <w:color w:val="201F1E"/>
        </w:rPr>
        <w:t>1 April</w:t>
      </w:r>
      <w:r w:rsidRPr="00206402">
        <w:rPr>
          <w:rFonts w:ascii="Calibri" w:hAnsi="Calibri" w:cs="Calibri"/>
          <w:iCs/>
          <w:color w:val="201F1E"/>
        </w:rPr>
        <w:t>. </w:t>
      </w:r>
    </w:p>
    <w:p w14:paraId="779BA260" w14:textId="77777777" w:rsidR="00206402" w:rsidRPr="00206402" w:rsidRDefault="00F22647" w:rsidP="00206402">
      <w:pPr>
        <w:pStyle w:val="xmsonormal"/>
        <w:numPr>
          <w:ilvl w:val="0"/>
          <w:numId w:val="4"/>
        </w:numPr>
        <w:shd w:val="clear" w:color="auto" w:fill="FFFFFF"/>
        <w:spacing w:before="0"/>
        <w:rPr>
          <w:rFonts w:ascii="Calibri" w:hAnsi="Calibri" w:cs="Calibri"/>
          <w:iCs/>
          <w:color w:val="201F1E"/>
        </w:rPr>
      </w:pPr>
      <w:r w:rsidRPr="00206402">
        <w:rPr>
          <w:rFonts w:ascii="Calibri" w:hAnsi="Calibri" w:cs="Calibri"/>
          <w:iCs/>
          <w:color w:val="201F1E"/>
        </w:rPr>
        <w:t xml:space="preserve">Ending of recommendations that certain venues use the NHS COVID Pass from </w:t>
      </w:r>
      <w:r w:rsidRPr="00206402">
        <w:rPr>
          <w:rFonts w:ascii="Calibri" w:hAnsi="Calibri" w:cs="Calibri"/>
          <w:b/>
          <w:bCs/>
          <w:iCs/>
          <w:color w:val="201F1E"/>
        </w:rPr>
        <w:t>1 April</w:t>
      </w:r>
      <w:r w:rsidRPr="00206402">
        <w:rPr>
          <w:rFonts w:ascii="Calibri" w:hAnsi="Calibri" w:cs="Calibri"/>
          <w:iCs/>
          <w:color w:val="201F1E"/>
        </w:rPr>
        <w:t>. </w:t>
      </w:r>
    </w:p>
    <w:p w14:paraId="28B1373C" w14:textId="54DBDA52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iCs/>
          <w:color w:val="201F1E"/>
        </w:rPr>
        <w:t>COVID-19 is still circulating and it is important to reduce the risk of transmission where we can. The government’s </w:t>
      </w:r>
      <w:hyperlink r:id="rId8" w:tgtFrame="_blank" w:history="1">
        <w:r w:rsidRPr="0004615C">
          <w:rPr>
            <w:rStyle w:val="Hyperlink"/>
            <w:rFonts w:ascii="Calibri" w:hAnsi="Calibri" w:cs="Calibri"/>
            <w:iCs/>
            <w:color w:val="0563C1"/>
            <w:bdr w:val="none" w:sz="0" w:space="0" w:color="auto" w:frame="1"/>
          </w:rPr>
          <w:t>plan for living with COVID-19</w:t>
        </w:r>
      </w:hyperlink>
      <w:r w:rsidRPr="0004615C">
        <w:rPr>
          <w:rFonts w:ascii="Calibri" w:hAnsi="Calibri" w:cs="Calibri"/>
          <w:iCs/>
          <w:color w:val="201F1E"/>
        </w:rPr>
        <w:t> sets out that at present </w:t>
      </w:r>
      <w:r w:rsidRPr="0004615C">
        <w:rPr>
          <w:rFonts w:ascii="Calibri" w:hAnsi="Calibri" w:cs="Calibri"/>
          <w:b/>
          <w:bCs/>
          <w:iCs/>
          <w:color w:val="201F1E"/>
        </w:rPr>
        <w:t>all staff and pupils should still isolate for a minimum of 5 days if they either have symptoms of covid-19 or have had a positive test</w:t>
      </w:r>
      <w:r w:rsidRPr="0004615C">
        <w:rPr>
          <w:rFonts w:ascii="Calibri" w:hAnsi="Calibri" w:cs="Calibri"/>
          <w:iCs/>
          <w:color w:val="201F1E"/>
        </w:rPr>
        <w:t xml:space="preserve">. </w:t>
      </w:r>
      <w:r w:rsidR="0043289E">
        <w:rPr>
          <w:rFonts w:ascii="Calibri" w:hAnsi="Calibri" w:cs="Calibri"/>
          <w:iCs/>
          <w:color w:val="201F1E"/>
        </w:rPr>
        <w:t xml:space="preserve"> </w:t>
      </w:r>
      <w:r w:rsidR="006A6989" w:rsidRPr="006A6989">
        <w:rPr>
          <w:rFonts w:ascii="Calibri" w:hAnsi="Calibri" w:cs="Calibri"/>
          <w:iCs/>
          <w:color w:val="201F1E"/>
        </w:rPr>
        <w:t>After 5 days, they may choose to take a Lateral Flow Device (LFD) followed by another the next day - if both are negative, and they do not have a temperature, they can safely return to their normal routine. Those who test positive should avoid contact with anyone in an at risk group, including if they live in the same household.</w:t>
      </w:r>
      <w:r w:rsidR="006A6989">
        <w:rPr>
          <w:rFonts w:ascii="Calibri" w:hAnsi="Calibri" w:cs="Calibri"/>
          <w:iCs/>
          <w:color w:val="201F1E"/>
        </w:rPr>
        <w:t xml:space="preserve"> </w:t>
      </w:r>
      <w:r w:rsidRPr="0004615C">
        <w:rPr>
          <w:rFonts w:ascii="Calibri" w:hAnsi="Calibri" w:cs="Calibri"/>
          <w:iCs/>
          <w:color w:val="201F1E"/>
        </w:rPr>
        <w:t xml:space="preserve">Although this is no longer a legal requirement, it remains government policy </w:t>
      </w:r>
      <w:r w:rsidR="00A44DB9">
        <w:rPr>
          <w:rFonts w:ascii="Calibri" w:hAnsi="Calibri" w:cs="Calibri"/>
          <w:iCs/>
          <w:color w:val="201F1E"/>
        </w:rPr>
        <w:t>and</w:t>
      </w:r>
      <w:r w:rsidR="00A44DB9" w:rsidRPr="0004615C">
        <w:rPr>
          <w:rFonts w:ascii="Calibri" w:hAnsi="Calibri" w:cs="Calibri"/>
          <w:iCs/>
          <w:color w:val="201F1E"/>
        </w:rPr>
        <w:t xml:space="preserve"> </w:t>
      </w:r>
      <w:r w:rsidRPr="0004615C">
        <w:rPr>
          <w:rFonts w:ascii="Calibri" w:hAnsi="Calibri" w:cs="Calibri"/>
          <w:iCs/>
          <w:color w:val="201F1E"/>
        </w:rPr>
        <w:t>guidance.</w:t>
      </w:r>
    </w:p>
    <w:p w14:paraId="31A0C41A" w14:textId="77777777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iCs/>
          <w:color w:val="201F1E"/>
        </w:rPr>
        <w:t> </w:t>
      </w:r>
    </w:p>
    <w:p w14:paraId="7F8FE1F9" w14:textId="4070DBAA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  <w:r w:rsidRPr="0004615C">
        <w:rPr>
          <w:rFonts w:ascii="Calibri" w:hAnsi="Calibri" w:cs="Calibri"/>
          <w:iCs/>
          <w:color w:val="201F1E"/>
        </w:rPr>
        <w:t>Therefore</w:t>
      </w:r>
      <w:r w:rsidR="002105AC">
        <w:rPr>
          <w:rFonts w:ascii="Calibri" w:hAnsi="Calibri" w:cs="Calibri"/>
          <w:iCs/>
          <w:color w:val="201F1E"/>
        </w:rPr>
        <w:t>,</w:t>
      </w:r>
      <w:r w:rsidRPr="0004615C">
        <w:rPr>
          <w:rFonts w:ascii="Calibri" w:hAnsi="Calibri" w:cs="Calibri"/>
          <w:iCs/>
          <w:color w:val="201F1E"/>
        </w:rPr>
        <w:t xml:space="preserve"> all attendees to the school can be asked to remain at home, or return home, if they are either positive or have symptoms of covid-19 - or other illness - in line with </w:t>
      </w:r>
      <w:r w:rsidR="00FF1921">
        <w:rPr>
          <w:rFonts w:ascii="Calibri" w:hAnsi="Calibri" w:cs="Calibri"/>
          <w:iCs/>
          <w:color w:val="201F1E"/>
        </w:rPr>
        <w:t>sickness and absence policies.</w:t>
      </w:r>
    </w:p>
    <w:p w14:paraId="08805FF4" w14:textId="0D8D2B8B" w:rsidR="00CB3CBC" w:rsidRPr="0004615C" w:rsidRDefault="00C60D90" w:rsidP="0058089E">
      <w:pPr>
        <w:pStyle w:val="xmsonormal"/>
        <w:shd w:val="clear" w:color="auto" w:fill="FFFFFF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</w:t>
      </w:r>
      <w:r w:rsidRPr="00C60D90">
        <w:rPr>
          <w:rFonts w:ascii="Calibri" w:hAnsi="Calibri" w:cs="Calibri"/>
          <w:color w:val="201F1E"/>
        </w:rPr>
        <w:t xml:space="preserve">s we learn to ‘live with </w:t>
      </w:r>
      <w:r w:rsidR="00A44DB9" w:rsidRPr="00C60D90">
        <w:rPr>
          <w:rFonts w:ascii="Calibri" w:hAnsi="Calibri" w:cs="Calibri"/>
          <w:color w:val="201F1E"/>
        </w:rPr>
        <w:t>C</w:t>
      </w:r>
      <w:r w:rsidR="00A44DB9">
        <w:rPr>
          <w:rFonts w:ascii="Calibri" w:hAnsi="Calibri" w:cs="Calibri"/>
          <w:color w:val="201F1E"/>
        </w:rPr>
        <w:t>OVID</w:t>
      </w:r>
      <w:r w:rsidR="00A44DB9" w:rsidRPr="00C60D90">
        <w:rPr>
          <w:rFonts w:ascii="Calibri" w:hAnsi="Calibri" w:cs="Calibri"/>
          <w:color w:val="201F1E"/>
        </w:rPr>
        <w:t>’</w:t>
      </w:r>
      <w:r w:rsidRPr="00C60D90">
        <w:rPr>
          <w:rFonts w:ascii="Calibri" w:hAnsi="Calibri" w:cs="Calibri"/>
          <w:color w:val="201F1E"/>
        </w:rPr>
        <w:t>, staff and students will no longer be advised to test asymptomatically</w:t>
      </w:r>
      <w:r>
        <w:rPr>
          <w:rFonts w:ascii="Calibri" w:hAnsi="Calibri" w:cs="Calibri"/>
          <w:color w:val="201F1E"/>
        </w:rPr>
        <w:t xml:space="preserve">. </w:t>
      </w:r>
      <w:r w:rsidR="00F22647" w:rsidRPr="0004615C">
        <w:rPr>
          <w:rFonts w:ascii="Calibri" w:hAnsi="Calibri" w:cs="Calibri"/>
          <w:color w:val="201F1E"/>
        </w:rPr>
        <w:t>Up until the end of March, education settings may continue to distribute tests on a temporary basis as an outbreak response measure if discussed and agreed with their Director of Public Health (DPH) or l</w:t>
      </w:r>
      <w:r w:rsidR="005312EC">
        <w:rPr>
          <w:rFonts w:ascii="Calibri" w:hAnsi="Calibri" w:cs="Calibri"/>
          <w:color w:val="201F1E"/>
        </w:rPr>
        <w:t>ocal Public Health Team</w:t>
      </w:r>
      <w:r w:rsidR="00F22647" w:rsidRPr="0004615C">
        <w:rPr>
          <w:rFonts w:ascii="Calibri" w:hAnsi="Calibri" w:cs="Calibri"/>
          <w:color w:val="201F1E"/>
        </w:rPr>
        <w:t xml:space="preserve"> in line with the Education contingency framework.  Any decision to implement additional measures must be agreed with, or recommended by, a DPH, the Local Au</w:t>
      </w:r>
      <w:r w:rsidR="005312EC">
        <w:rPr>
          <w:rFonts w:ascii="Calibri" w:hAnsi="Calibri" w:cs="Calibri"/>
          <w:color w:val="201F1E"/>
        </w:rPr>
        <w:t>thority, or the local Public Health Tea</w:t>
      </w:r>
      <w:r w:rsidR="00A44DB9">
        <w:rPr>
          <w:rFonts w:ascii="Calibri" w:hAnsi="Calibri" w:cs="Calibri"/>
          <w:color w:val="201F1E"/>
        </w:rPr>
        <w:t>m</w:t>
      </w:r>
      <w:r w:rsidR="00F22647" w:rsidRPr="0004615C">
        <w:rPr>
          <w:rFonts w:ascii="Calibri" w:hAnsi="Calibri" w:cs="Calibri"/>
          <w:color w:val="201F1E"/>
        </w:rPr>
        <w:t xml:space="preserve">. We encourage staff and </w:t>
      </w:r>
      <w:r w:rsidR="00FF1921">
        <w:rPr>
          <w:rFonts w:ascii="Calibri" w:hAnsi="Calibri" w:cs="Calibri"/>
          <w:color w:val="201F1E"/>
        </w:rPr>
        <w:t>families</w:t>
      </w:r>
      <w:r w:rsidR="00F22647" w:rsidRPr="0004615C">
        <w:rPr>
          <w:rFonts w:ascii="Calibri" w:hAnsi="Calibri" w:cs="Calibri"/>
          <w:color w:val="201F1E"/>
        </w:rPr>
        <w:t xml:space="preserve"> to access test kits from their local pharmacy, or by ordering online (for home delivery) as this may be quicker and easier for them.</w:t>
      </w:r>
    </w:p>
    <w:p w14:paraId="3FEDBC67" w14:textId="77777777" w:rsidR="0004615C" w:rsidRPr="0004615C" w:rsidRDefault="00835211" w:rsidP="0004615C">
      <w:pPr>
        <w:pStyle w:val="xmsonormal"/>
        <w:shd w:val="clear" w:color="auto" w:fill="FFFFFF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  <w:lang w:val="en-US"/>
        </w:rPr>
        <w:lastRenderedPageBreak/>
        <w:t>T</w:t>
      </w:r>
      <w:r w:rsidRPr="00835211">
        <w:rPr>
          <w:rFonts w:ascii="Calibri" w:hAnsi="Calibri" w:cs="Calibri"/>
          <w:color w:val="201F1E"/>
          <w:lang w:val="en-US"/>
        </w:rPr>
        <w:t>he Public Health advice will focus on continuing to follow the behaviour changes that have been embedded ove</w:t>
      </w:r>
      <w:r>
        <w:rPr>
          <w:rFonts w:ascii="Calibri" w:hAnsi="Calibri" w:cs="Calibri"/>
          <w:color w:val="201F1E"/>
          <w:lang w:val="en-US"/>
        </w:rPr>
        <w:t>r the past two years, including:</w:t>
      </w:r>
    </w:p>
    <w:p w14:paraId="1E618E11" w14:textId="77777777" w:rsidR="00CB3CBC" w:rsidRPr="0004615C" w:rsidRDefault="00F22647" w:rsidP="0004615C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color w:val="201F1E"/>
        </w:rPr>
        <w:t>Getting vaccinated </w:t>
      </w:r>
    </w:p>
    <w:p w14:paraId="1F93E311" w14:textId="77777777" w:rsidR="00CB3CBC" w:rsidRPr="0004615C" w:rsidRDefault="00F22647" w:rsidP="0004615C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color w:val="201F1E"/>
        </w:rPr>
        <w:t>Letting fresh air in if meeting indoors, or meeting outside </w:t>
      </w:r>
    </w:p>
    <w:p w14:paraId="077AC232" w14:textId="77777777" w:rsidR="00CB3CBC" w:rsidRPr="0004615C" w:rsidRDefault="00F22647" w:rsidP="0004615C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color w:val="201F1E"/>
        </w:rPr>
        <w:t>Wearing a face covering in crowded and enclosed spaces, especially where you come into contact with people you do not usually meet, when rates of transmission are high</w:t>
      </w:r>
    </w:p>
    <w:p w14:paraId="0B78A26D" w14:textId="77777777" w:rsidR="00CB3CBC" w:rsidRPr="0004615C" w:rsidRDefault="00F22647" w:rsidP="0004615C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color w:val="201F1E"/>
        </w:rPr>
        <w:t>Trying to stay at home if you are unwell </w:t>
      </w:r>
    </w:p>
    <w:p w14:paraId="2DFBF429" w14:textId="77777777" w:rsidR="00CB3CBC" w:rsidRPr="0004615C" w:rsidRDefault="00F22647" w:rsidP="0004615C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color w:val="201F1E"/>
        </w:rPr>
        <w:t>Taking a test if you have COVID-19 symptoms (until 31 March), and staying at home and avoiding contact with other people if you test positive</w:t>
      </w:r>
    </w:p>
    <w:p w14:paraId="35D28417" w14:textId="77777777" w:rsidR="00CB3CBC" w:rsidRPr="0004615C" w:rsidRDefault="00F22647" w:rsidP="0004615C">
      <w:pPr>
        <w:pStyle w:val="xmsonormal"/>
        <w:numPr>
          <w:ilvl w:val="0"/>
          <w:numId w:val="3"/>
        </w:numPr>
        <w:shd w:val="clear" w:color="auto" w:fill="FFFFFF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color w:val="201F1E"/>
        </w:rPr>
        <w:t>Washing your hands regularly</w:t>
      </w:r>
    </w:p>
    <w:p w14:paraId="68222CDC" w14:textId="556897C8" w:rsidR="00BA5631" w:rsidRDefault="00FB351D" w:rsidP="00BA5631">
      <w:pPr>
        <w:pStyle w:val="xmsonormal"/>
        <w:shd w:val="clear" w:color="auto" w:fill="FFFFFF"/>
        <w:rPr>
          <w:rFonts w:ascii="Calibri" w:hAnsi="Calibri" w:cs="Calibri"/>
          <w:iCs/>
          <w:color w:val="201F1E"/>
        </w:rPr>
      </w:pPr>
      <w:r w:rsidRPr="0004615C">
        <w:rPr>
          <w:rFonts w:ascii="Calibri" w:hAnsi="Calibri" w:cs="Calibri"/>
          <w:iCs/>
          <w:color w:val="201F1E"/>
        </w:rPr>
        <w:t xml:space="preserve">We would like to reassure you that whilst the DfE helpline will be decommissioned on 31 March 2022, the Public Health Team remain available to provide specialist advice </w:t>
      </w:r>
      <w:r w:rsidR="00A44DB9">
        <w:rPr>
          <w:rFonts w:ascii="Calibri" w:hAnsi="Calibri" w:cs="Calibri"/>
          <w:iCs/>
          <w:color w:val="201F1E"/>
        </w:rPr>
        <w:t>and</w:t>
      </w:r>
      <w:r w:rsidR="00A44DB9" w:rsidRPr="0004615C">
        <w:rPr>
          <w:rFonts w:ascii="Calibri" w:hAnsi="Calibri" w:cs="Calibri"/>
          <w:iCs/>
          <w:color w:val="201F1E"/>
        </w:rPr>
        <w:t xml:space="preserve"> </w:t>
      </w:r>
      <w:r w:rsidRPr="0004615C">
        <w:rPr>
          <w:rFonts w:ascii="Calibri" w:hAnsi="Calibri" w:cs="Calibri"/>
          <w:iCs/>
          <w:color w:val="201F1E"/>
        </w:rPr>
        <w:t xml:space="preserve">guidance to schools </w:t>
      </w:r>
      <w:r w:rsidR="00FF1921">
        <w:rPr>
          <w:rFonts w:ascii="Calibri" w:hAnsi="Calibri" w:cs="Calibri"/>
          <w:iCs/>
          <w:color w:val="201F1E"/>
        </w:rPr>
        <w:t xml:space="preserve">and settings </w:t>
      </w:r>
      <w:r w:rsidRPr="0004615C">
        <w:rPr>
          <w:rFonts w:ascii="Calibri" w:hAnsi="Calibri" w:cs="Calibri"/>
          <w:iCs/>
          <w:color w:val="201F1E"/>
        </w:rPr>
        <w:t>regarding the implementation of these control measures.  If you do become aware of confirmed cases within your setting, please continue to report this to us using the e</w:t>
      </w:r>
      <w:r w:rsidR="00A44DB9">
        <w:rPr>
          <w:rFonts w:ascii="Calibri" w:hAnsi="Calibri" w:cs="Calibri"/>
          <w:iCs/>
          <w:color w:val="201F1E"/>
        </w:rPr>
        <w:t>-</w:t>
      </w:r>
      <w:r w:rsidRPr="0004615C">
        <w:rPr>
          <w:rFonts w:ascii="Calibri" w:hAnsi="Calibri" w:cs="Calibri"/>
          <w:iCs/>
          <w:color w:val="201F1E"/>
        </w:rPr>
        <w:t xml:space="preserve">form </w:t>
      </w:r>
      <w:hyperlink r:id="rId9" w:history="1">
        <w:r w:rsidR="00807731" w:rsidRPr="0004615C">
          <w:rPr>
            <w:rStyle w:val="Hyperlink"/>
            <w:rFonts w:asciiTheme="minorHAnsi" w:eastAsiaTheme="minorEastAsia" w:hAnsi="Calibri" w:cs="Arial"/>
            <w:b/>
            <w:bCs/>
            <w:color w:val="000000"/>
            <w:kern w:val="24"/>
            <w:lang w:val="en-US"/>
          </w:rPr>
          <w:t>http://s.northlincs.gov.uk/COVID19-education</w:t>
        </w:r>
      </w:hyperlink>
      <w:r w:rsidR="00807731" w:rsidRPr="0004615C">
        <w:rPr>
          <w:rFonts w:asciiTheme="minorHAnsi" w:eastAsiaTheme="minorEastAsia" w:hAnsi="Calibri" w:cs="Arial"/>
          <w:b/>
          <w:bCs/>
          <w:color w:val="000000"/>
          <w:kern w:val="24"/>
          <w:lang w:val="en-US"/>
        </w:rPr>
        <w:t xml:space="preserve"> </w:t>
      </w:r>
      <w:r w:rsidRPr="0004615C">
        <w:rPr>
          <w:rFonts w:ascii="Calibri" w:hAnsi="Calibri" w:cs="Calibri"/>
          <w:iCs/>
          <w:color w:val="201F1E"/>
        </w:rPr>
        <w:t xml:space="preserve"> so that we can assist and support you to take appropriate action.</w:t>
      </w:r>
      <w:r w:rsidR="00BA5631">
        <w:rPr>
          <w:rFonts w:ascii="Calibri" w:hAnsi="Calibri" w:cs="Calibri"/>
          <w:iCs/>
          <w:color w:val="201F1E"/>
        </w:rPr>
        <w:t xml:space="preserve"> </w:t>
      </w:r>
    </w:p>
    <w:p w14:paraId="021FF135" w14:textId="77777777" w:rsidR="00BA5631" w:rsidRPr="00BA5631" w:rsidRDefault="00BA5631" w:rsidP="00BA5631">
      <w:pPr>
        <w:pStyle w:val="xmsonormal"/>
        <w:shd w:val="clear" w:color="auto" w:fill="FFFFFF"/>
        <w:rPr>
          <w:rFonts w:ascii="Calibri" w:hAnsi="Calibri" w:cs="Calibri"/>
          <w:iCs/>
          <w:color w:val="201F1E"/>
        </w:rPr>
      </w:pPr>
      <w:r>
        <w:rPr>
          <w:rFonts w:ascii="Calibri" w:hAnsi="Calibri" w:cs="Calibri"/>
          <w:iCs/>
          <w:color w:val="201F1E"/>
        </w:rPr>
        <w:t xml:space="preserve">Please continue to use the </w:t>
      </w:r>
      <w:hyperlink r:id="rId10" w:history="1">
        <w:r w:rsidRPr="00BA5631">
          <w:rPr>
            <w:rStyle w:val="Hyperlink"/>
            <w:rFonts w:ascii="Calibri" w:hAnsi="Calibri" w:cs="Calibri"/>
            <w:b/>
            <w:bCs/>
            <w:iCs/>
            <w:lang w:val="en-US"/>
          </w:rPr>
          <w:t>contacttracing@northlincs.gov.uk</w:t>
        </w:r>
      </w:hyperlink>
      <w:r>
        <w:rPr>
          <w:rFonts w:ascii="Calibri" w:hAnsi="Calibri" w:cs="Calibri"/>
          <w:iCs/>
          <w:color w:val="201F1E"/>
        </w:rPr>
        <w:t xml:space="preserve"> email to contact the Public Health Team if you require advice or support.</w:t>
      </w:r>
    </w:p>
    <w:p w14:paraId="1E752658" w14:textId="77777777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iCs/>
          <w:color w:val="201F1E"/>
        </w:rPr>
        <w:t>Over the coming weeks, we expect that further detailed guidan</w:t>
      </w:r>
      <w:r w:rsidR="00807731" w:rsidRPr="0004615C">
        <w:rPr>
          <w:rFonts w:ascii="Calibri" w:hAnsi="Calibri" w:cs="Calibri"/>
          <w:iCs/>
          <w:color w:val="201F1E"/>
        </w:rPr>
        <w:t>ce will be published; we</w:t>
      </w:r>
      <w:r w:rsidRPr="0004615C">
        <w:rPr>
          <w:rFonts w:ascii="Calibri" w:hAnsi="Calibri" w:cs="Calibri"/>
          <w:iCs/>
          <w:color w:val="201F1E"/>
        </w:rPr>
        <w:t xml:space="preserve"> will continue to monitor changes to the guidance and will provide regula</w:t>
      </w:r>
      <w:r w:rsidR="00807731" w:rsidRPr="0004615C">
        <w:rPr>
          <w:rFonts w:ascii="Calibri" w:hAnsi="Calibri" w:cs="Calibri"/>
          <w:iCs/>
          <w:color w:val="201F1E"/>
        </w:rPr>
        <w:t>r updates</w:t>
      </w:r>
      <w:r w:rsidRPr="0004615C">
        <w:rPr>
          <w:rFonts w:ascii="Calibri" w:hAnsi="Calibri" w:cs="Calibri"/>
          <w:iCs/>
          <w:color w:val="201F1E"/>
        </w:rPr>
        <w:t>.</w:t>
      </w:r>
    </w:p>
    <w:p w14:paraId="0F4CB845" w14:textId="77777777" w:rsidR="00FB351D" w:rsidRPr="0004615C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04615C">
        <w:rPr>
          <w:rFonts w:ascii="Calibri" w:hAnsi="Calibri" w:cs="Calibri"/>
          <w:iCs/>
          <w:color w:val="201F1E"/>
        </w:rPr>
        <w:t> </w:t>
      </w:r>
    </w:p>
    <w:p w14:paraId="0D45DF53" w14:textId="5408A888" w:rsidR="00FB351D" w:rsidRDefault="00FB351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  <w:r w:rsidRPr="0004615C">
        <w:rPr>
          <w:rFonts w:ascii="Calibri" w:hAnsi="Calibri" w:cs="Calibri"/>
          <w:iCs/>
          <w:color w:val="201F1E"/>
        </w:rPr>
        <w:t xml:space="preserve">Finally, we have </w:t>
      </w:r>
      <w:r w:rsidR="00346538">
        <w:rPr>
          <w:rFonts w:ascii="Calibri" w:hAnsi="Calibri" w:cs="Calibri"/>
          <w:iCs/>
          <w:color w:val="201F1E"/>
        </w:rPr>
        <w:t xml:space="preserve">updated the guidance on a page which is attached.  </w:t>
      </w:r>
    </w:p>
    <w:p w14:paraId="4C9525BA" w14:textId="77777777" w:rsidR="009F4BDD" w:rsidRDefault="009F4BD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</w:p>
    <w:p w14:paraId="10D541B7" w14:textId="77777777" w:rsidR="009F4BDD" w:rsidRDefault="009F4BD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  <w:r>
        <w:rPr>
          <w:rFonts w:ascii="Calibri" w:hAnsi="Calibri" w:cs="Calibri"/>
          <w:iCs/>
          <w:color w:val="201F1E"/>
        </w:rPr>
        <w:t>Yours faithfully</w:t>
      </w:r>
    </w:p>
    <w:p w14:paraId="6046C798" w14:textId="77777777" w:rsidR="009F4BDD" w:rsidRDefault="009F4BDD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</w:rPr>
      </w:pPr>
    </w:p>
    <w:p w14:paraId="16640250" w14:textId="77777777" w:rsidR="009F4BDD" w:rsidRPr="0004615C" w:rsidRDefault="005B3265" w:rsidP="00FB351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5B3265">
        <w:rPr>
          <w:rFonts w:ascii="Calibri" w:hAnsi="Calibri" w:cs="Calibri"/>
          <w:noProof/>
          <w:color w:val="201F1E"/>
        </w:rPr>
        <w:drawing>
          <wp:inline distT="0" distB="0" distL="0" distR="0" wp14:anchorId="3DDBEC89" wp14:editId="390E221B">
            <wp:extent cx="2674620" cy="297180"/>
            <wp:effectExtent l="0" t="0" r="0" b="7620"/>
            <wp:docPr id="1" name="Picture 1" descr="C:\Users\kay aisthorpe\Pictures\electronic signatu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y aisthorpe\Pictures\electronic signature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062" cy="31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986B7" w14:textId="77777777" w:rsidR="005B3265" w:rsidRDefault="005B3265">
      <w:pPr>
        <w:rPr>
          <w:sz w:val="24"/>
          <w:szCs w:val="24"/>
        </w:rPr>
      </w:pPr>
      <w:r>
        <w:rPr>
          <w:sz w:val="24"/>
          <w:szCs w:val="24"/>
        </w:rPr>
        <w:t>Kay Aisthorpe</w:t>
      </w:r>
    </w:p>
    <w:p w14:paraId="0971D12F" w14:textId="77777777" w:rsidR="005B3265" w:rsidRDefault="005B3265">
      <w:pPr>
        <w:rPr>
          <w:sz w:val="24"/>
          <w:szCs w:val="24"/>
        </w:rPr>
      </w:pPr>
      <w:r>
        <w:rPr>
          <w:sz w:val="24"/>
          <w:szCs w:val="24"/>
        </w:rPr>
        <w:t>Senior Public Health Manager</w:t>
      </w:r>
    </w:p>
    <w:p w14:paraId="6E729C1D" w14:textId="77777777" w:rsidR="005B3265" w:rsidRPr="0004615C" w:rsidRDefault="005B3265">
      <w:pPr>
        <w:rPr>
          <w:sz w:val="24"/>
          <w:szCs w:val="24"/>
        </w:rPr>
      </w:pPr>
      <w:r>
        <w:rPr>
          <w:sz w:val="24"/>
          <w:szCs w:val="24"/>
        </w:rPr>
        <w:t>North Lincolnshire Council.</w:t>
      </w:r>
    </w:p>
    <w:sectPr w:rsidR="005B3265" w:rsidRPr="0004615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FB4F" w14:textId="77777777" w:rsidR="005120DC" w:rsidRDefault="005120DC" w:rsidP="00D53D26">
      <w:pPr>
        <w:spacing w:after="0" w:line="240" w:lineRule="auto"/>
      </w:pPr>
      <w:r>
        <w:separator/>
      </w:r>
    </w:p>
  </w:endnote>
  <w:endnote w:type="continuationSeparator" w:id="0">
    <w:p w14:paraId="04C87A88" w14:textId="77777777" w:rsidR="005120DC" w:rsidRDefault="005120DC" w:rsidP="00D5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F562" w14:textId="77777777" w:rsidR="005120DC" w:rsidRDefault="005120DC" w:rsidP="00D53D26">
      <w:pPr>
        <w:spacing w:after="0" w:line="240" w:lineRule="auto"/>
      </w:pPr>
      <w:r>
        <w:separator/>
      </w:r>
    </w:p>
  </w:footnote>
  <w:footnote w:type="continuationSeparator" w:id="0">
    <w:p w14:paraId="51918A9C" w14:textId="77777777" w:rsidR="005120DC" w:rsidRDefault="005120DC" w:rsidP="00D5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1688" w14:textId="77777777" w:rsidR="00D53D26" w:rsidRDefault="00D53D26">
    <w:pPr>
      <w:pStyle w:val="Header"/>
    </w:pPr>
    <w:r w:rsidRPr="00D53D26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09850A68" wp14:editId="4FECDFCB">
          <wp:extent cx="2471530" cy="533135"/>
          <wp:effectExtent l="0" t="0" r="0" b="63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029" cy="561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10D1D" w14:textId="77777777" w:rsidR="00D53D26" w:rsidRDefault="00D53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E4F"/>
    <w:multiLevelType w:val="hybridMultilevel"/>
    <w:tmpl w:val="5AF621F6"/>
    <w:lvl w:ilvl="0" w:tplc="4A620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83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0C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4C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26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67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65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C0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A8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0F5273"/>
    <w:multiLevelType w:val="hybridMultilevel"/>
    <w:tmpl w:val="781AEF84"/>
    <w:lvl w:ilvl="0" w:tplc="34F87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A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A5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23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4D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A9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41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EC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82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063EBC"/>
    <w:multiLevelType w:val="hybridMultilevel"/>
    <w:tmpl w:val="CD305F40"/>
    <w:lvl w:ilvl="0" w:tplc="8292A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CA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2B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08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E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AC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A5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28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16D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8C0F93"/>
    <w:multiLevelType w:val="hybridMultilevel"/>
    <w:tmpl w:val="38D82018"/>
    <w:lvl w:ilvl="0" w:tplc="B41AC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29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AE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60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CA4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A8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8E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786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1D"/>
    <w:rsid w:val="0004615C"/>
    <w:rsid w:val="00206402"/>
    <w:rsid w:val="002105AC"/>
    <w:rsid w:val="00346538"/>
    <w:rsid w:val="0043289E"/>
    <w:rsid w:val="005120DC"/>
    <w:rsid w:val="005312EC"/>
    <w:rsid w:val="0058089E"/>
    <w:rsid w:val="005B3265"/>
    <w:rsid w:val="006A2E1B"/>
    <w:rsid w:val="006A6989"/>
    <w:rsid w:val="00777A3A"/>
    <w:rsid w:val="00807731"/>
    <w:rsid w:val="00835211"/>
    <w:rsid w:val="00857FF1"/>
    <w:rsid w:val="008F7E20"/>
    <w:rsid w:val="009F4BDD"/>
    <w:rsid w:val="00A44DB9"/>
    <w:rsid w:val="00BA5631"/>
    <w:rsid w:val="00C358C8"/>
    <w:rsid w:val="00C60D90"/>
    <w:rsid w:val="00CB3CBC"/>
    <w:rsid w:val="00D53D26"/>
    <w:rsid w:val="00DF76D9"/>
    <w:rsid w:val="00F22647"/>
    <w:rsid w:val="00FB351D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B46C"/>
  <w15:chartTrackingRefBased/>
  <w15:docId w15:val="{3E30A7CE-9317-4A56-828F-78CF149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B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B35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9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563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3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26"/>
  </w:style>
  <w:style w:type="paragraph" w:styleId="Footer">
    <w:name w:val="footer"/>
    <w:basedOn w:val="Normal"/>
    <w:link w:val="FooterChar"/>
    <w:uiPriority w:val="99"/>
    <w:unhideWhenUsed/>
    <w:rsid w:val="00D53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26"/>
  </w:style>
  <w:style w:type="paragraph" w:styleId="Revision">
    <w:name w:val="Revision"/>
    <w:hidden/>
    <w:uiPriority w:val="99"/>
    <w:semiHidden/>
    <w:rsid w:val="00A44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134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3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4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7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58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07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03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95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67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70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gov.uk%2Fgovernment%2Fpublications%2Fcovid-19-response-living-with-covid-19&amp;data=04%7C01%7CNatalie.Liddle%40lincolnshire.gov.uk%7Cd1b4f23a955e4d7e3c0508d9f797da44%7Cb4e05b92f8ce46b59b2499ba5c11e5e9%7C0%7C0%7C637813053833322184%7CUnknown%7CTWFpbGZsb3d8eyJWIjoiMC4wLjAwMDAiLCJQIjoiV2luMzIiLCJBTiI6Ik1haWwiLCJXVCI6Mn0%3D%7C3000&amp;sdata=gubLlbLo2%2Ba93p1d0IjUWqdd3CbXj6k01nOmgEvSj0o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assets.publishing.service.gov.uk%2Fgovernment%2Fuploads%2Fsystem%2Fuploads%2Fattachment_data%2Ffile%2F1056991%2F220224_Schools_guidance.pdf&amp;data=04%7C01%7CNatalie.Liddle%40lincolnshire.gov.uk%7Cd1b4f23a955e4d7e3c0508d9f797da44%7Cb4e05b92f8ce46b59b2499ba5c11e5e9%7C0%7C0%7C637813053833322184%7CUnknown%7CTWFpbGZsb3d8eyJWIjoiMC4wLjAwMDAiLCJQIjoiV2luMzIiLCJBTiI6Ik1haWwiLCJXVCI6Mn0%3D%7C3000&amp;sdata=e6Mzm7vPhszEc%2B4udvRbZxmBShADIHAR4ugYWpJAyok%3D&amp;reserved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contacttracing@northlinc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.northlincs.gov.uk/COVID19-educa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Aisthorpe</dc:creator>
  <cp:keywords/>
  <dc:description/>
  <cp:lastModifiedBy>Nicola Raines</cp:lastModifiedBy>
  <cp:revision>3</cp:revision>
  <dcterms:created xsi:type="dcterms:W3CDTF">2022-03-07T17:06:00Z</dcterms:created>
  <dcterms:modified xsi:type="dcterms:W3CDTF">2022-03-07T17:44:00Z</dcterms:modified>
</cp:coreProperties>
</file>