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D2" w:rsidRPr="003A221D" w:rsidRDefault="003A221D" w:rsidP="006130D2">
      <w:pPr>
        <w:spacing w:after="0"/>
        <w:jc w:val="center"/>
        <w:rPr>
          <w:b/>
          <w:sz w:val="32"/>
          <w:szCs w:val="28"/>
        </w:rPr>
      </w:pPr>
      <w:bookmarkStart w:id="0" w:name="_GoBack"/>
      <w:bookmarkEnd w:id="0"/>
      <w:r w:rsidRPr="003A221D">
        <w:rPr>
          <w:b/>
          <w:sz w:val="32"/>
          <w:szCs w:val="28"/>
        </w:rPr>
        <w:t xml:space="preserve">NCL </w:t>
      </w:r>
      <w:r w:rsidR="0016579B">
        <w:rPr>
          <w:b/>
          <w:sz w:val="32"/>
          <w:szCs w:val="28"/>
        </w:rPr>
        <w:t>Consultant to Consultant Referral Protocol</w:t>
      </w:r>
    </w:p>
    <w:p w:rsidR="006130D2" w:rsidRDefault="006130D2" w:rsidP="003A221D"/>
    <w:p w:rsidR="006130D2" w:rsidRPr="006130D2" w:rsidRDefault="006130D2" w:rsidP="00C36DA0">
      <w:pPr>
        <w:spacing w:line="360" w:lineRule="auto"/>
        <w:rPr>
          <w:b/>
        </w:rPr>
      </w:pPr>
      <w:r w:rsidRPr="006130D2">
        <w:rPr>
          <w:b/>
        </w:rPr>
        <w:t>Background</w:t>
      </w:r>
      <w:r w:rsidR="00BD479D">
        <w:rPr>
          <w:b/>
        </w:rPr>
        <w:t xml:space="preserve"> and scope</w:t>
      </w:r>
    </w:p>
    <w:p w:rsidR="006130D2" w:rsidRDefault="00273AD3" w:rsidP="00C36DA0">
      <w:pPr>
        <w:pStyle w:val="ListParagraph"/>
        <w:numPr>
          <w:ilvl w:val="0"/>
          <w:numId w:val="30"/>
        </w:numPr>
        <w:spacing w:line="360" w:lineRule="auto"/>
      </w:pPr>
      <w:r>
        <w:t>The</w:t>
      </w:r>
      <w:r w:rsidR="00165E1B">
        <w:t xml:space="preserve"> purpose of the</w:t>
      </w:r>
      <w:r>
        <w:t xml:space="preserve"> NCL Consultant to Consultant (C2C) Referral Protocol </w:t>
      </w:r>
      <w:r w:rsidR="00165E1B">
        <w:t xml:space="preserve">is to ensure patients are managed in the most appropriate care setting </w:t>
      </w:r>
      <w:r w:rsidR="00112C9C">
        <w:t>and referral decisions are made in patient</w:t>
      </w:r>
      <w:r w:rsidR="00165E1B">
        <w:t>s</w:t>
      </w:r>
      <w:r w:rsidR="00112C9C">
        <w:t>’</w:t>
      </w:r>
      <w:r w:rsidR="00165E1B">
        <w:t xml:space="preserve"> best interest</w:t>
      </w:r>
      <w:r w:rsidR="00112C9C">
        <w:t xml:space="preserve">. </w:t>
      </w:r>
      <w:r w:rsidR="00BD479D">
        <w:t>Referrals from Emergency Departments are governed by different policies and therefore out of scope.</w:t>
      </w:r>
    </w:p>
    <w:p w:rsidR="00DA4762" w:rsidRPr="00DA4762" w:rsidRDefault="00DA4762" w:rsidP="00C36DA0">
      <w:pPr>
        <w:spacing w:line="360" w:lineRule="auto"/>
        <w:rPr>
          <w:b/>
        </w:rPr>
      </w:pPr>
      <w:r w:rsidRPr="00DA4762">
        <w:rPr>
          <w:b/>
        </w:rPr>
        <w:t>Protocol</w:t>
      </w:r>
    </w:p>
    <w:p w:rsidR="00112C9C" w:rsidRDefault="00112C9C" w:rsidP="00C36DA0">
      <w:pPr>
        <w:pStyle w:val="ListParagraph"/>
        <w:numPr>
          <w:ilvl w:val="0"/>
          <w:numId w:val="30"/>
        </w:numPr>
        <w:spacing w:line="360" w:lineRule="auto"/>
      </w:pPr>
      <w:r>
        <w:t xml:space="preserve">Consultant to Consultants referrals are deemed </w:t>
      </w:r>
      <w:r w:rsidRPr="00301DD5">
        <w:rPr>
          <w:b/>
          <w:u w:val="single"/>
        </w:rPr>
        <w:t>appropriate</w:t>
      </w:r>
      <w:r>
        <w:t xml:space="preserve"> if </w:t>
      </w:r>
      <w:r w:rsidRPr="00D428A7">
        <w:rPr>
          <w:b/>
          <w:bCs/>
          <w:u w:val="single"/>
        </w:rPr>
        <w:t>any</w:t>
      </w:r>
      <w:r>
        <w:t xml:space="preserve"> of the following criteria </w:t>
      </w:r>
      <w:r w:rsidR="00D428A7">
        <w:t>are</w:t>
      </w:r>
      <w:r>
        <w:t xml:space="preserve"> met;</w:t>
      </w:r>
    </w:p>
    <w:p w:rsidR="00112C9C" w:rsidRPr="00112C9C" w:rsidRDefault="00112C9C" w:rsidP="00C36DA0">
      <w:pPr>
        <w:pStyle w:val="ListParagraph"/>
        <w:numPr>
          <w:ilvl w:val="0"/>
          <w:numId w:val="29"/>
        </w:numPr>
        <w:spacing w:before="240" w:after="360" w:line="360" w:lineRule="auto"/>
        <w:ind w:left="714" w:hanging="357"/>
      </w:pPr>
      <w:r>
        <w:t>C</w:t>
      </w:r>
      <w:r w:rsidRPr="00112C9C">
        <w:t xml:space="preserve">ondition </w:t>
      </w:r>
      <w:r>
        <w:t>relating to the original referral. This may be within the same</w:t>
      </w:r>
      <w:r w:rsidRPr="00112C9C">
        <w:t xml:space="preserve"> specialty or to </w:t>
      </w:r>
      <w:r w:rsidR="00DA4762">
        <w:t xml:space="preserve">a </w:t>
      </w:r>
      <w:r w:rsidRPr="00112C9C">
        <w:t>different specialty, including for specialist advice or diagnostics</w:t>
      </w:r>
    </w:p>
    <w:p w:rsidR="00112C9C" w:rsidRPr="00112C9C" w:rsidRDefault="00112C9C" w:rsidP="00C36DA0">
      <w:pPr>
        <w:pStyle w:val="ListParagraph"/>
        <w:numPr>
          <w:ilvl w:val="0"/>
          <w:numId w:val="29"/>
        </w:numPr>
        <w:spacing w:before="240" w:after="360" w:line="360" w:lineRule="auto"/>
        <w:ind w:left="714" w:hanging="357"/>
      </w:pPr>
      <w:r w:rsidRPr="00112C9C">
        <w:t>Confirmed or suspected cancer;</w:t>
      </w:r>
    </w:p>
    <w:p w:rsidR="00112C9C" w:rsidRPr="00112C9C" w:rsidRDefault="00112C9C" w:rsidP="00C36DA0">
      <w:pPr>
        <w:pStyle w:val="ListParagraph"/>
        <w:numPr>
          <w:ilvl w:val="0"/>
          <w:numId w:val="29"/>
        </w:numPr>
        <w:spacing w:before="240" w:after="360" w:line="360" w:lineRule="auto"/>
        <w:ind w:left="714" w:hanging="357"/>
      </w:pPr>
      <w:r w:rsidRPr="00112C9C">
        <w:t>Urgent problems for which delays could be detrimental to the patient;</w:t>
      </w:r>
    </w:p>
    <w:p w:rsidR="00112C9C" w:rsidRDefault="00112C9C" w:rsidP="00C36DA0">
      <w:pPr>
        <w:pStyle w:val="ListParagraph"/>
        <w:numPr>
          <w:ilvl w:val="0"/>
          <w:numId w:val="29"/>
        </w:numPr>
        <w:spacing w:before="240" w:after="360" w:line="360" w:lineRule="auto"/>
        <w:ind w:left="714" w:hanging="357"/>
      </w:pPr>
      <w:r w:rsidRPr="00112C9C">
        <w:t>Pre-operative assessments, including other specialties such as cardiology</w:t>
      </w:r>
    </w:p>
    <w:p w:rsidR="00712C0B" w:rsidRPr="00FE0541" w:rsidRDefault="000E0511" w:rsidP="00C36DA0">
      <w:pPr>
        <w:pStyle w:val="ListParagraph"/>
        <w:numPr>
          <w:ilvl w:val="0"/>
          <w:numId w:val="29"/>
        </w:numPr>
        <w:spacing w:before="240" w:after="360" w:line="360" w:lineRule="auto"/>
        <w:ind w:left="714" w:hanging="357"/>
      </w:pPr>
      <w:r w:rsidRPr="00FE0541">
        <w:t xml:space="preserve">Additional </w:t>
      </w:r>
      <w:r w:rsidR="00FE0541" w:rsidRPr="00FE0541">
        <w:t>vulnerabilities</w:t>
      </w:r>
      <w:r w:rsidRPr="00FE0541">
        <w:t xml:space="preserve"> which could increase risk to patient if referral not made </w:t>
      </w:r>
      <w:r w:rsidR="00712C0B" w:rsidRPr="00FE0541">
        <w:t xml:space="preserve"> e.g. frail and elderly, homeless, </w:t>
      </w:r>
      <w:r w:rsidR="00BD479D">
        <w:t xml:space="preserve">suspected dementia, </w:t>
      </w:r>
      <w:r w:rsidR="00712C0B" w:rsidRPr="00FE0541">
        <w:t>learning disability and/or autism</w:t>
      </w:r>
      <w:r w:rsidRPr="00FE0541">
        <w:t>, serious mental illness, carer (list not exhaustive)</w:t>
      </w:r>
    </w:p>
    <w:p w:rsidR="00C36DA0" w:rsidRDefault="00DA4762" w:rsidP="00C36DA0">
      <w:pPr>
        <w:pStyle w:val="ListParagraph"/>
        <w:numPr>
          <w:ilvl w:val="0"/>
          <w:numId w:val="29"/>
        </w:numPr>
        <w:spacing w:before="240" w:after="360" w:line="360" w:lineRule="auto"/>
        <w:ind w:left="714" w:hanging="357"/>
      </w:pPr>
      <w:r>
        <w:t>Original r</w:t>
      </w:r>
      <w:r w:rsidRPr="00DA4762">
        <w:t xml:space="preserve">eferrals </w:t>
      </w:r>
      <w:r>
        <w:t>sent to the wrong special</w:t>
      </w:r>
      <w:r w:rsidRPr="00DA4762">
        <w:t>ty</w:t>
      </w:r>
    </w:p>
    <w:p w:rsidR="00B809F4" w:rsidRPr="00C36DA0" w:rsidRDefault="00B809F4" w:rsidP="00C36DA0">
      <w:pPr>
        <w:pStyle w:val="ListParagraph"/>
        <w:spacing w:before="240" w:after="360" w:line="360" w:lineRule="auto"/>
        <w:ind w:left="0"/>
        <w:contextualSpacing w:val="0"/>
      </w:pPr>
      <w:r w:rsidRPr="00C36DA0">
        <w:rPr>
          <w:b/>
          <w:color w:val="000000" w:themeColor="text1"/>
        </w:rPr>
        <w:t>Patient</w:t>
      </w:r>
      <w:r w:rsidR="00C36DA0">
        <w:rPr>
          <w:b/>
          <w:color w:val="000000" w:themeColor="text1"/>
        </w:rPr>
        <w:t>s</w:t>
      </w:r>
      <w:r w:rsidRPr="00C36DA0">
        <w:rPr>
          <w:b/>
          <w:color w:val="000000" w:themeColor="text1"/>
        </w:rPr>
        <w:t xml:space="preserve"> should </w:t>
      </w:r>
      <w:r w:rsidRPr="00C36DA0">
        <w:rPr>
          <w:b/>
          <w:color w:val="000000" w:themeColor="text1"/>
          <w:u w:val="single"/>
        </w:rPr>
        <w:t>not</w:t>
      </w:r>
      <w:r w:rsidRPr="00C36DA0">
        <w:rPr>
          <w:b/>
          <w:color w:val="000000" w:themeColor="text1"/>
        </w:rPr>
        <w:t xml:space="preserve"> be referred to their GP </w:t>
      </w:r>
      <w:r w:rsidR="00C36DA0" w:rsidRPr="00C36DA0">
        <w:rPr>
          <w:b/>
          <w:color w:val="000000" w:themeColor="text1"/>
        </w:rPr>
        <w:t>to request a new referral</w:t>
      </w:r>
    </w:p>
    <w:p w:rsidR="00A52DCE" w:rsidRDefault="00A75C89" w:rsidP="00481928">
      <w:pPr>
        <w:pStyle w:val="ListParagraph"/>
        <w:numPr>
          <w:ilvl w:val="0"/>
          <w:numId w:val="30"/>
        </w:numPr>
        <w:spacing w:line="360" w:lineRule="auto"/>
      </w:pPr>
      <w:r>
        <w:t xml:space="preserve">At present </w:t>
      </w:r>
      <w:r w:rsidR="00DA4762">
        <w:t xml:space="preserve">Consultant to Consultants referrals are deemed </w:t>
      </w:r>
      <w:r w:rsidRPr="00A75C89">
        <w:rPr>
          <w:b/>
          <w:u w:val="single"/>
        </w:rPr>
        <w:t>not</w:t>
      </w:r>
      <w:r>
        <w:t xml:space="preserve"> </w:t>
      </w:r>
      <w:r w:rsidR="00DA4762" w:rsidRPr="00301DD5">
        <w:rPr>
          <w:b/>
          <w:u w:val="single"/>
        </w:rPr>
        <w:t>appropriate</w:t>
      </w:r>
      <w:r w:rsidR="00DA4762">
        <w:t xml:space="preserve"> </w:t>
      </w:r>
      <w:r w:rsidR="00C36DA0">
        <w:t xml:space="preserve">for non-urgent </w:t>
      </w:r>
      <w:r w:rsidR="00C36DA0" w:rsidRPr="00C36DA0">
        <w:t>condition</w:t>
      </w:r>
      <w:r w:rsidR="00C36DA0">
        <w:t xml:space="preserve">s </w:t>
      </w:r>
      <w:r w:rsidR="00C36DA0" w:rsidRPr="00D428A7">
        <w:rPr>
          <w:b/>
          <w:bCs/>
          <w:u w:val="single"/>
        </w:rPr>
        <w:t>unrelated</w:t>
      </w:r>
      <w:r w:rsidR="00C36DA0">
        <w:t xml:space="preserve"> to the original referral or</w:t>
      </w:r>
      <w:r w:rsidR="00C36DA0" w:rsidRPr="00C36DA0">
        <w:t xml:space="preserve"> condition</w:t>
      </w:r>
      <w:r w:rsidR="00C36DA0">
        <w:t xml:space="preserve">. </w:t>
      </w:r>
    </w:p>
    <w:p w:rsidR="006130D2" w:rsidRDefault="00C36DA0" w:rsidP="00FB7D81">
      <w:pPr>
        <w:spacing w:line="360" w:lineRule="auto"/>
        <w:rPr>
          <w:b/>
        </w:rPr>
      </w:pPr>
      <w:r w:rsidRPr="00A52DCE">
        <w:rPr>
          <w:b/>
        </w:rPr>
        <w:t xml:space="preserve">Patients should be referred to their GP </w:t>
      </w:r>
      <w:r w:rsidR="00301DD5" w:rsidRPr="00A52DCE">
        <w:rPr>
          <w:b/>
        </w:rPr>
        <w:t xml:space="preserve">for their input.  Patient </w:t>
      </w:r>
      <w:r w:rsidR="001746F4" w:rsidRPr="00A52DCE">
        <w:rPr>
          <w:b/>
        </w:rPr>
        <w:t>expectation should</w:t>
      </w:r>
      <w:r w:rsidR="00301DD5" w:rsidRPr="00A52DCE">
        <w:rPr>
          <w:b/>
        </w:rPr>
        <w:t xml:space="preserve"> not be raised about a new</w:t>
      </w:r>
      <w:r w:rsidR="00B809F4" w:rsidRPr="00A52DCE">
        <w:rPr>
          <w:b/>
        </w:rPr>
        <w:t xml:space="preserve"> referral </w:t>
      </w:r>
      <w:r w:rsidR="00301DD5" w:rsidRPr="00A52DCE">
        <w:rPr>
          <w:b/>
        </w:rPr>
        <w:t>to secondary care.</w:t>
      </w:r>
    </w:p>
    <w:sectPr w:rsidR="006130D2" w:rsidSect="00FB7D81">
      <w:headerReference w:type="default" r:id="rId9"/>
      <w:footerReference w:type="default" r:id="rId10"/>
      <w:type w:val="continuous"/>
      <w:pgSz w:w="11900" w:h="16840"/>
      <w:pgMar w:top="2126" w:right="1127" w:bottom="1276" w:left="1134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C73" w:rsidRDefault="00281C73" w:rsidP="001E52F3">
      <w:pPr>
        <w:spacing w:after="0" w:line="240" w:lineRule="auto"/>
      </w:pPr>
      <w:r>
        <w:separator/>
      </w:r>
    </w:p>
  </w:endnote>
  <w:endnote w:type="continuationSeparator" w:id="0">
    <w:p w:rsidR="00281C73" w:rsidRDefault="00281C73" w:rsidP="001E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103" w:type="dxa"/>
      <w:tblInd w:w="4531" w:type="dxa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544"/>
      <w:gridCol w:w="1559"/>
    </w:tblGrid>
    <w:tr w:rsidR="00FB7D81" w:rsidRPr="00FB7D81" w:rsidTr="00FB7D81">
      <w:trPr>
        <w:trHeight w:val="310"/>
      </w:trPr>
      <w:tc>
        <w:tcPr>
          <w:tcW w:w="3544" w:type="dxa"/>
          <w:shd w:val="clear" w:color="auto" w:fill="DBE5F1" w:themeFill="accent1" w:themeFillTint="33"/>
          <w:vAlign w:val="center"/>
        </w:tcPr>
        <w:p w:rsidR="00FB7D81" w:rsidRPr="00FB7D81" w:rsidRDefault="002840E4" w:rsidP="00FB7D81">
          <w:pPr>
            <w:jc w:val="both"/>
            <w:rPr>
              <w:rFonts w:ascii="Calibri" w:hAnsi="Calibri" w:cs="Calibri"/>
              <w:color w:val="000000" w:themeColor="text1"/>
              <w:sz w:val="14"/>
            </w:rPr>
          </w:pPr>
          <w:r w:rsidRPr="00FB7D81">
            <w:rPr>
              <w:noProof/>
              <w:color w:val="000000" w:themeColor="text1"/>
              <w:lang w:eastAsia="en-GB"/>
            </w:rPr>
            <w:drawing>
              <wp:anchor distT="0" distB="0" distL="114300" distR="114300" simplePos="0" relativeHeight="251656704" behindDoc="1" locked="0" layoutInCell="1" allowOverlap="1" wp14:anchorId="1ACA4C3F" wp14:editId="5DDBC767">
                <wp:simplePos x="0" y="0"/>
                <wp:positionH relativeFrom="column">
                  <wp:posOffset>8210111</wp:posOffset>
                </wp:positionH>
                <wp:positionV relativeFrom="paragraph">
                  <wp:posOffset>-484456</wp:posOffset>
                </wp:positionV>
                <wp:extent cx="1524000" cy="1524000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ttom corner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B7D81" w:rsidRPr="00FB7D81">
            <w:rPr>
              <w:rFonts w:ascii="Calibri" w:hAnsi="Calibri" w:cs="Calibri"/>
              <w:color w:val="000000" w:themeColor="text1"/>
              <w:sz w:val="14"/>
            </w:rPr>
            <w:t>NCL Clinical Advisory Group Approval</w:t>
          </w:r>
        </w:p>
      </w:tc>
      <w:tc>
        <w:tcPr>
          <w:tcW w:w="1559" w:type="dxa"/>
          <w:shd w:val="clear" w:color="auto" w:fill="auto"/>
          <w:vAlign w:val="center"/>
        </w:tcPr>
        <w:p w:rsidR="00FB7D81" w:rsidRPr="00FB7D81" w:rsidRDefault="00FB7D81" w:rsidP="00FB7D81">
          <w:pPr>
            <w:jc w:val="right"/>
            <w:rPr>
              <w:rFonts w:ascii="Calibri" w:hAnsi="Calibri" w:cs="Calibri"/>
              <w:color w:val="000000" w:themeColor="text1"/>
              <w:sz w:val="14"/>
            </w:rPr>
          </w:pPr>
          <w:r w:rsidRPr="00FB7D81">
            <w:rPr>
              <w:rFonts w:ascii="Calibri" w:hAnsi="Calibri" w:cs="Calibri"/>
              <w:color w:val="000000" w:themeColor="text1"/>
              <w:sz w:val="14"/>
            </w:rPr>
            <w:t>02 February 2022</w:t>
          </w:r>
        </w:p>
      </w:tc>
    </w:tr>
    <w:tr w:rsidR="00FB7D81" w:rsidRPr="00FB7D81" w:rsidTr="00FB7D81">
      <w:trPr>
        <w:trHeight w:val="310"/>
      </w:trPr>
      <w:tc>
        <w:tcPr>
          <w:tcW w:w="3544" w:type="dxa"/>
          <w:shd w:val="clear" w:color="auto" w:fill="DBE5F1" w:themeFill="accent1" w:themeFillTint="33"/>
          <w:vAlign w:val="center"/>
        </w:tcPr>
        <w:p w:rsidR="00FB7D81" w:rsidRPr="00FB7D81" w:rsidRDefault="00FB7D81" w:rsidP="00FB7D81">
          <w:pPr>
            <w:jc w:val="both"/>
            <w:rPr>
              <w:rFonts w:ascii="Calibri" w:hAnsi="Calibri" w:cs="Calibri"/>
              <w:color w:val="000000" w:themeColor="text1"/>
              <w:sz w:val="14"/>
            </w:rPr>
          </w:pPr>
          <w:r w:rsidRPr="00FB7D81">
            <w:rPr>
              <w:rFonts w:ascii="Calibri" w:hAnsi="Calibri" w:cs="Calibri"/>
              <w:color w:val="000000" w:themeColor="text1"/>
              <w:sz w:val="14"/>
            </w:rPr>
            <w:t>Operational Implementation Group Approval</w:t>
          </w:r>
        </w:p>
      </w:tc>
      <w:tc>
        <w:tcPr>
          <w:tcW w:w="1559" w:type="dxa"/>
          <w:shd w:val="clear" w:color="auto" w:fill="auto"/>
          <w:vAlign w:val="center"/>
        </w:tcPr>
        <w:p w:rsidR="00FB7D81" w:rsidRPr="00FB7D81" w:rsidRDefault="00FB7D81" w:rsidP="00FB7D81">
          <w:pPr>
            <w:jc w:val="right"/>
            <w:rPr>
              <w:rFonts w:ascii="Calibri" w:hAnsi="Calibri" w:cs="Calibri"/>
              <w:color w:val="000000" w:themeColor="text1"/>
              <w:sz w:val="14"/>
            </w:rPr>
          </w:pPr>
          <w:r w:rsidRPr="00FB7D81">
            <w:rPr>
              <w:rFonts w:ascii="Calibri" w:hAnsi="Calibri" w:cs="Calibri"/>
              <w:color w:val="000000" w:themeColor="text1"/>
              <w:sz w:val="14"/>
            </w:rPr>
            <w:t>20 January 2022</w:t>
          </w:r>
        </w:p>
      </w:tc>
    </w:tr>
    <w:tr w:rsidR="00FB7D81" w:rsidRPr="00FB7D81" w:rsidTr="00FB7D81">
      <w:trPr>
        <w:trHeight w:val="310"/>
      </w:trPr>
      <w:tc>
        <w:tcPr>
          <w:tcW w:w="3544" w:type="dxa"/>
          <w:shd w:val="clear" w:color="auto" w:fill="DBE5F1" w:themeFill="accent1" w:themeFillTint="33"/>
          <w:vAlign w:val="center"/>
        </w:tcPr>
        <w:p w:rsidR="00FB7D81" w:rsidRPr="00FB7D81" w:rsidRDefault="00FB7D81" w:rsidP="00FB7D81">
          <w:pPr>
            <w:jc w:val="both"/>
            <w:rPr>
              <w:rFonts w:ascii="Calibri" w:hAnsi="Calibri" w:cs="Calibri"/>
              <w:color w:val="000000" w:themeColor="text1"/>
              <w:sz w:val="14"/>
            </w:rPr>
          </w:pPr>
          <w:r w:rsidRPr="00FB7D81">
            <w:rPr>
              <w:rFonts w:ascii="Calibri" w:hAnsi="Calibri" w:cs="Calibri"/>
              <w:color w:val="000000" w:themeColor="text1"/>
              <w:sz w:val="14"/>
            </w:rPr>
            <w:t>RTT Delivery Group Approval</w:t>
          </w:r>
        </w:p>
      </w:tc>
      <w:tc>
        <w:tcPr>
          <w:tcW w:w="1559" w:type="dxa"/>
          <w:shd w:val="clear" w:color="auto" w:fill="auto"/>
          <w:vAlign w:val="center"/>
        </w:tcPr>
        <w:p w:rsidR="00FB7D81" w:rsidRPr="00FB7D81" w:rsidRDefault="00FB7D81" w:rsidP="00FB7D81">
          <w:pPr>
            <w:jc w:val="right"/>
            <w:rPr>
              <w:rFonts w:ascii="Calibri" w:hAnsi="Calibri" w:cs="Calibri"/>
              <w:color w:val="000000" w:themeColor="text1"/>
              <w:sz w:val="14"/>
            </w:rPr>
          </w:pPr>
          <w:r w:rsidRPr="00FB7D81">
            <w:rPr>
              <w:rFonts w:ascii="Calibri" w:hAnsi="Calibri" w:cs="Calibri"/>
              <w:color w:val="000000" w:themeColor="text1"/>
              <w:sz w:val="14"/>
            </w:rPr>
            <w:t>18 January 2022</w:t>
          </w:r>
        </w:p>
      </w:tc>
    </w:tr>
    <w:tr w:rsidR="00FB7D81" w:rsidRPr="00FB7D81" w:rsidTr="00FB7D81">
      <w:trPr>
        <w:trHeight w:val="310"/>
      </w:trPr>
      <w:tc>
        <w:tcPr>
          <w:tcW w:w="3544" w:type="dxa"/>
          <w:shd w:val="clear" w:color="auto" w:fill="DBE5F1" w:themeFill="accent1" w:themeFillTint="33"/>
          <w:vAlign w:val="center"/>
        </w:tcPr>
        <w:p w:rsidR="00FB7D81" w:rsidRPr="00FB7D81" w:rsidRDefault="00FB7D81" w:rsidP="00FB7D81">
          <w:pPr>
            <w:jc w:val="both"/>
            <w:rPr>
              <w:rFonts w:ascii="Calibri" w:hAnsi="Calibri" w:cs="Calibri"/>
              <w:color w:val="000000" w:themeColor="text1"/>
              <w:sz w:val="14"/>
            </w:rPr>
          </w:pPr>
          <w:r w:rsidRPr="00FB7D81">
            <w:rPr>
              <w:rFonts w:ascii="Calibri" w:hAnsi="Calibri" w:cs="Calibri"/>
              <w:color w:val="000000" w:themeColor="text1"/>
              <w:sz w:val="14"/>
            </w:rPr>
            <w:t>Next Review Date</w:t>
          </w:r>
        </w:p>
      </w:tc>
      <w:tc>
        <w:tcPr>
          <w:tcW w:w="1559" w:type="dxa"/>
          <w:shd w:val="clear" w:color="auto" w:fill="auto"/>
          <w:vAlign w:val="center"/>
        </w:tcPr>
        <w:p w:rsidR="00FB7D81" w:rsidRPr="00FB7D81" w:rsidRDefault="00FB7D81" w:rsidP="00FB7D81">
          <w:pPr>
            <w:jc w:val="right"/>
            <w:rPr>
              <w:rFonts w:ascii="Calibri" w:hAnsi="Calibri" w:cs="Calibri"/>
              <w:color w:val="000000" w:themeColor="text1"/>
              <w:sz w:val="14"/>
            </w:rPr>
          </w:pPr>
          <w:r w:rsidRPr="00FB7D81">
            <w:rPr>
              <w:rFonts w:ascii="Calibri" w:hAnsi="Calibri" w:cs="Calibri"/>
              <w:color w:val="000000" w:themeColor="text1"/>
              <w:sz w:val="14"/>
            </w:rPr>
            <w:t>January 2023</w:t>
          </w:r>
        </w:p>
      </w:tc>
    </w:tr>
  </w:tbl>
  <w:p w:rsidR="002840E4" w:rsidRDefault="00FB7D81" w:rsidP="00C96C7C">
    <w:pPr>
      <w:pStyle w:val="Footer"/>
      <w:spacing w:after="0"/>
    </w:pPr>
    <w:r w:rsidRPr="00653B15">
      <w:rPr>
        <w:b/>
        <w:color w:val="7F7F7F"/>
      </w:rPr>
      <w:t>North London PARTNERS in health and care</w:t>
    </w:r>
  </w:p>
  <w:p w:rsidR="002840E4" w:rsidRDefault="002840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C73" w:rsidRDefault="00281C73" w:rsidP="001E52F3">
      <w:pPr>
        <w:spacing w:after="0" w:line="240" w:lineRule="auto"/>
      </w:pPr>
      <w:r>
        <w:separator/>
      </w:r>
    </w:p>
  </w:footnote>
  <w:footnote w:type="continuationSeparator" w:id="0">
    <w:p w:rsidR="00281C73" w:rsidRDefault="00281C73" w:rsidP="001E5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0E4" w:rsidRPr="002202DC" w:rsidRDefault="00DA4762" w:rsidP="002202D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5AE1B49B" wp14:editId="1FDA7514">
          <wp:simplePos x="0" y="0"/>
          <wp:positionH relativeFrom="column">
            <wp:posOffset>-674154</wp:posOffset>
          </wp:positionH>
          <wp:positionV relativeFrom="paragraph">
            <wp:posOffset>-445135</wp:posOffset>
          </wp:positionV>
          <wp:extent cx="7588885" cy="1315712"/>
          <wp:effectExtent l="0" t="0" r="5715" b="571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th London Partners logo with strapline and NH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85" cy="1315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F5C"/>
    <w:multiLevelType w:val="hybridMultilevel"/>
    <w:tmpl w:val="6B701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96A74"/>
    <w:multiLevelType w:val="hybridMultilevel"/>
    <w:tmpl w:val="55FE5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5729D"/>
    <w:multiLevelType w:val="hybridMultilevel"/>
    <w:tmpl w:val="32AC7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263A4"/>
    <w:multiLevelType w:val="hybridMultilevel"/>
    <w:tmpl w:val="8A06A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5260C"/>
    <w:multiLevelType w:val="hybridMultilevel"/>
    <w:tmpl w:val="BF36266E"/>
    <w:lvl w:ilvl="0" w:tplc="D9E6D8B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7F169C"/>
    <w:multiLevelType w:val="hybridMultilevel"/>
    <w:tmpl w:val="3F6EE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6411C"/>
    <w:multiLevelType w:val="hybridMultilevel"/>
    <w:tmpl w:val="1D84D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02C22"/>
    <w:multiLevelType w:val="hybridMultilevel"/>
    <w:tmpl w:val="BE008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92696"/>
    <w:multiLevelType w:val="hybridMultilevel"/>
    <w:tmpl w:val="13F88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115F2"/>
    <w:multiLevelType w:val="hybridMultilevel"/>
    <w:tmpl w:val="33D8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C796C"/>
    <w:multiLevelType w:val="hybridMultilevel"/>
    <w:tmpl w:val="09349534"/>
    <w:lvl w:ilvl="0" w:tplc="D9E6D8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B070A"/>
    <w:multiLevelType w:val="hybridMultilevel"/>
    <w:tmpl w:val="4C2470F4"/>
    <w:lvl w:ilvl="0" w:tplc="8F645B84">
      <w:start w:val="1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2">
    <w:nsid w:val="36A471DF"/>
    <w:multiLevelType w:val="hybridMultilevel"/>
    <w:tmpl w:val="AB92A5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F3484A"/>
    <w:multiLevelType w:val="multilevel"/>
    <w:tmpl w:val="0F54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CC66D9"/>
    <w:multiLevelType w:val="hybridMultilevel"/>
    <w:tmpl w:val="BD1A1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96FD2"/>
    <w:multiLevelType w:val="hybridMultilevel"/>
    <w:tmpl w:val="7C123F32"/>
    <w:lvl w:ilvl="0" w:tplc="01FEDD0A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6">
    <w:nsid w:val="4DA32F74"/>
    <w:multiLevelType w:val="hybridMultilevel"/>
    <w:tmpl w:val="A41A1FC0"/>
    <w:lvl w:ilvl="0" w:tplc="7316A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234DB3"/>
    <w:multiLevelType w:val="hybridMultilevel"/>
    <w:tmpl w:val="8ABCC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A4A6B"/>
    <w:multiLevelType w:val="hybridMultilevel"/>
    <w:tmpl w:val="5C8835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AB44A4"/>
    <w:multiLevelType w:val="hybridMultilevel"/>
    <w:tmpl w:val="EC1C7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75C7D"/>
    <w:multiLevelType w:val="hybridMultilevel"/>
    <w:tmpl w:val="498016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34C68"/>
    <w:multiLevelType w:val="hybridMultilevel"/>
    <w:tmpl w:val="FADA05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6D2C42"/>
    <w:multiLevelType w:val="hybridMultilevel"/>
    <w:tmpl w:val="3260102E"/>
    <w:lvl w:ilvl="0" w:tplc="CBE6F09C">
      <w:start w:val="5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F067D8"/>
    <w:multiLevelType w:val="hybridMultilevel"/>
    <w:tmpl w:val="38D23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0F5712"/>
    <w:multiLevelType w:val="hybridMultilevel"/>
    <w:tmpl w:val="48E01D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22196D"/>
    <w:multiLevelType w:val="hybridMultilevel"/>
    <w:tmpl w:val="64E052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0A57E9"/>
    <w:multiLevelType w:val="hybridMultilevel"/>
    <w:tmpl w:val="F4E0D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B4977"/>
    <w:multiLevelType w:val="hybridMultilevel"/>
    <w:tmpl w:val="F410B1E4"/>
    <w:lvl w:ilvl="0" w:tplc="1E1A34E6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 w:tplc="0809001B">
      <w:start w:val="1"/>
      <w:numFmt w:val="lowerRoman"/>
      <w:lvlText w:val="%2."/>
      <w:lvlJc w:val="right"/>
      <w:pPr>
        <w:ind w:left="1613" w:hanging="360"/>
      </w:pPr>
    </w:lvl>
    <w:lvl w:ilvl="2" w:tplc="0809001B" w:tentative="1">
      <w:start w:val="1"/>
      <w:numFmt w:val="lowerRoman"/>
      <w:lvlText w:val="%3."/>
      <w:lvlJc w:val="right"/>
      <w:pPr>
        <w:ind w:left="2333" w:hanging="180"/>
      </w:pPr>
    </w:lvl>
    <w:lvl w:ilvl="3" w:tplc="0809000F" w:tentative="1">
      <w:start w:val="1"/>
      <w:numFmt w:val="decimal"/>
      <w:lvlText w:val="%4."/>
      <w:lvlJc w:val="left"/>
      <w:pPr>
        <w:ind w:left="3053" w:hanging="360"/>
      </w:pPr>
    </w:lvl>
    <w:lvl w:ilvl="4" w:tplc="08090019" w:tentative="1">
      <w:start w:val="1"/>
      <w:numFmt w:val="lowerLetter"/>
      <w:lvlText w:val="%5."/>
      <w:lvlJc w:val="left"/>
      <w:pPr>
        <w:ind w:left="3773" w:hanging="360"/>
      </w:pPr>
    </w:lvl>
    <w:lvl w:ilvl="5" w:tplc="0809001B" w:tentative="1">
      <w:start w:val="1"/>
      <w:numFmt w:val="lowerRoman"/>
      <w:lvlText w:val="%6."/>
      <w:lvlJc w:val="right"/>
      <w:pPr>
        <w:ind w:left="4493" w:hanging="180"/>
      </w:pPr>
    </w:lvl>
    <w:lvl w:ilvl="6" w:tplc="0809000F" w:tentative="1">
      <w:start w:val="1"/>
      <w:numFmt w:val="decimal"/>
      <w:lvlText w:val="%7."/>
      <w:lvlJc w:val="left"/>
      <w:pPr>
        <w:ind w:left="5213" w:hanging="360"/>
      </w:pPr>
    </w:lvl>
    <w:lvl w:ilvl="7" w:tplc="08090019" w:tentative="1">
      <w:start w:val="1"/>
      <w:numFmt w:val="lowerLetter"/>
      <w:lvlText w:val="%8."/>
      <w:lvlJc w:val="left"/>
      <w:pPr>
        <w:ind w:left="5933" w:hanging="360"/>
      </w:pPr>
    </w:lvl>
    <w:lvl w:ilvl="8" w:tplc="08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8">
    <w:nsid w:val="7460678B"/>
    <w:multiLevelType w:val="hybridMultilevel"/>
    <w:tmpl w:val="18E08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BE59E0"/>
    <w:multiLevelType w:val="hybridMultilevel"/>
    <w:tmpl w:val="5F1E92E6"/>
    <w:lvl w:ilvl="0" w:tplc="00CA860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  <w:color w:val="5FBAA7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8"/>
  </w:num>
  <w:num w:numId="4">
    <w:abstractNumId w:val="9"/>
  </w:num>
  <w:num w:numId="5">
    <w:abstractNumId w:val="28"/>
  </w:num>
  <w:num w:numId="6">
    <w:abstractNumId w:val="23"/>
  </w:num>
  <w:num w:numId="7">
    <w:abstractNumId w:val="20"/>
  </w:num>
  <w:num w:numId="8">
    <w:abstractNumId w:val="11"/>
  </w:num>
  <w:num w:numId="9">
    <w:abstractNumId w:val="6"/>
  </w:num>
  <w:num w:numId="10">
    <w:abstractNumId w:val="0"/>
  </w:num>
  <w:num w:numId="11">
    <w:abstractNumId w:val="29"/>
  </w:num>
  <w:num w:numId="12">
    <w:abstractNumId w:val="15"/>
  </w:num>
  <w:num w:numId="13">
    <w:abstractNumId w:val="18"/>
  </w:num>
  <w:num w:numId="14">
    <w:abstractNumId w:val="26"/>
  </w:num>
  <w:num w:numId="15">
    <w:abstractNumId w:val="16"/>
  </w:num>
  <w:num w:numId="16">
    <w:abstractNumId w:val="25"/>
  </w:num>
  <w:num w:numId="17">
    <w:abstractNumId w:val="17"/>
  </w:num>
  <w:num w:numId="18">
    <w:abstractNumId w:val="3"/>
  </w:num>
  <w:num w:numId="19">
    <w:abstractNumId w:val="19"/>
  </w:num>
  <w:num w:numId="20">
    <w:abstractNumId w:val="24"/>
  </w:num>
  <w:num w:numId="21">
    <w:abstractNumId w:val="21"/>
  </w:num>
  <w:num w:numId="22">
    <w:abstractNumId w:val="13"/>
  </w:num>
  <w:num w:numId="23">
    <w:abstractNumId w:val="10"/>
  </w:num>
  <w:num w:numId="24">
    <w:abstractNumId w:val="4"/>
  </w:num>
  <w:num w:numId="25">
    <w:abstractNumId w:val="2"/>
  </w:num>
  <w:num w:numId="26">
    <w:abstractNumId w:val="5"/>
  </w:num>
  <w:num w:numId="27">
    <w:abstractNumId w:val="22"/>
  </w:num>
  <w:num w:numId="28">
    <w:abstractNumId w:val="1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2MjCxMDY1NjOxNDNV0lEKTi0uzszPAykwrAUAblG9qywAAAA="/>
  </w:docVars>
  <w:rsids>
    <w:rsidRoot w:val="001E52F3"/>
    <w:rsid w:val="0000025B"/>
    <w:rsid w:val="00012D05"/>
    <w:rsid w:val="000312B8"/>
    <w:rsid w:val="0003355A"/>
    <w:rsid w:val="00046CCE"/>
    <w:rsid w:val="00052D98"/>
    <w:rsid w:val="00056BDA"/>
    <w:rsid w:val="00090562"/>
    <w:rsid w:val="000B321C"/>
    <w:rsid w:val="000D187C"/>
    <w:rsid w:val="000E0511"/>
    <w:rsid w:val="00111BE6"/>
    <w:rsid w:val="00112C9C"/>
    <w:rsid w:val="00136042"/>
    <w:rsid w:val="001444A8"/>
    <w:rsid w:val="00165322"/>
    <w:rsid w:val="0016579B"/>
    <w:rsid w:val="00165E1B"/>
    <w:rsid w:val="001732E0"/>
    <w:rsid w:val="001746F4"/>
    <w:rsid w:val="001E52F3"/>
    <w:rsid w:val="00211CBD"/>
    <w:rsid w:val="002202DC"/>
    <w:rsid w:val="00244F6A"/>
    <w:rsid w:val="00252843"/>
    <w:rsid w:val="00273AD3"/>
    <w:rsid w:val="00281C73"/>
    <w:rsid w:val="002840E4"/>
    <w:rsid w:val="002F12E5"/>
    <w:rsid w:val="00301DD5"/>
    <w:rsid w:val="00314A2B"/>
    <w:rsid w:val="00355325"/>
    <w:rsid w:val="003A221D"/>
    <w:rsid w:val="003A28BA"/>
    <w:rsid w:val="003B53A2"/>
    <w:rsid w:val="003C7FC8"/>
    <w:rsid w:val="00403419"/>
    <w:rsid w:val="00417295"/>
    <w:rsid w:val="00455299"/>
    <w:rsid w:val="004735DE"/>
    <w:rsid w:val="004B3C4E"/>
    <w:rsid w:val="00522B15"/>
    <w:rsid w:val="005249F4"/>
    <w:rsid w:val="00550BDA"/>
    <w:rsid w:val="005511E6"/>
    <w:rsid w:val="00565D84"/>
    <w:rsid w:val="00575EDC"/>
    <w:rsid w:val="005D4D41"/>
    <w:rsid w:val="006056E4"/>
    <w:rsid w:val="00607650"/>
    <w:rsid w:val="006130D2"/>
    <w:rsid w:val="00617DAB"/>
    <w:rsid w:val="00643D41"/>
    <w:rsid w:val="00653B15"/>
    <w:rsid w:val="0067585D"/>
    <w:rsid w:val="006A7DDD"/>
    <w:rsid w:val="006B16FB"/>
    <w:rsid w:val="006D2EB5"/>
    <w:rsid w:val="00707B8E"/>
    <w:rsid w:val="00712C0B"/>
    <w:rsid w:val="00736070"/>
    <w:rsid w:val="00737AC0"/>
    <w:rsid w:val="007420D2"/>
    <w:rsid w:val="0075062C"/>
    <w:rsid w:val="00767B23"/>
    <w:rsid w:val="007A030B"/>
    <w:rsid w:val="007C2264"/>
    <w:rsid w:val="007E7197"/>
    <w:rsid w:val="008205AF"/>
    <w:rsid w:val="008205B2"/>
    <w:rsid w:val="008434F9"/>
    <w:rsid w:val="008515E6"/>
    <w:rsid w:val="0088473C"/>
    <w:rsid w:val="008B6D1D"/>
    <w:rsid w:val="00917FD5"/>
    <w:rsid w:val="009E2A95"/>
    <w:rsid w:val="00A25D72"/>
    <w:rsid w:val="00A27335"/>
    <w:rsid w:val="00A455B7"/>
    <w:rsid w:val="00A52DCE"/>
    <w:rsid w:val="00A53F23"/>
    <w:rsid w:val="00A75C89"/>
    <w:rsid w:val="00A80020"/>
    <w:rsid w:val="00AD0606"/>
    <w:rsid w:val="00AE4440"/>
    <w:rsid w:val="00B1104C"/>
    <w:rsid w:val="00B23B8E"/>
    <w:rsid w:val="00B37990"/>
    <w:rsid w:val="00B41E10"/>
    <w:rsid w:val="00B451BE"/>
    <w:rsid w:val="00B50E8B"/>
    <w:rsid w:val="00B53153"/>
    <w:rsid w:val="00B552EF"/>
    <w:rsid w:val="00B56F3F"/>
    <w:rsid w:val="00B645C9"/>
    <w:rsid w:val="00B75456"/>
    <w:rsid w:val="00B809F4"/>
    <w:rsid w:val="00BA0231"/>
    <w:rsid w:val="00BA1311"/>
    <w:rsid w:val="00BA1C01"/>
    <w:rsid w:val="00BB2748"/>
    <w:rsid w:val="00BB65F2"/>
    <w:rsid w:val="00BD479D"/>
    <w:rsid w:val="00BD7F58"/>
    <w:rsid w:val="00BE6210"/>
    <w:rsid w:val="00BF0A6C"/>
    <w:rsid w:val="00C31DD5"/>
    <w:rsid w:val="00C339FC"/>
    <w:rsid w:val="00C36DA0"/>
    <w:rsid w:val="00C5149C"/>
    <w:rsid w:val="00C60DA7"/>
    <w:rsid w:val="00C77CC3"/>
    <w:rsid w:val="00C80ADC"/>
    <w:rsid w:val="00C96C7C"/>
    <w:rsid w:val="00CA3741"/>
    <w:rsid w:val="00CB4DDE"/>
    <w:rsid w:val="00CC0B0D"/>
    <w:rsid w:val="00CD4380"/>
    <w:rsid w:val="00CD7C4B"/>
    <w:rsid w:val="00CE549E"/>
    <w:rsid w:val="00CF14E1"/>
    <w:rsid w:val="00D010A6"/>
    <w:rsid w:val="00D024F5"/>
    <w:rsid w:val="00D30EC9"/>
    <w:rsid w:val="00D428A7"/>
    <w:rsid w:val="00D739BE"/>
    <w:rsid w:val="00D73C24"/>
    <w:rsid w:val="00D87FC0"/>
    <w:rsid w:val="00DA2AB4"/>
    <w:rsid w:val="00DA2C6C"/>
    <w:rsid w:val="00DA4762"/>
    <w:rsid w:val="00DE1A98"/>
    <w:rsid w:val="00DF3CE3"/>
    <w:rsid w:val="00E0494E"/>
    <w:rsid w:val="00EB1EA4"/>
    <w:rsid w:val="00EB68AD"/>
    <w:rsid w:val="00EC0C8D"/>
    <w:rsid w:val="00EC5822"/>
    <w:rsid w:val="00EC63E0"/>
    <w:rsid w:val="00ED59E5"/>
    <w:rsid w:val="00EF77EE"/>
    <w:rsid w:val="00F03B09"/>
    <w:rsid w:val="00F078B6"/>
    <w:rsid w:val="00F13549"/>
    <w:rsid w:val="00F13CF8"/>
    <w:rsid w:val="00F15D7A"/>
    <w:rsid w:val="00F26422"/>
    <w:rsid w:val="00F3613A"/>
    <w:rsid w:val="00F61AA3"/>
    <w:rsid w:val="00F661DF"/>
    <w:rsid w:val="00F67D56"/>
    <w:rsid w:val="00F76FC4"/>
    <w:rsid w:val="00F80A67"/>
    <w:rsid w:val="00F874C7"/>
    <w:rsid w:val="00FA5B9F"/>
    <w:rsid w:val="00FB7D81"/>
    <w:rsid w:val="00FE0541"/>
    <w:rsid w:val="00F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2F3"/>
  </w:style>
  <w:style w:type="paragraph" w:styleId="Heading1">
    <w:name w:val="heading 1"/>
    <w:basedOn w:val="Normal"/>
    <w:next w:val="Normal"/>
    <w:link w:val="Heading1Char"/>
    <w:uiPriority w:val="9"/>
    <w:rsid w:val="001E52F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E52F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52F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52F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52F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52F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52F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52F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52F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2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2F3"/>
  </w:style>
  <w:style w:type="paragraph" w:styleId="Footer">
    <w:name w:val="footer"/>
    <w:basedOn w:val="Normal"/>
    <w:link w:val="FooterChar"/>
    <w:uiPriority w:val="99"/>
    <w:unhideWhenUsed/>
    <w:rsid w:val="001E52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2F3"/>
  </w:style>
  <w:style w:type="character" w:customStyle="1" w:styleId="Heading1Char">
    <w:name w:val="Heading 1 Char"/>
    <w:basedOn w:val="DefaultParagraphFont"/>
    <w:link w:val="Heading1"/>
    <w:uiPriority w:val="9"/>
    <w:rsid w:val="001E52F3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52F3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52F3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52F3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52F3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52F3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52F3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52F3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52F3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52F3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1E52F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E52F3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rsid w:val="001E52F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E52F3"/>
    <w:rPr>
      <w:caps/>
      <w:spacing w:val="20"/>
      <w:sz w:val="18"/>
      <w:szCs w:val="18"/>
    </w:rPr>
  </w:style>
  <w:style w:type="character" w:styleId="Strong">
    <w:name w:val="Strong"/>
    <w:uiPriority w:val="22"/>
    <w:rsid w:val="001E52F3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rsid w:val="001E52F3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E52F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E52F3"/>
  </w:style>
  <w:style w:type="paragraph" w:styleId="ListParagraph">
    <w:name w:val="List Paragraph"/>
    <w:basedOn w:val="Normal"/>
    <w:uiPriority w:val="34"/>
    <w:qFormat/>
    <w:rsid w:val="001E52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1E52F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E52F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1E52F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52F3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rsid w:val="001E52F3"/>
    <w:rPr>
      <w:i/>
      <w:iCs/>
    </w:rPr>
  </w:style>
  <w:style w:type="character" w:styleId="IntenseEmphasis">
    <w:name w:val="Intense Emphasis"/>
    <w:uiPriority w:val="21"/>
    <w:rsid w:val="001E52F3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rsid w:val="001E52F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rsid w:val="001E52F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rsid w:val="001E52F3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52F3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2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F3"/>
    <w:rPr>
      <w:rFonts w:ascii="Lucida Grande" w:hAnsi="Lucida Grande" w:cs="Lucida Grande"/>
      <w:sz w:val="18"/>
      <w:szCs w:val="18"/>
    </w:rPr>
  </w:style>
  <w:style w:type="paragraph" w:customStyle="1" w:styleId="headings">
    <w:name w:val="headings"/>
    <w:basedOn w:val="Normal"/>
    <w:qFormat/>
    <w:rsid w:val="001E52F3"/>
    <w:rPr>
      <w:b/>
      <w:color w:val="384B5D"/>
      <w:sz w:val="28"/>
    </w:rPr>
  </w:style>
  <w:style w:type="table" w:styleId="LightList-Accent5">
    <w:name w:val="Light List Accent 5"/>
    <w:basedOn w:val="TableNormal"/>
    <w:uiPriority w:val="61"/>
    <w:rsid w:val="00F13549"/>
    <w:pPr>
      <w:spacing w:after="0" w:line="240" w:lineRule="auto"/>
    </w:pPr>
    <w:rPr>
      <w:rFonts w:asciiTheme="minorHAnsi" w:eastAsiaTheme="minorHAnsi" w:hAnsiTheme="minorHAnsi" w:cstheme="minorBidi"/>
      <w:lang w:val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B3C4E"/>
    <w:rPr>
      <w:color w:val="0000FF" w:themeColor="hyperlink"/>
      <w:u w:val="single"/>
    </w:rPr>
  </w:style>
  <w:style w:type="paragraph" w:styleId="FootnoteText">
    <w:name w:val="footnote text"/>
    <w:aliases w:val="~FootnoteText"/>
    <w:basedOn w:val="Normal"/>
    <w:link w:val="FootnoteTextChar"/>
    <w:rsid w:val="00C77CC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rsid w:val="00C77CC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rsid w:val="00C77CC3"/>
    <w:rPr>
      <w:vertAlign w:val="superscript"/>
    </w:rPr>
  </w:style>
  <w:style w:type="paragraph" w:customStyle="1" w:styleId="Tablebullets">
    <w:name w:val="Table bullets"/>
    <w:basedOn w:val="Normal"/>
    <w:qFormat/>
    <w:rsid w:val="00C77CC3"/>
    <w:pPr>
      <w:numPr>
        <w:numId w:val="11"/>
      </w:numPr>
      <w:overflowPunct w:val="0"/>
      <w:autoSpaceDE w:val="0"/>
      <w:autoSpaceDN w:val="0"/>
      <w:adjustRightInd w:val="0"/>
      <w:spacing w:before="60" w:after="60" w:line="240" w:lineRule="auto"/>
      <w:ind w:left="280" w:hanging="283"/>
      <w:textAlignment w:val="baseline"/>
    </w:pPr>
    <w:rPr>
      <w:rFonts w:ascii="Arial" w:eastAsia="Times New Roman" w:hAnsi="Arial" w:cs="Times New Roman"/>
      <w:sz w:val="20"/>
      <w:szCs w:val="20"/>
      <w:lang w:val="en-GB" w:eastAsia="en-GB"/>
    </w:rPr>
  </w:style>
  <w:style w:type="table" w:styleId="TableGrid">
    <w:name w:val="Table Grid"/>
    <w:basedOn w:val="TableNormal"/>
    <w:uiPriority w:val="39"/>
    <w:rsid w:val="00C77CC3"/>
    <w:pPr>
      <w:spacing w:after="0" w:line="240" w:lineRule="auto"/>
    </w:pPr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53B15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428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2F3"/>
  </w:style>
  <w:style w:type="paragraph" w:styleId="Heading1">
    <w:name w:val="heading 1"/>
    <w:basedOn w:val="Normal"/>
    <w:next w:val="Normal"/>
    <w:link w:val="Heading1Char"/>
    <w:uiPriority w:val="9"/>
    <w:rsid w:val="001E52F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E52F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52F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52F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52F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52F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52F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52F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52F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2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2F3"/>
  </w:style>
  <w:style w:type="paragraph" w:styleId="Footer">
    <w:name w:val="footer"/>
    <w:basedOn w:val="Normal"/>
    <w:link w:val="FooterChar"/>
    <w:uiPriority w:val="99"/>
    <w:unhideWhenUsed/>
    <w:rsid w:val="001E52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2F3"/>
  </w:style>
  <w:style w:type="character" w:customStyle="1" w:styleId="Heading1Char">
    <w:name w:val="Heading 1 Char"/>
    <w:basedOn w:val="DefaultParagraphFont"/>
    <w:link w:val="Heading1"/>
    <w:uiPriority w:val="9"/>
    <w:rsid w:val="001E52F3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52F3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52F3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52F3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52F3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52F3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52F3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52F3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52F3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52F3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1E52F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E52F3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rsid w:val="001E52F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E52F3"/>
    <w:rPr>
      <w:caps/>
      <w:spacing w:val="20"/>
      <w:sz w:val="18"/>
      <w:szCs w:val="18"/>
    </w:rPr>
  </w:style>
  <w:style w:type="character" w:styleId="Strong">
    <w:name w:val="Strong"/>
    <w:uiPriority w:val="22"/>
    <w:rsid w:val="001E52F3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rsid w:val="001E52F3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E52F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E52F3"/>
  </w:style>
  <w:style w:type="paragraph" w:styleId="ListParagraph">
    <w:name w:val="List Paragraph"/>
    <w:basedOn w:val="Normal"/>
    <w:uiPriority w:val="34"/>
    <w:qFormat/>
    <w:rsid w:val="001E52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1E52F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E52F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1E52F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52F3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rsid w:val="001E52F3"/>
    <w:rPr>
      <w:i/>
      <w:iCs/>
    </w:rPr>
  </w:style>
  <w:style w:type="character" w:styleId="IntenseEmphasis">
    <w:name w:val="Intense Emphasis"/>
    <w:uiPriority w:val="21"/>
    <w:rsid w:val="001E52F3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rsid w:val="001E52F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rsid w:val="001E52F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rsid w:val="001E52F3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52F3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2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F3"/>
    <w:rPr>
      <w:rFonts w:ascii="Lucida Grande" w:hAnsi="Lucida Grande" w:cs="Lucida Grande"/>
      <w:sz w:val="18"/>
      <w:szCs w:val="18"/>
    </w:rPr>
  </w:style>
  <w:style w:type="paragraph" w:customStyle="1" w:styleId="headings">
    <w:name w:val="headings"/>
    <w:basedOn w:val="Normal"/>
    <w:qFormat/>
    <w:rsid w:val="001E52F3"/>
    <w:rPr>
      <w:b/>
      <w:color w:val="384B5D"/>
      <w:sz w:val="28"/>
    </w:rPr>
  </w:style>
  <w:style w:type="table" w:styleId="LightList-Accent5">
    <w:name w:val="Light List Accent 5"/>
    <w:basedOn w:val="TableNormal"/>
    <w:uiPriority w:val="61"/>
    <w:rsid w:val="00F13549"/>
    <w:pPr>
      <w:spacing w:after="0" w:line="240" w:lineRule="auto"/>
    </w:pPr>
    <w:rPr>
      <w:rFonts w:asciiTheme="minorHAnsi" w:eastAsiaTheme="minorHAnsi" w:hAnsiTheme="minorHAnsi" w:cstheme="minorBidi"/>
      <w:lang w:val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B3C4E"/>
    <w:rPr>
      <w:color w:val="0000FF" w:themeColor="hyperlink"/>
      <w:u w:val="single"/>
    </w:rPr>
  </w:style>
  <w:style w:type="paragraph" w:styleId="FootnoteText">
    <w:name w:val="footnote text"/>
    <w:aliases w:val="~FootnoteText"/>
    <w:basedOn w:val="Normal"/>
    <w:link w:val="FootnoteTextChar"/>
    <w:rsid w:val="00C77CC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rsid w:val="00C77CC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rsid w:val="00C77CC3"/>
    <w:rPr>
      <w:vertAlign w:val="superscript"/>
    </w:rPr>
  </w:style>
  <w:style w:type="paragraph" w:customStyle="1" w:styleId="Tablebullets">
    <w:name w:val="Table bullets"/>
    <w:basedOn w:val="Normal"/>
    <w:qFormat/>
    <w:rsid w:val="00C77CC3"/>
    <w:pPr>
      <w:numPr>
        <w:numId w:val="11"/>
      </w:numPr>
      <w:overflowPunct w:val="0"/>
      <w:autoSpaceDE w:val="0"/>
      <w:autoSpaceDN w:val="0"/>
      <w:adjustRightInd w:val="0"/>
      <w:spacing w:before="60" w:after="60" w:line="240" w:lineRule="auto"/>
      <w:ind w:left="280" w:hanging="283"/>
      <w:textAlignment w:val="baseline"/>
    </w:pPr>
    <w:rPr>
      <w:rFonts w:ascii="Arial" w:eastAsia="Times New Roman" w:hAnsi="Arial" w:cs="Times New Roman"/>
      <w:sz w:val="20"/>
      <w:szCs w:val="20"/>
      <w:lang w:val="en-GB" w:eastAsia="en-GB"/>
    </w:rPr>
  </w:style>
  <w:style w:type="table" w:styleId="TableGrid">
    <w:name w:val="Table Grid"/>
    <w:basedOn w:val="TableNormal"/>
    <w:uiPriority w:val="39"/>
    <w:rsid w:val="00C77CC3"/>
    <w:pPr>
      <w:spacing w:after="0" w:line="240" w:lineRule="auto"/>
    </w:pPr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53B15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42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744850-945E-4B2D-B8FD-3043F0FA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Swain</dc:creator>
  <cp:lastModifiedBy>Immy</cp:lastModifiedBy>
  <cp:revision>2</cp:revision>
  <dcterms:created xsi:type="dcterms:W3CDTF">2022-03-16T13:35:00Z</dcterms:created>
  <dcterms:modified xsi:type="dcterms:W3CDTF">2022-03-16T13:35:00Z</dcterms:modified>
</cp:coreProperties>
</file>