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772E9F" w14:textId="6E4D9A19" w:rsidR="00D7420D" w:rsidRPr="00597A38" w:rsidRDefault="00C41FF6" w:rsidP="00C41FF6">
      <w:pPr>
        <w:pStyle w:val="NoSpacing"/>
        <w:rPr>
          <w:rFonts w:ascii="Arial" w:hAnsi="Arial" w:cs="Arial"/>
        </w:rPr>
      </w:pPr>
      <w:r>
        <w:rPr>
          <w:noProof/>
        </w:rPr>
        <w:drawing>
          <wp:anchor distT="0" distB="0" distL="114300" distR="114300" simplePos="0" relativeHeight="251658240" behindDoc="0" locked="0" layoutInCell="1" allowOverlap="1" wp14:anchorId="7B453997" wp14:editId="66AD23D3">
            <wp:simplePos x="0" y="0"/>
            <wp:positionH relativeFrom="column">
              <wp:posOffset>-676275</wp:posOffset>
            </wp:positionH>
            <wp:positionV relativeFrom="page">
              <wp:posOffset>19050</wp:posOffset>
            </wp:positionV>
            <wp:extent cx="7576185" cy="1162050"/>
            <wp:effectExtent l="0" t="0" r="0" b="0"/>
            <wp:wrapThrough wrapText="bothSides">
              <wp:wrapPolygon edited="0">
                <wp:start x="0" y="0"/>
                <wp:lineTo x="0" y="21246"/>
                <wp:lineTo x="13687" y="21246"/>
                <wp:lineTo x="16402" y="21246"/>
                <wp:lineTo x="19444" y="19121"/>
                <wp:lineTo x="19389" y="16997"/>
                <wp:lineTo x="20204" y="15580"/>
                <wp:lineTo x="20802" y="13102"/>
                <wp:lineTo x="20639" y="11331"/>
                <wp:lineTo x="20313" y="2479"/>
                <wp:lineTo x="19824" y="1770"/>
                <wp:lineTo x="16565"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76185" cy="1162050"/>
                    </a:xfrm>
                    <a:prstGeom prst="rect">
                      <a:avLst/>
                    </a:prstGeom>
                    <a:noFill/>
                    <a:ln>
                      <a:noFill/>
                    </a:ln>
                  </pic:spPr>
                </pic:pic>
              </a:graphicData>
            </a:graphic>
            <wp14:sizeRelH relativeFrom="margin">
              <wp14:pctWidth>0</wp14:pctWidth>
            </wp14:sizeRelH>
          </wp:anchor>
        </w:drawing>
      </w:r>
    </w:p>
    <w:p w14:paraId="4ACE1214" w14:textId="77777777" w:rsidR="00A70434" w:rsidRPr="00A70434" w:rsidRDefault="00A70434" w:rsidP="00A70434">
      <w:pPr>
        <w:jc w:val="center"/>
        <w:rPr>
          <w:rFonts w:ascii="Arial" w:hAnsi="Arial" w:cs="Arial"/>
          <w:b/>
          <w:bCs/>
          <w:color w:val="auto"/>
          <w:kern w:val="0"/>
          <w:sz w:val="32"/>
          <w:szCs w:val="32"/>
          <w14:ligatures w14:val="none"/>
          <w14:cntxtAlts w14:val="0"/>
        </w:rPr>
      </w:pPr>
      <w:r w:rsidRPr="00A70434">
        <w:rPr>
          <w:rFonts w:ascii="Arial" w:hAnsi="Arial" w:cs="Arial"/>
          <w:b/>
          <w:bCs/>
          <w:sz w:val="32"/>
          <w:szCs w:val="32"/>
        </w:rPr>
        <w:t>Approval Process for Accessing information and working outside the UK at OFFICIAL on Supplier Devices</w:t>
      </w:r>
    </w:p>
    <w:p w14:paraId="3E115067" w14:textId="77777777" w:rsidR="00A70434" w:rsidRDefault="00A70434" w:rsidP="00A70434">
      <w:pPr>
        <w:rPr>
          <w:rFonts w:ascii="Arial" w:hAnsi="Arial" w:cs="Arial"/>
        </w:rPr>
      </w:pPr>
    </w:p>
    <w:p w14:paraId="5E98535E" w14:textId="196B2258" w:rsidR="00A70434" w:rsidRPr="00A70434" w:rsidRDefault="00A70434" w:rsidP="00A70434">
      <w:pPr>
        <w:rPr>
          <w:rFonts w:ascii="Arial" w:hAnsi="Arial" w:cs="Arial"/>
          <w:sz w:val="22"/>
          <w:szCs w:val="22"/>
        </w:rPr>
      </w:pPr>
      <w:r w:rsidRPr="00A70434">
        <w:rPr>
          <w:rFonts w:ascii="Arial" w:hAnsi="Arial" w:cs="Arial"/>
          <w:sz w:val="22"/>
          <w:szCs w:val="22"/>
        </w:rPr>
        <w:t>All access to Sellafield OFFICIAL data from outside the UK must be authorised by the Sellafield Contract Security team prior to such access being afforded. This includes all PPP personnel and the supply chain when outside the UK on a temporary basis, requiring access to such data on non-Sellafield Ltd IT devices.</w:t>
      </w:r>
    </w:p>
    <w:p w14:paraId="14C32FA4" w14:textId="77777777" w:rsidR="00A70434" w:rsidRPr="00A70434" w:rsidRDefault="00A70434" w:rsidP="00A70434">
      <w:pPr>
        <w:rPr>
          <w:rFonts w:ascii="Arial" w:hAnsi="Arial" w:cs="Arial"/>
          <w:sz w:val="22"/>
          <w:szCs w:val="22"/>
        </w:rPr>
      </w:pPr>
      <w:r w:rsidRPr="00A70434">
        <w:rPr>
          <w:rFonts w:ascii="Arial" w:hAnsi="Arial" w:cs="Arial"/>
          <w:sz w:val="22"/>
          <w:szCs w:val="22"/>
        </w:rPr>
        <w:t xml:space="preserve">As a rule, accessing information at OFFICIAL on Sellafield Ltd IT devices outside the UK and the taking of such devices outside the UK is not permitted, (this includes SL-PPP devices). Equally access to information at OFFICIAL-SENSITIVE (including Sensitive Nuclear Information - SNI) outside the UK is not permitted. </w:t>
      </w:r>
    </w:p>
    <w:p w14:paraId="1F076F09" w14:textId="77777777" w:rsidR="00A70434" w:rsidRPr="00A70434" w:rsidRDefault="00A70434" w:rsidP="00A70434">
      <w:pPr>
        <w:rPr>
          <w:rFonts w:ascii="Arial" w:hAnsi="Arial" w:cs="Arial"/>
          <w:sz w:val="22"/>
          <w:szCs w:val="22"/>
        </w:rPr>
      </w:pPr>
      <w:r w:rsidRPr="00A70434">
        <w:rPr>
          <w:rFonts w:ascii="Arial" w:hAnsi="Arial" w:cs="Arial"/>
          <w:sz w:val="22"/>
          <w:szCs w:val="22"/>
        </w:rPr>
        <w:t xml:space="preserve">Sellafield have recently issued the following notice - </w:t>
      </w:r>
      <w:r w:rsidRPr="00A70434">
        <w:rPr>
          <w:rFonts w:ascii="Arial" w:hAnsi="Arial" w:cs="Arial"/>
          <w:i/>
          <w:iCs/>
          <w:sz w:val="22"/>
          <w:szCs w:val="22"/>
        </w:rPr>
        <w:t xml:space="preserve">‘Working Outside the UK on Supplier Devices at OFFICIAL’ </w:t>
      </w:r>
      <w:r w:rsidRPr="00A70434">
        <w:rPr>
          <w:rFonts w:ascii="Arial" w:hAnsi="Arial" w:cs="Arial"/>
          <w:sz w:val="22"/>
          <w:szCs w:val="22"/>
        </w:rPr>
        <w:t>outlining the process to gain authorisation (attached). This requires 2 stages of authorisation, the first relating to the supplier device to be used for such access, with the second relating to the individual and the business case behind such a request, all requests are assessed on a case-by-case basis.</w:t>
      </w:r>
    </w:p>
    <w:p w14:paraId="7B3B788B" w14:textId="77777777" w:rsidR="00A70434" w:rsidRPr="00A70434" w:rsidRDefault="00A70434" w:rsidP="00A70434">
      <w:pPr>
        <w:rPr>
          <w:rFonts w:ascii="Arial" w:hAnsi="Arial" w:cs="Arial"/>
          <w:sz w:val="22"/>
          <w:szCs w:val="22"/>
        </w:rPr>
      </w:pPr>
      <w:r w:rsidRPr="00A70434">
        <w:rPr>
          <w:rFonts w:ascii="Arial" w:hAnsi="Arial" w:cs="Arial"/>
          <w:sz w:val="22"/>
          <w:szCs w:val="22"/>
        </w:rPr>
        <w:t>For all PPP personnel and supply chain requiring such authorisation the following process shall be followed.</w:t>
      </w:r>
    </w:p>
    <w:p w14:paraId="338C6941" w14:textId="77777777" w:rsidR="00A70434" w:rsidRPr="00A70434" w:rsidRDefault="00A70434" w:rsidP="00A70434">
      <w:pPr>
        <w:pStyle w:val="ListParagraph"/>
        <w:numPr>
          <w:ilvl w:val="0"/>
          <w:numId w:val="2"/>
        </w:numPr>
        <w:spacing w:after="160" w:line="256" w:lineRule="auto"/>
        <w:rPr>
          <w:rFonts w:ascii="Arial" w:hAnsi="Arial" w:cs="Arial"/>
          <w:sz w:val="22"/>
          <w:szCs w:val="22"/>
        </w:rPr>
      </w:pPr>
      <w:r w:rsidRPr="00A70434">
        <w:rPr>
          <w:rFonts w:ascii="Arial" w:hAnsi="Arial" w:cs="Arial"/>
          <w:sz w:val="22"/>
          <w:szCs w:val="22"/>
        </w:rPr>
        <w:t>All applications for authorisation shall be managed and submitted to Sellafield Ltd. Contract Security team (SLCST) via the relevant Lot partner security SPOC</w:t>
      </w:r>
    </w:p>
    <w:p w14:paraId="2CAEA6B9" w14:textId="77777777" w:rsidR="00A70434" w:rsidRPr="00A70434" w:rsidRDefault="00A70434" w:rsidP="00A70434">
      <w:pPr>
        <w:ind w:left="360"/>
        <w:rPr>
          <w:rFonts w:ascii="Arial" w:hAnsi="Arial" w:cs="Arial"/>
          <w:sz w:val="22"/>
          <w:szCs w:val="22"/>
        </w:rPr>
      </w:pPr>
      <w:r w:rsidRPr="00A70434">
        <w:rPr>
          <w:rFonts w:ascii="Arial" w:hAnsi="Arial" w:cs="Arial"/>
          <w:sz w:val="22"/>
          <w:szCs w:val="22"/>
        </w:rPr>
        <w:t>Step 1</w:t>
      </w:r>
    </w:p>
    <w:p w14:paraId="433EE551" w14:textId="77777777" w:rsidR="00A70434" w:rsidRPr="00A70434" w:rsidRDefault="00A70434" w:rsidP="00A70434">
      <w:pPr>
        <w:pStyle w:val="ListParagraph"/>
        <w:numPr>
          <w:ilvl w:val="0"/>
          <w:numId w:val="2"/>
        </w:numPr>
        <w:spacing w:after="160" w:line="256" w:lineRule="auto"/>
        <w:rPr>
          <w:rFonts w:ascii="Arial" w:hAnsi="Arial" w:cs="Arial"/>
          <w:sz w:val="22"/>
          <w:szCs w:val="22"/>
        </w:rPr>
      </w:pPr>
      <w:r w:rsidRPr="00A70434">
        <w:rPr>
          <w:rFonts w:ascii="Arial" w:hAnsi="Arial" w:cs="Arial"/>
          <w:sz w:val="22"/>
          <w:szCs w:val="22"/>
        </w:rPr>
        <w:t>As soon as you become aware of a requirement to access information outside, the supplier configuration question set (form 1), shall be completed and submitted to the relevant Security SPOC above for review and onward submission to the SLCST.</w:t>
      </w:r>
    </w:p>
    <w:p w14:paraId="5EF033A8" w14:textId="77777777" w:rsidR="00A70434" w:rsidRPr="00A70434" w:rsidRDefault="00A70434" w:rsidP="00A70434">
      <w:pPr>
        <w:pStyle w:val="ListParagraph"/>
        <w:numPr>
          <w:ilvl w:val="0"/>
          <w:numId w:val="2"/>
        </w:numPr>
        <w:spacing w:after="160" w:line="256" w:lineRule="auto"/>
        <w:rPr>
          <w:rFonts w:ascii="Arial" w:hAnsi="Arial" w:cs="Arial"/>
          <w:sz w:val="22"/>
          <w:szCs w:val="22"/>
        </w:rPr>
      </w:pPr>
      <w:r w:rsidRPr="00A70434">
        <w:rPr>
          <w:rFonts w:ascii="Arial" w:hAnsi="Arial" w:cs="Arial"/>
          <w:sz w:val="22"/>
          <w:szCs w:val="22"/>
        </w:rPr>
        <w:t>SLCST (Cyber Security Risk team) shall review the application and approve, decline the request or requests for further clarification (this will be made via the Security SPOC’s).</w:t>
      </w:r>
    </w:p>
    <w:p w14:paraId="3FFAAF10" w14:textId="77777777" w:rsidR="00A70434" w:rsidRPr="00A70434" w:rsidRDefault="00A70434" w:rsidP="00A70434">
      <w:pPr>
        <w:pStyle w:val="ListParagraph"/>
        <w:numPr>
          <w:ilvl w:val="0"/>
          <w:numId w:val="2"/>
        </w:numPr>
        <w:spacing w:after="160" w:line="256" w:lineRule="auto"/>
        <w:rPr>
          <w:rFonts w:ascii="Arial" w:hAnsi="Arial" w:cs="Arial"/>
          <w:sz w:val="22"/>
          <w:szCs w:val="22"/>
        </w:rPr>
      </w:pPr>
      <w:r w:rsidRPr="00A70434">
        <w:rPr>
          <w:rFonts w:ascii="Arial" w:hAnsi="Arial" w:cs="Arial"/>
          <w:sz w:val="22"/>
          <w:szCs w:val="22"/>
        </w:rPr>
        <w:t>Upon approval of the request the applicant can proceed to step 2</w:t>
      </w:r>
    </w:p>
    <w:p w14:paraId="0F1ADC65" w14:textId="77777777" w:rsidR="00A70434" w:rsidRPr="00A70434" w:rsidRDefault="00A70434" w:rsidP="00A70434">
      <w:pPr>
        <w:ind w:left="360"/>
        <w:rPr>
          <w:rFonts w:ascii="Arial" w:hAnsi="Arial" w:cs="Arial"/>
          <w:sz w:val="22"/>
          <w:szCs w:val="22"/>
        </w:rPr>
      </w:pPr>
      <w:r w:rsidRPr="00A70434">
        <w:rPr>
          <w:rFonts w:ascii="Arial" w:hAnsi="Arial" w:cs="Arial"/>
          <w:sz w:val="22"/>
          <w:szCs w:val="22"/>
        </w:rPr>
        <w:t>Step 2</w:t>
      </w:r>
    </w:p>
    <w:p w14:paraId="1485D188" w14:textId="77777777" w:rsidR="00A70434" w:rsidRPr="00A70434" w:rsidRDefault="00A70434" w:rsidP="00A70434">
      <w:pPr>
        <w:pStyle w:val="ListParagraph"/>
        <w:numPr>
          <w:ilvl w:val="0"/>
          <w:numId w:val="2"/>
        </w:numPr>
        <w:spacing w:after="160" w:line="256" w:lineRule="auto"/>
        <w:rPr>
          <w:rFonts w:ascii="Arial" w:hAnsi="Arial" w:cs="Arial"/>
          <w:sz w:val="22"/>
          <w:szCs w:val="22"/>
        </w:rPr>
      </w:pPr>
      <w:r w:rsidRPr="00A70434">
        <w:rPr>
          <w:rFonts w:ascii="Arial" w:hAnsi="Arial" w:cs="Arial"/>
          <w:sz w:val="22"/>
          <w:szCs w:val="22"/>
        </w:rPr>
        <w:t>The applicant shall complete the Supply Chain individual user application (form 2) and submit to the Security SPOC for review and submission to SLCST, all such applications must be submitted no later than 2 weeks prior to the proposed travel date</w:t>
      </w:r>
    </w:p>
    <w:p w14:paraId="6CC402C7" w14:textId="77777777" w:rsidR="00A70434" w:rsidRPr="00A70434" w:rsidRDefault="00A70434" w:rsidP="00A70434">
      <w:pPr>
        <w:pStyle w:val="ListParagraph"/>
        <w:numPr>
          <w:ilvl w:val="0"/>
          <w:numId w:val="2"/>
        </w:numPr>
        <w:spacing w:after="160" w:line="256" w:lineRule="auto"/>
        <w:rPr>
          <w:rFonts w:ascii="Arial" w:hAnsi="Arial" w:cs="Arial"/>
          <w:sz w:val="22"/>
          <w:szCs w:val="22"/>
        </w:rPr>
      </w:pPr>
      <w:r w:rsidRPr="00A70434">
        <w:rPr>
          <w:rFonts w:ascii="Arial" w:hAnsi="Arial" w:cs="Arial"/>
          <w:sz w:val="22"/>
          <w:szCs w:val="22"/>
        </w:rPr>
        <w:t>SLCST (Cyber security Team) shall review the application and either approve or decline as above and notify the Security SPOC.</w:t>
      </w:r>
    </w:p>
    <w:p w14:paraId="15392E42" w14:textId="64622ADA" w:rsidR="00A70434" w:rsidRPr="00A70434" w:rsidRDefault="00A70434" w:rsidP="00A70434">
      <w:pPr>
        <w:pStyle w:val="ListParagraph"/>
        <w:numPr>
          <w:ilvl w:val="0"/>
          <w:numId w:val="2"/>
        </w:numPr>
        <w:spacing w:after="160" w:line="256" w:lineRule="auto"/>
        <w:rPr>
          <w:rFonts w:ascii="Arial" w:hAnsi="Arial" w:cs="Arial"/>
          <w:sz w:val="22"/>
          <w:szCs w:val="22"/>
        </w:rPr>
      </w:pPr>
      <w:r w:rsidRPr="00A70434">
        <w:rPr>
          <w:rFonts w:ascii="Arial" w:hAnsi="Arial" w:cs="Arial"/>
          <w:sz w:val="22"/>
          <w:szCs w:val="22"/>
        </w:rPr>
        <w:t xml:space="preserve">The Security SPOC will notify the applicant of the result and advise them in relation to any additional security measures to be put in place and employees are aware of and understand their company policies and procedures for working outside the UK General requirement </w:t>
      </w:r>
    </w:p>
    <w:p w14:paraId="4DB05BB0" w14:textId="77777777" w:rsidR="00A70434" w:rsidRPr="00A70434" w:rsidRDefault="00A70434" w:rsidP="00A70434">
      <w:pPr>
        <w:pStyle w:val="ListParagraph"/>
        <w:numPr>
          <w:ilvl w:val="0"/>
          <w:numId w:val="2"/>
        </w:numPr>
        <w:spacing w:after="160" w:line="256" w:lineRule="auto"/>
        <w:rPr>
          <w:rFonts w:ascii="Arial" w:hAnsi="Arial" w:cs="Arial"/>
          <w:sz w:val="22"/>
          <w:szCs w:val="22"/>
        </w:rPr>
      </w:pPr>
      <w:r w:rsidRPr="00A70434">
        <w:rPr>
          <w:rFonts w:ascii="Arial" w:hAnsi="Arial" w:cs="Arial"/>
          <w:sz w:val="22"/>
          <w:szCs w:val="22"/>
        </w:rPr>
        <w:lastRenderedPageBreak/>
        <w:t xml:space="preserve">The Lot partner Security SPOC shall ensure a register is maintain of all applications made and authorisations granted, these shall be review on a regular basis to ensure individuals have returned to the UK within the specified dates agreed.  These registers will be subject to assurance checks on an ad-hoc basis by the PPP security manager &amp; SLCST. </w:t>
      </w:r>
    </w:p>
    <w:p w14:paraId="01BA543F" w14:textId="77777777" w:rsidR="00A70434" w:rsidRPr="00A70434" w:rsidRDefault="00A70434" w:rsidP="00A70434">
      <w:pPr>
        <w:pStyle w:val="ListParagraph"/>
        <w:numPr>
          <w:ilvl w:val="0"/>
          <w:numId w:val="2"/>
        </w:numPr>
        <w:spacing w:after="160" w:line="256" w:lineRule="auto"/>
        <w:rPr>
          <w:rFonts w:ascii="Arial" w:hAnsi="Arial" w:cs="Arial"/>
          <w:sz w:val="22"/>
          <w:szCs w:val="22"/>
        </w:rPr>
      </w:pPr>
      <w:r w:rsidRPr="00A70434">
        <w:rPr>
          <w:rFonts w:ascii="Arial" w:hAnsi="Arial" w:cs="Arial"/>
          <w:sz w:val="22"/>
          <w:szCs w:val="22"/>
        </w:rPr>
        <w:t>Any security breaches arising shall be reported within 24hrs of the occurrence to SLCST who reserve the right to withdraw any approvals on an individual or company basis</w:t>
      </w:r>
    </w:p>
    <w:p w14:paraId="643E982D" w14:textId="77777777" w:rsidR="00A70434" w:rsidRPr="00A70434" w:rsidRDefault="00A70434" w:rsidP="00A70434">
      <w:pPr>
        <w:pStyle w:val="ListParagraph"/>
        <w:numPr>
          <w:ilvl w:val="0"/>
          <w:numId w:val="2"/>
        </w:numPr>
        <w:spacing w:after="160" w:line="256" w:lineRule="auto"/>
        <w:rPr>
          <w:rFonts w:ascii="Arial" w:hAnsi="Arial" w:cs="Arial"/>
          <w:sz w:val="22"/>
          <w:szCs w:val="22"/>
        </w:rPr>
      </w:pPr>
      <w:r w:rsidRPr="00A70434">
        <w:rPr>
          <w:rFonts w:ascii="Arial" w:hAnsi="Arial" w:cs="Arial"/>
          <w:sz w:val="22"/>
          <w:szCs w:val="22"/>
        </w:rPr>
        <w:t>Should the information contained within either of the submitted question sets change or be amended during the authorisation period SLCST should be notified immediately</w:t>
      </w:r>
    </w:p>
    <w:p w14:paraId="486FF733" w14:textId="77777777" w:rsidR="00C41FF6" w:rsidRPr="005430E6" w:rsidRDefault="00C41FF6" w:rsidP="005430E6">
      <w:pPr>
        <w:pStyle w:val="Default"/>
        <w:ind w:left="720"/>
        <w:jc w:val="center"/>
        <w:rPr>
          <w:b/>
          <w:bCs/>
          <w:color w:val="FF0000"/>
        </w:rPr>
      </w:pPr>
    </w:p>
    <w:p w14:paraId="6F6E3C87" w14:textId="7A49D51C" w:rsidR="007E6778" w:rsidRPr="002363B0" w:rsidRDefault="007E6778" w:rsidP="005430E6">
      <w:pPr>
        <w:widowControl w:val="0"/>
        <w:rPr>
          <w:rFonts w:ascii="Arial" w:hAnsi="Arial" w:cs="Arial"/>
          <w:b/>
          <w:bCs/>
          <w:sz w:val="22"/>
          <w:szCs w:val="22"/>
          <w14:ligatures w14:val="none"/>
        </w:rPr>
      </w:pPr>
      <w:r w:rsidRPr="002363B0">
        <w:rPr>
          <w:rFonts w:ascii="Arial" w:hAnsi="Arial" w:cs="Arial"/>
          <w:b/>
          <w:bCs/>
          <w:sz w:val="22"/>
          <w:szCs w:val="22"/>
          <w14:ligatures w14:val="none"/>
        </w:rPr>
        <w:t xml:space="preserve">Contact details for the </w:t>
      </w:r>
      <w:r>
        <w:rPr>
          <w:rFonts w:ascii="Arial" w:hAnsi="Arial" w:cs="Arial"/>
          <w:b/>
          <w:bCs/>
          <w:sz w:val="22"/>
          <w:szCs w:val="22"/>
          <w14:ligatures w14:val="none"/>
        </w:rPr>
        <w:t>PPP</w:t>
      </w:r>
      <w:r w:rsidRPr="002363B0">
        <w:rPr>
          <w:rFonts w:ascii="Arial" w:hAnsi="Arial" w:cs="Arial"/>
          <w:b/>
          <w:bCs/>
          <w:sz w:val="22"/>
          <w:szCs w:val="22"/>
          <w14:ligatures w14:val="none"/>
        </w:rPr>
        <w:t xml:space="preserve"> security team are as </w:t>
      </w:r>
      <w:proofErr w:type="gramStart"/>
      <w:r w:rsidRPr="002363B0">
        <w:rPr>
          <w:rFonts w:ascii="Arial" w:hAnsi="Arial" w:cs="Arial"/>
          <w:b/>
          <w:bCs/>
          <w:sz w:val="22"/>
          <w:szCs w:val="22"/>
          <w14:ligatures w14:val="none"/>
        </w:rPr>
        <w:t>follows;</w:t>
      </w:r>
      <w:proofErr w:type="gramEnd"/>
    </w:p>
    <w:p w14:paraId="73150A9D" w14:textId="0396A1E3" w:rsidR="007E6778" w:rsidRPr="002363B0" w:rsidRDefault="003968C5" w:rsidP="005430E6">
      <w:pPr>
        <w:widowControl w:val="0"/>
        <w:rPr>
          <w:rFonts w:ascii="Arial" w:hAnsi="Arial" w:cs="Arial"/>
          <w:b/>
          <w:bCs/>
          <w:sz w:val="22"/>
          <w:szCs w:val="22"/>
          <w14:ligatures w14:val="none"/>
        </w:rPr>
      </w:pPr>
      <w:r>
        <w:rPr>
          <w:rFonts w:ascii="Arial" w:hAnsi="Arial" w:cs="Arial"/>
          <w:b/>
          <w:bCs/>
          <w:sz w:val="22"/>
          <w:szCs w:val="22"/>
          <w14:ligatures w14:val="none"/>
        </w:rPr>
        <w:t>Iain Goulding</w:t>
      </w:r>
      <w:r>
        <w:rPr>
          <w:rFonts w:ascii="Arial" w:hAnsi="Arial" w:cs="Arial"/>
          <w:b/>
          <w:bCs/>
          <w:sz w:val="22"/>
          <w:szCs w:val="22"/>
          <w14:ligatures w14:val="none"/>
        </w:rPr>
        <w:tab/>
      </w:r>
      <w:r w:rsidR="005430E6">
        <w:rPr>
          <w:rFonts w:ascii="Arial" w:hAnsi="Arial" w:cs="Arial"/>
          <w:b/>
          <w:bCs/>
          <w:sz w:val="22"/>
          <w:szCs w:val="22"/>
          <w14:ligatures w14:val="none"/>
        </w:rPr>
        <w:t xml:space="preserve">- </w:t>
      </w:r>
      <w:hyperlink r:id="rId10" w:history="1">
        <w:r w:rsidR="005430E6" w:rsidRPr="00326DD9">
          <w:rPr>
            <w:rStyle w:val="Hyperlink"/>
            <w:rFonts w:ascii="Arial" w:hAnsi="Arial" w:cs="Arial"/>
            <w:b/>
            <w:bCs/>
            <w:sz w:val="22"/>
            <w:szCs w:val="22"/>
            <w14:ligatures w14:val="none"/>
          </w:rPr>
          <w:t>iain.goulding@sellafieldsites.com</w:t>
        </w:r>
      </w:hyperlink>
      <w:r>
        <w:rPr>
          <w:rFonts w:ascii="Arial" w:hAnsi="Arial" w:cs="Arial"/>
          <w:b/>
          <w:bCs/>
          <w:sz w:val="22"/>
          <w:szCs w:val="22"/>
          <w14:ligatures w14:val="none"/>
        </w:rPr>
        <w:t xml:space="preserve"> </w:t>
      </w:r>
      <w:r w:rsidR="007E6778" w:rsidRPr="002363B0">
        <w:rPr>
          <w:rFonts w:ascii="Arial" w:hAnsi="Arial" w:cs="Arial"/>
          <w:b/>
          <w:bCs/>
          <w:sz w:val="22"/>
          <w:szCs w:val="22"/>
          <w14:ligatures w14:val="none"/>
        </w:rPr>
        <w:t xml:space="preserve"> </w:t>
      </w:r>
      <w:r w:rsidR="007E6778" w:rsidRPr="002363B0">
        <w:rPr>
          <w:rFonts w:ascii="Arial" w:hAnsi="Arial" w:cs="Arial"/>
          <w:b/>
          <w:bCs/>
          <w:sz w:val="22"/>
          <w:szCs w:val="22"/>
          <w14:ligatures w14:val="none"/>
        </w:rPr>
        <w:tab/>
      </w:r>
    </w:p>
    <w:p w14:paraId="1255D7A1" w14:textId="7FBEC0C6" w:rsidR="0090678E" w:rsidRPr="00C41FF6" w:rsidRDefault="007E6778" w:rsidP="00C41FF6">
      <w:pPr>
        <w:widowControl w:val="0"/>
        <w:rPr>
          <w:rFonts w:ascii="Arial" w:hAnsi="Arial" w:cs="Arial"/>
          <w:b/>
          <w:bCs/>
          <w:sz w:val="22"/>
          <w:szCs w:val="22"/>
          <w14:ligatures w14:val="none"/>
        </w:rPr>
      </w:pPr>
      <w:r>
        <w:rPr>
          <w:rFonts w:ascii="Arial" w:hAnsi="Arial" w:cs="Arial"/>
          <w:b/>
          <w:bCs/>
          <w:sz w:val="22"/>
          <w:szCs w:val="22"/>
          <w14:ligatures w14:val="none"/>
        </w:rPr>
        <w:t>Victoria Hendren</w:t>
      </w:r>
      <w:r w:rsidR="005430E6">
        <w:rPr>
          <w:rFonts w:ascii="Arial" w:hAnsi="Arial" w:cs="Arial"/>
          <w:b/>
          <w:bCs/>
          <w:sz w:val="22"/>
          <w:szCs w:val="22"/>
          <w14:ligatures w14:val="none"/>
        </w:rPr>
        <w:t xml:space="preserve"> </w:t>
      </w:r>
      <w:hyperlink r:id="rId11" w:history="1">
        <w:r w:rsidR="005430E6" w:rsidRPr="00326DD9">
          <w:rPr>
            <w:rStyle w:val="Hyperlink"/>
            <w:rFonts w:ascii="Arial" w:hAnsi="Arial" w:cs="Arial"/>
            <w:b/>
            <w:bCs/>
            <w:sz w:val="22"/>
            <w:szCs w:val="22"/>
            <w14:ligatures w14:val="none"/>
          </w:rPr>
          <w:t>victoria.hendren@sl-ppp.co.uk</w:t>
        </w:r>
      </w:hyperlink>
    </w:p>
    <w:sectPr w:rsidR="0090678E" w:rsidRPr="00C41FF6" w:rsidSect="0090678E">
      <w:headerReference w:type="default" r:id="rId12"/>
      <w:foot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CA5D0D" w14:textId="77777777" w:rsidR="00CD7C55" w:rsidRDefault="00CD7C55" w:rsidP="0090678E">
      <w:pPr>
        <w:spacing w:after="0" w:line="240" w:lineRule="auto"/>
      </w:pPr>
      <w:r>
        <w:separator/>
      </w:r>
    </w:p>
  </w:endnote>
  <w:endnote w:type="continuationSeparator" w:id="0">
    <w:p w14:paraId="6FBE0253" w14:textId="77777777" w:rsidR="00CD7C55" w:rsidRDefault="00CD7C55" w:rsidP="00906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247E60" w14:textId="212CBFA2" w:rsidR="0090678E" w:rsidRDefault="00C41FF6" w:rsidP="00312B80">
    <w:pPr>
      <w:pStyle w:val="Footer"/>
    </w:pPr>
    <w:r>
      <w:rPr>
        <w:noProof/>
      </w:rPr>
      <w:drawing>
        <wp:anchor distT="0" distB="0" distL="114300" distR="114300" simplePos="0" relativeHeight="251658240" behindDoc="1" locked="0" layoutInCell="1" allowOverlap="1" wp14:anchorId="39F97F7E" wp14:editId="426D8CC9">
          <wp:simplePos x="0" y="0"/>
          <wp:positionH relativeFrom="column">
            <wp:posOffset>-676275</wp:posOffset>
          </wp:positionH>
          <wp:positionV relativeFrom="page">
            <wp:posOffset>9772650</wp:posOffset>
          </wp:positionV>
          <wp:extent cx="7524750" cy="952500"/>
          <wp:effectExtent l="0" t="0" r="0" b="0"/>
          <wp:wrapTight wrapText="bothSides">
            <wp:wrapPolygon edited="0">
              <wp:start x="0" y="0"/>
              <wp:lineTo x="0" y="21168"/>
              <wp:lineTo x="21545" y="21168"/>
              <wp:lineTo x="21545"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3E0153" w14:textId="77777777" w:rsidR="00CD7C55" w:rsidRDefault="00CD7C55" w:rsidP="0090678E">
      <w:pPr>
        <w:spacing w:after="0" w:line="240" w:lineRule="auto"/>
      </w:pPr>
      <w:r>
        <w:separator/>
      </w:r>
    </w:p>
  </w:footnote>
  <w:footnote w:type="continuationSeparator" w:id="0">
    <w:p w14:paraId="788DDF05" w14:textId="77777777" w:rsidR="00CD7C55" w:rsidRDefault="00CD7C55" w:rsidP="009067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43B49" w14:textId="21A116BF" w:rsidR="00312B80" w:rsidRPr="00312B80" w:rsidRDefault="00312B80" w:rsidP="00312B80">
    <w:pPr>
      <w:pStyle w:val="Header"/>
      <w:jc w:val="center"/>
      <w:rPr>
        <w:rFonts w:ascii="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E1317EF"/>
    <w:multiLevelType w:val="hybridMultilevel"/>
    <w:tmpl w:val="19F2A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55B65D1"/>
    <w:multiLevelType w:val="hybridMultilevel"/>
    <w:tmpl w:val="922C4D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78E"/>
    <w:rsid w:val="000E1040"/>
    <w:rsid w:val="00312B80"/>
    <w:rsid w:val="00370A7E"/>
    <w:rsid w:val="003968C5"/>
    <w:rsid w:val="00434FC8"/>
    <w:rsid w:val="005430E6"/>
    <w:rsid w:val="00597A38"/>
    <w:rsid w:val="0066176B"/>
    <w:rsid w:val="007C2FDF"/>
    <w:rsid w:val="007E6778"/>
    <w:rsid w:val="0090678E"/>
    <w:rsid w:val="00A70434"/>
    <w:rsid w:val="00C41FF6"/>
    <w:rsid w:val="00CD7C55"/>
    <w:rsid w:val="00EA0BC9"/>
    <w:rsid w:val="00EA29D7"/>
    <w:rsid w:val="00F862C6"/>
    <w:rsid w:val="00FC0E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027B288"/>
  <w15:chartTrackingRefBased/>
  <w15:docId w15:val="{33299D79-5525-4FEE-A102-B3A3DA3AB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778"/>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678E"/>
    <w:pPr>
      <w:tabs>
        <w:tab w:val="center" w:pos="4513"/>
        <w:tab w:val="right" w:pos="9026"/>
      </w:tabs>
      <w:spacing w:after="0" w:line="240" w:lineRule="auto"/>
    </w:pPr>
    <w:rPr>
      <w:rFonts w:asciiTheme="minorHAnsi" w:eastAsiaTheme="minorHAnsi" w:hAnsiTheme="minorHAnsi" w:cstheme="minorBidi"/>
      <w:color w:val="auto"/>
      <w:kern w:val="0"/>
      <w:sz w:val="22"/>
      <w:szCs w:val="22"/>
      <w:lang w:eastAsia="en-US"/>
      <w14:ligatures w14:val="none"/>
      <w14:cntxtAlts w14:val="0"/>
    </w:rPr>
  </w:style>
  <w:style w:type="character" w:customStyle="1" w:styleId="HeaderChar">
    <w:name w:val="Header Char"/>
    <w:basedOn w:val="DefaultParagraphFont"/>
    <w:link w:val="Header"/>
    <w:uiPriority w:val="99"/>
    <w:rsid w:val="0090678E"/>
  </w:style>
  <w:style w:type="paragraph" w:styleId="Footer">
    <w:name w:val="footer"/>
    <w:basedOn w:val="Normal"/>
    <w:link w:val="FooterChar"/>
    <w:uiPriority w:val="99"/>
    <w:unhideWhenUsed/>
    <w:rsid w:val="0090678E"/>
    <w:pPr>
      <w:tabs>
        <w:tab w:val="center" w:pos="4513"/>
        <w:tab w:val="right" w:pos="9026"/>
      </w:tabs>
      <w:spacing w:after="0" w:line="240" w:lineRule="auto"/>
    </w:pPr>
    <w:rPr>
      <w:rFonts w:asciiTheme="minorHAnsi" w:eastAsiaTheme="minorHAnsi" w:hAnsiTheme="minorHAnsi" w:cstheme="minorBidi"/>
      <w:color w:val="auto"/>
      <w:kern w:val="0"/>
      <w:sz w:val="22"/>
      <w:szCs w:val="22"/>
      <w:lang w:eastAsia="en-US"/>
      <w14:ligatures w14:val="none"/>
      <w14:cntxtAlts w14:val="0"/>
    </w:rPr>
  </w:style>
  <w:style w:type="character" w:customStyle="1" w:styleId="FooterChar">
    <w:name w:val="Footer Char"/>
    <w:basedOn w:val="DefaultParagraphFont"/>
    <w:link w:val="Footer"/>
    <w:uiPriority w:val="99"/>
    <w:rsid w:val="0090678E"/>
  </w:style>
  <w:style w:type="paragraph" w:styleId="BalloonText">
    <w:name w:val="Balloon Text"/>
    <w:basedOn w:val="Normal"/>
    <w:link w:val="BalloonTextChar"/>
    <w:uiPriority w:val="99"/>
    <w:semiHidden/>
    <w:unhideWhenUsed/>
    <w:rsid w:val="009067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78E"/>
    <w:rPr>
      <w:rFonts w:ascii="Segoe UI" w:hAnsi="Segoe UI" w:cs="Segoe UI"/>
      <w:sz w:val="18"/>
      <w:szCs w:val="18"/>
    </w:rPr>
  </w:style>
  <w:style w:type="paragraph" w:styleId="NoSpacing">
    <w:name w:val="No Spacing"/>
    <w:uiPriority w:val="1"/>
    <w:qFormat/>
    <w:rsid w:val="00597A38"/>
    <w:pPr>
      <w:spacing w:after="0" w:line="240" w:lineRule="auto"/>
    </w:pPr>
  </w:style>
  <w:style w:type="character" w:styleId="Hyperlink">
    <w:name w:val="Hyperlink"/>
    <w:basedOn w:val="DefaultParagraphFont"/>
    <w:uiPriority w:val="99"/>
    <w:unhideWhenUsed/>
    <w:rsid w:val="007E6778"/>
    <w:rPr>
      <w:color w:val="0563C1" w:themeColor="hyperlink"/>
      <w:u w:val="single"/>
    </w:rPr>
  </w:style>
  <w:style w:type="paragraph" w:styleId="ListParagraph">
    <w:name w:val="List Paragraph"/>
    <w:basedOn w:val="Normal"/>
    <w:uiPriority w:val="34"/>
    <w:qFormat/>
    <w:rsid w:val="00370A7E"/>
    <w:pPr>
      <w:ind w:left="720"/>
      <w:contextualSpacing/>
    </w:pPr>
  </w:style>
  <w:style w:type="character" w:styleId="UnresolvedMention">
    <w:name w:val="Unresolved Mention"/>
    <w:basedOn w:val="DefaultParagraphFont"/>
    <w:uiPriority w:val="99"/>
    <w:semiHidden/>
    <w:unhideWhenUsed/>
    <w:rsid w:val="003968C5"/>
    <w:rPr>
      <w:color w:val="605E5C"/>
      <w:shd w:val="clear" w:color="auto" w:fill="E1DFDD"/>
    </w:rPr>
  </w:style>
  <w:style w:type="paragraph" w:customStyle="1" w:styleId="Default">
    <w:name w:val="Default"/>
    <w:rsid w:val="0066176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925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ictoria.hendren@sl-ppp.co.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ain.goulding@sellafieldsites.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fd403455-cda7-4c1b-b87f-02f0c0503f88" origin="userSelected">
  <element uid="id_protective_marking_protect"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94C6C-7B3C-4902-84F3-7E211D1F56F5}">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036C0414-8868-4808-B77D-46D16C2CC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525</Words>
  <Characters>2999</Characters>
  <Application>Microsoft Office Word</Application>
  <DocSecurity>4</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Leigh 2 (MS)</dc:creator>
  <cp:keywords/>
  <dc:description/>
  <cp:lastModifiedBy>Hendren, Victoria (MS)</cp:lastModifiedBy>
  <cp:revision>2</cp:revision>
  <dcterms:created xsi:type="dcterms:W3CDTF">2022-07-31T17:52:00Z</dcterms:created>
  <dcterms:modified xsi:type="dcterms:W3CDTF">2022-07-31T17:52:00Z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0251242d-a250-4817-8276-803f9ca67c4c</vt:lpwstr>
  </property>
  <property fmtid="{D5CDD505-2E9C-101B-9397-08002B2CF9AE}" pid="3" name="bjSaver">
    <vt:lpwstr>jOQHmxMFUfJAZmGFgo4y7S2SrKR1c2HX</vt:lpwstr>
  </property>
  <property fmtid="{D5CDD505-2E9C-101B-9397-08002B2CF9AE}" pid="4" name="bjDocumentLabelXML">
    <vt:lpwstr>&lt;?xml version="1.0" encoding="us-ascii"?&gt;&lt;sisl xmlns:xsi="http://www.w3.org/2001/XMLSchema-instance" xmlns:xsd="http://www.w3.org/2001/XMLSchema" sislVersion="0" policy="fd403455-cda7-4c1b-b87f-02f0c0503f88" origin="userSelected" xmlns="http://www.boldonj</vt:lpwstr>
  </property>
  <property fmtid="{D5CDD505-2E9C-101B-9397-08002B2CF9AE}" pid="5" name="bjDocumentLabelXML-0">
    <vt:lpwstr>ames.com/2008/01/sie/internal/label"&gt;&lt;element uid="id_protective_marking_protect" value="" /&gt;&lt;/sisl&gt;</vt:lpwstr>
  </property>
  <property fmtid="{D5CDD505-2E9C-101B-9397-08002B2CF9AE}" pid="6" name="bjDocumentSecurityLabel">
    <vt:lpwstr>[OFFICIAL]</vt:lpwstr>
  </property>
  <property fmtid="{D5CDD505-2E9C-101B-9397-08002B2CF9AE}" pid="7" name="bjClsUserRVM">
    <vt:lpwstr>[]</vt:lpwstr>
  </property>
</Properties>
</file>