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073A5" w14:textId="7C58C40D" w:rsidR="00E41B2B" w:rsidRDefault="001C5F16" w:rsidP="001C5F16">
      <w:pPr>
        <w:jc w:val="center"/>
        <w:rPr>
          <w:b/>
          <w:bCs/>
          <w:sz w:val="24"/>
          <w:szCs w:val="24"/>
        </w:rPr>
      </w:pPr>
      <w:bookmarkStart w:id="1" w:name="_Hlk482972467"/>
      <w:bookmarkEnd w:id="1"/>
      <w:r>
        <w:rPr>
          <w:b/>
          <w:bCs/>
          <w:sz w:val="24"/>
          <w:szCs w:val="24"/>
        </w:rPr>
        <w:t>Reviewing your SEN information report</w:t>
      </w:r>
    </w:p>
    <w:p w14:paraId="7FE92931" w14:textId="72C1206D" w:rsidR="00357195" w:rsidRPr="006825E5" w:rsidRDefault="005C2F3F" w:rsidP="001C5F16">
      <w:pPr>
        <w:rPr>
          <w:sz w:val="24"/>
          <w:szCs w:val="24"/>
        </w:rPr>
      </w:pPr>
      <w:r>
        <w:rPr>
          <w:sz w:val="24"/>
          <w:szCs w:val="24"/>
        </w:rPr>
        <w:t xml:space="preserve">Publishing a ‘SEN </w:t>
      </w:r>
      <w:r w:rsidR="006825E5">
        <w:rPr>
          <w:sz w:val="24"/>
          <w:szCs w:val="24"/>
        </w:rPr>
        <w:t>i</w:t>
      </w:r>
      <w:r>
        <w:rPr>
          <w:sz w:val="24"/>
          <w:szCs w:val="24"/>
        </w:rPr>
        <w:t xml:space="preserve">nformation </w:t>
      </w:r>
      <w:r w:rsidR="006825E5">
        <w:rPr>
          <w:sz w:val="24"/>
          <w:szCs w:val="24"/>
        </w:rPr>
        <w:t>r</w:t>
      </w:r>
      <w:r>
        <w:rPr>
          <w:sz w:val="24"/>
          <w:szCs w:val="24"/>
        </w:rPr>
        <w:t xml:space="preserve">eport’ on your </w:t>
      </w:r>
      <w:r w:rsidR="005B4283">
        <w:rPr>
          <w:sz w:val="24"/>
          <w:szCs w:val="24"/>
        </w:rPr>
        <w:t>website is a statutory requirement for all maintained schools including nursery schools, and academies must publish information about the implementation of their SEN policy (SEND Code of Practice 2015, para. 6.79).</w:t>
      </w:r>
      <w:r w:rsidR="00376885">
        <w:rPr>
          <w:sz w:val="24"/>
          <w:szCs w:val="24"/>
        </w:rPr>
        <w:t xml:space="preserve"> The Code states that this information should be updated annually, with any in-year changes updated as soon as possible</w:t>
      </w:r>
      <w:r w:rsidR="00F15B23">
        <w:rPr>
          <w:sz w:val="24"/>
          <w:szCs w:val="24"/>
        </w:rPr>
        <w:t xml:space="preserve">. This resource aims to provide </w:t>
      </w:r>
      <w:r w:rsidR="00357195">
        <w:rPr>
          <w:sz w:val="24"/>
          <w:szCs w:val="24"/>
        </w:rPr>
        <w:t>clear guidance to support you in review</w:t>
      </w:r>
      <w:r w:rsidR="00822B7C">
        <w:rPr>
          <w:sz w:val="24"/>
          <w:szCs w:val="24"/>
        </w:rPr>
        <w:t>ing your</w:t>
      </w:r>
      <w:r w:rsidR="00357195">
        <w:rPr>
          <w:sz w:val="24"/>
          <w:szCs w:val="24"/>
        </w:rPr>
        <w:t xml:space="preserve"> SEN Information Report.</w:t>
      </w:r>
    </w:p>
    <w:p w14:paraId="19A739A1" w14:textId="422E9865" w:rsidR="001C5F16" w:rsidRDefault="001C5F16" w:rsidP="006825E5">
      <w:pPr>
        <w:rPr>
          <w:b/>
          <w:bCs/>
          <w:sz w:val="24"/>
          <w:szCs w:val="24"/>
        </w:rPr>
      </w:pPr>
    </w:p>
    <w:p w14:paraId="0DAB436F" w14:textId="03B82C44" w:rsidR="00C052FF" w:rsidRDefault="00C052FF" w:rsidP="006825E5">
      <w:pPr>
        <w:rPr>
          <w:b/>
          <w:bCs/>
          <w:sz w:val="24"/>
          <w:szCs w:val="24"/>
        </w:rPr>
      </w:pPr>
      <w:r>
        <w:rPr>
          <w:b/>
          <w:bCs/>
          <w:sz w:val="24"/>
          <w:szCs w:val="24"/>
        </w:rPr>
        <w:t>What is the SEN information report for?</w:t>
      </w:r>
    </w:p>
    <w:p w14:paraId="4B86DEAE" w14:textId="63FA979C" w:rsidR="0013409D" w:rsidRPr="0013409D" w:rsidRDefault="0013409D" w:rsidP="006825E5">
      <w:pPr>
        <w:rPr>
          <w:sz w:val="24"/>
          <w:szCs w:val="24"/>
        </w:rPr>
      </w:pPr>
      <w:r>
        <w:rPr>
          <w:sz w:val="24"/>
          <w:szCs w:val="24"/>
        </w:rPr>
        <w:t xml:space="preserve">The purpose of the SEN information </w:t>
      </w:r>
      <w:r w:rsidR="00EE1627">
        <w:rPr>
          <w:sz w:val="24"/>
          <w:szCs w:val="24"/>
        </w:rPr>
        <w:t>report is to enable parents and other visitors to your website to find out how pupils with SEND are supported in your school</w:t>
      </w:r>
      <w:r w:rsidR="0097002C">
        <w:rPr>
          <w:sz w:val="24"/>
          <w:szCs w:val="24"/>
        </w:rPr>
        <w:t>. It is not produced for governors or Ofsted, although these bodies will find it useful</w:t>
      </w:r>
      <w:r w:rsidR="00822B7C">
        <w:rPr>
          <w:sz w:val="24"/>
          <w:szCs w:val="24"/>
        </w:rPr>
        <w:t>,</w:t>
      </w:r>
      <w:r w:rsidR="0097002C">
        <w:rPr>
          <w:sz w:val="24"/>
          <w:szCs w:val="24"/>
        </w:rPr>
        <w:t xml:space="preserve"> and Ofsted will often look at it prior to an inspection.</w:t>
      </w:r>
      <w:r w:rsidR="006A2639">
        <w:rPr>
          <w:sz w:val="24"/>
          <w:szCs w:val="24"/>
        </w:rPr>
        <w:t xml:space="preserve"> It should enable someone without specialist knowledge of the education system or SEND to quickly and easily learn about </w:t>
      </w:r>
      <w:r w:rsidR="00D93A92">
        <w:rPr>
          <w:sz w:val="24"/>
          <w:szCs w:val="24"/>
        </w:rPr>
        <w:t xml:space="preserve">your approach to SEND; this may be to help them decide </w:t>
      </w:r>
      <w:r w:rsidR="00822B7C">
        <w:rPr>
          <w:sz w:val="24"/>
          <w:szCs w:val="24"/>
        </w:rPr>
        <w:t>i</w:t>
      </w:r>
      <w:r w:rsidR="00D93A92">
        <w:rPr>
          <w:sz w:val="24"/>
          <w:szCs w:val="24"/>
        </w:rPr>
        <w:t>f your school is right for their child, or perhaps bec</w:t>
      </w:r>
      <w:r w:rsidR="008E09EA">
        <w:rPr>
          <w:sz w:val="24"/>
          <w:szCs w:val="24"/>
        </w:rPr>
        <w:t>au</w:t>
      </w:r>
      <w:r w:rsidR="00D93A92">
        <w:rPr>
          <w:sz w:val="24"/>
          <w:szCs w:val="24"/>
        </w:rPr>
        <w:t>se they think their child</w:t>
      </w:r>
      <w:r w:rsidR="008E09EA">
        <w:rPr>
          <w:sz w:val="24"/>
          <w:szCs w:val="24"/>
        </w:rPr>
        <w:t>, who is already a pupil at your school,</w:t>
      </w:r>
      <w:r w:rsidR="00D93A92">
        <w:rPr>
          <w:sz w:val="24"/>
          <w:szCs w:val="24"/>
        </w:rPr>
        <w:t xml:space="preserve"> may have SEND</w:t>
      </w:r>
      <w:r w:rsidR="008E09EA">
        <w:rPr>
          <w:sz w:val="24"/>
          <w:szCs w:val="24"/>
        </w:rPr>
        <w:t xml:space="preserve"> and they want to know what to do next.</w:t>
      </w:r>
    </w:p>
    <w:p w14:paraId="794E9B68" w14:textId="77777777" w:rsidR="00C052FF" w:rsidRDefault="00C052FF" w:rsidP="006825E5">
      <w:pPr>
        <w:rPr>
          <w:b/>
          <w:bCs/>
          <w:sz w:val="24"/>
          <w:szCs w:val="24"/>
        </w:rPr>
      </w:pPr>
    </w:p>
    <w:p w14:paraId="10992180" w14:textId="167A3FAC" w:rsidR="00C86BDE" w:rsidRDefault="00C86BDE" w:rsidP="006825E5">
      <w:pPr>
        <w:rPr>
          <w:b/>
          <w:bCs/>
          <w:sz w:val="24"/>
          <w:szCs w:val="24"/>
        </w:rPr>
      </w:pPr>
      <w:r>
        <w:rPr>
          <w:b/>
          <w:bCs/>
          <w:sz w:val="24"/>
          <w:szCs w:val="24"/>
        </w:rPr>
        <w:t xml:space="preserve">Features of a </w:t>
      </w:r>
      <w:r w:rsidR="00C70290">
        <w:rPr>
          <w:b/>
          <w:bCs/>
          <w:sz w:val="24"/>
          <w:szCs w:val="24"/>
        </w:rPr>
        <w:t>useful</w:t>
      </w:r>
      <w:r>
        <w:rPr>
          <w:b/>
          <w:bCs/>
          <w:sz w:val="24"/>
          <w:szCs w:val="24"/>
        </w:rPr>
        <w:t xml:space="preserve"> SEN information report:</w:t>
      </w:r>
    </w:p>
    <w:p w14:paraId="64CF50E9" w14:textId="31F871DE" w:rsidR="00C86BDE" w:rsidRDefault="00C86BDE" w:rsidP="00C86BDE">
      <w:pPr>
        <w:pStyle w:val="ListParagraph"/>
        <w:numPr>
          <w:ilvl w:val="0"/>
          <w:numId w:val="1"/>
        </w:numPr>
        <w:rPr>
          <w:sz w:val="24"/>
          <w:szCs w:val="24"/>
        </w:rPr>
      </w:pPr>
      <w:r>
        <w:rPr>
          <w:sz w:val="24"/>
          <w:szCs w:val="24"/>
        </w:rPr>
        <w:t xml:space="preserve">easy to find on the website </w:t>
      </w:r>
    </w:p>
    <w:p w14:paraId="143569C0" w14:textId="48C9B7FB" w:rsidR="00C86BDE" w:rsidRDefault="00CD05F7" w:rsidP="00C86BDE">
      <w:pPr>
        <w:pStyle w:val="ListParagraph"/>
        <w:numPr>
          <w:ilvl w:val="0"/>
          <w:numId w:val="1"/>
        </w:numPr>
        <w:rPr>
          <w:sz w:val="24"/>
          <w:szCs w:val="24"/>
        </w:rPr>
      </w:pPr>
      <w:r>
        <w:rPr>
          <w:sz w:val="24"/>
          <w:szCs w:val="24"/>
        </w:rPr>
        <w:t>i</w:t>
      </w:r>
      <w:r w:rsidR="00C86BDE">
        <w:rPr>
          <w:sz w:val="24"/>
          <w:szCs w:val="24"/>
        </w:rPr>
        <w:t>ncludes all statutory informatio</w:t>
      </w:r>
      <w:r w:rsidR="0078781B">
        <w:rPr>
          <w:sz w:val="24"/>
          <w:szCs w:val="24"/>
        </w:rPr>
        <w:t>n (see list later)</w:t>
      </w:r>
    </w:p>
    <w:p w14:paraId="14067BDC" w14:textId="478EB4CD" w:rsidR="00C86BDE" w:rsidRDefault="005C4C13" w:rsidP="00C86BDE">
      <w:pPr>
        <w:pStyle w:val="ListParagraph"/>
        <w:numPr>
          <w:ilvl w:val="0"/>
          <w:numId w:val="1"/>
        </w:numPr>
        <w:rPr>
          <w:sz w:val="24"/>
          <w:szCs w:val="24"/>
        </w:rPr>
      </w:pPr>
      <w:r>
        <w:rPr>
          <w:sz w:val="24"/>
          <w:szCs w:val="24"/>
        </w:rPr>
        <w:t>co-produced with children and young people, parents, families and carers</w:t>
      </w:r>
    </w:p>
    <w:p w14:paraId="564DBB0A" w14:textId="476F7C59" w:rsidR="00C86BDE" w:rsidRDefault="005C4C13" w:rsidP="00C86BDE">
      <w:pPr>
        <w:pStyle w:val="ListParagraph"/>
        <w:numPr>
          <w:ilvl w:val="0"/>
          <w:numId w:val="1"/>
        </w:numPr>
        <w:rPr>
          <w:sz w:val="24"/>
          <w:szCs w:val="24"/>
        </w:rPr>
      </w:pPr>
      <w:r>
        <w:rPr>
          <w:sz w:val="24"/>
          <w:szCs w:val="24"/>
        </w:rPr>
        <w:t>accessible in terms of the language used</w:t>
      </w:r>
      <w:r w:rsidR="00745403">
        <w:rPr>
          <w:sz w:val="24"/>
          <w:szCs w:val="24"/>
        </w:rPr>
        <w:t xml:space="preserve"> and</w:t>
      </w:r>
      <w:r w:rsidR="0022414B">
        <w:rPr>
          <w:sz w:val="24"/>
          <w:szCs w:val="24"/>
        </w:rPr>
        <w:t xml:space="preserve"> presentation</w:t>
      </w:r>
    </w:p>
    <w:p w14:paraId="5B6D4213" w14:textId="5C80AB7C" w:rsidR="0022414B" w:rsidRDefault="0022414B" w:rsidP="00C86BDE">
      <w:pPr>
        <w:pStyle w:val="ListParagraph"/>
        <w:numPr>
          <w:ilvl w:val="0"/>
          <w:numId w:val="1"/>
        </w:numPr>
        <w:rPr>
          <w:sz w:val="24"/>
          <w:szCs w:val="24"/>
        </w:rPr>
      </w:pPr>
      <w:r>
        <w:rPr>
          <w:sz w:val="24"/>
          <w:szCs w:val="24"/>
        </w:rPr>
        <w:t>up to date</w:t>
      </w:r>
    </w:p>
    <w:p w14:paraId="638C2830" w14:textId="57FAC3DE" w:rsidR="00A9006A" w:rsidRDefault="00A9006A" w:rsidP="00A9006A">
      <w:pPr>
        <w:rPr>
          <w:sz w:val="24"/>
          <w:szCs w:val="24"/>
        </w:rPr>
      </w:pPr>
    </w:p>
    <w:p w14:paraId="4A390320" w14:textId="32FBFF67" w:rsidR="00A9006A" w:rsidRDefault="00745403" w:rsidP="00A9006A">
      <w:pPr>
        <w:rPr>
          <w:b/>
          <w:bCs/>
          <w:sz w:val="24"/>
          <w:szCs w:val="24"/>
        </w:rPr>
      </w:pPr>
      <w:r>
        <w:rPr>
          <w:b/>
          <w:bCs/>
          <w:sz w:val="24"/>
          <w:szCs w:val="24"/>
        </w:rPr>
        <w:t>Consider</w:t>
      </w:r>
      <w:r w:rsidR="00A9006A">
        <w:rPr>
          <w:b/>
          <w:bCs/>
          <w:sz w:val="24"/>
          <w:szCs w:val="24"/>
        </w:rPr>
        <w:t>:</w:t>
      </w:r>
    </w:p>
    <w:p w14:paraId="30EA3373" w14:textId="0F30721A" w:rsidR="00A9006A" w:rsidRDefault="00A9006A" w:rsidP="00A9006A">
      <w:pPr>
        <w:pStyle w:val="ListParagraph"/>
        <w:numPr>
          <w:ilvl w:val="0"/>
          <w:numId w:val="2"/>
        </w:numPr>
        <w:rPr>
          <w:sz w:val="24"/>
          <w:szCs w:val="24"/>
        </w:rPr>
      </w:pPr>
      <w:r>
        <w:rPr>
          <w:sz w:val="24"/>
          <w:szCs w:val="24"/>
        </w:rPr>
        <w:t>Would someone new to our website be able to find the report easily? What is it called, and does this make sense to someone who might not know anything about SEND?</w:t>
      </w:r>
    </w:p>
    <w:p w14:paraId="50961008" w14:textId="2F4FCD11" w:rsidR="00DD1B0A" w:rsidRDefault="00DD1B0A" w:rsidP="00A9006A">
      <w:pPr>
        <w:pStyle w:val="ListParagraph"/>
        <w:numPr>
          <w:ilvl w:val="0"/>
          <w:numId w:val="2"/>
        </w:numPr>
        <w:rPr>
          <w:sz w:val="24"/>
          <w:szCs w:val="24"/>
        </w:rPr>
      </w:pPr>
      <w:r>
        <w:rPr>
          <w:sz w:val="24"/>
          <w:szCs w:val="24"/>
        </w:rPr>
        <w:t>Is all the information up to date? Including the SENCO’s name and contact details, curriculum information</w:t>
      </w:r>
      <w:r w:rsidR="00C052FF">
        <w:rPr>
          <w:sz w:val="24"/>
          <w:szCs w:val="24"/>
        </w:rPr>
        <w:t>, staff training, provision offered, arrangements for complaints, links to the LA’s Local Offer etc</w:t>
      </w:r>
    </w:p>
    <w:p w14:paraId="237ABFEC" w14:textId="7BB60D1E" w:rsidR="00EA1097" w:rsidRDefault="00EA1097" w:rsidP="00A9006A">
      <w:pPr>
        <w:pStyle w:val="ListParagraph"/>
        <w:numPr>
          <w:ilvl w:val="0"/>
          <w:numId w:val="2"/>
        </w:numPr>
        <w:rPr>
          <w:sz w:val="24"/>
          <w:szCs w:val="24"/>
        </w:rPr>
      </w:pPr>
      <w:r>
        <w:rPr>
          <w:sz w:val="24"/>
          <w:szCs w:val="24"/>
        </w:rPr>
        <w:t>Was i</w:t>
      </w:r>
      <w:r w:rsidR="00745403">
        <w:rPr>
          <w:sz w:val="24"/>
          <w:szCs w:val="24"/>
        </w:rPr>
        <w:t>t</w:t>
      </w:r>
      <w:bookmarkStart w:id="2" w:name="_GoBack"/>
      <w:bookmarkEnd w:id="2"/>
      <w:r>
        <w:rPr>
          <w:sz w:val="24"/>
          <w:szCs w:val="24"/>
        </w:rPr>
        <w:t xml:space="preserve"> produced in partnership with children and young people and their parents, families and carers? Is </w:t>
      </w:r>
      <w:r w:rsidR="00317C13">
        <w:rPr>
          <w:sz w:val="24"/>
          <w:szCs w:val="24"/>
        </w:rPr>
        <w:t>pupil and parent voice</w:t>
      </w:r>
      <w:r>
        <w:rPr>
          <w:sz w:val="24"/>
          <w:szCs w:val="24"/>
        </w:rPr>
        <w:t xml:space="preserve"> evident? If so, how long ago was this, and does it need </w:t>
      </w:r>
      <w:r w:rsidR="00317C13">
        <w:rPr>
          <w:sz w:val="24"/>
          <w:szCs w:val="24"/>
        </w:rPr>
        <w:t>reviewing?</w:t>
      </w:r>
    </w:p>
    <w:p w14:paraId="4BBAEC5D" w14:textId="27D696A1" w:rsidR="00317C13" w:rsidRDefault="00317C13" w:rsidP="00A9006A">
      <w:pPr>
        <w:pStyle w:val="ListParagraph"/>
        <w:numPr>
          <w:ilvl w:val="0"/>
          <w:numId w:val="2"/>
        </w:numPr>
        <w:rPr>
          <w:sz w:val="24"/>
          <w:szCs w:val="24"/>
        </w:rPr>
      </w:pPr>
      <w:r>
        <w:rPr>
          <w:sz w:val="24"/>
          <w:szCs w:val="24"/>
        </w:rPr>
        <w:t>Is it easily accessible? How much text is there? Have photos and/or videos been used?</w:t>
      </w:r>
      <w:r w:rsidR="00CD05F7">
        <w:rPr>
          <w:sz w:val="24"/>
          <w:szCs w:val="24"/>
        </w:rPr>
        <w:t xml:space="preserve"> How many acronyms are used and are they explained?</w:t>
      </w:r>
    </w:p>
    <w:p w14:paraId="6E5D74A7" w14:textId="16D09B20" w:rsidR="00C60E6A" w:rsidRDefault="00C60E6A" w:rsidP="00A9006A">
      <w:pPr>
        <w:pStyle w:val="ListParagraph"/>
        <w:numPr>
          <w:ilvl w:val="0"/>
          <w:numId w:val="2"/>
        </w:numPr>
        <w:rPr>
          <w:sz w:val="24"/>
          <w:szCs w:val="24"/>
        </w:rPr>
      </w:pPr>
      <w:r>
        <w:rPr>
          <w:sz w:val="24"/>
          <w:szCs w:val="24"/>
        </w:rPr>
        <w:t>Does your SEN governor know about the report and were they involved in its production? You may want to involve them in its review – this can be really useful for both you and them</w:t>
      </w:r>
    </w:p>
    <w:p w14:paraId="5BDBD43E" w14:textId="73E6E3D5" w:rsidR="00D464C5" w:rsidRDefault="00D464C5" w:rsidP="00D464C5">
      <w:pPr>
        <w:rPr>
          <w:sz w:val="24"/>
          <w:szCs w:val="24"/>
        </w:rPr>
      </w:pPr>
    </w:p>
    <w:p w14:paraId="7BBF6666" w14:textId="484BA1C4" w:rsidR="00D464C5" w:rsidRDefault="00D464C5" w:rsidP="00D464C5">
      <w:pPr>
        <w:rPr>
          <w:sz w:val="24"/>
          <w:szCs w:val="24"/>
        </w:rPr>
      </w:pPr>
      <w:r>
        <w:rPr>
          <w:sz w:val="24"/>
          <w:szCs w:val="24"/>
        </w:rPr>
        <w:t>(See over for a useful checklist)</w:t>
      </w:r>
    </w:p>
    <w:p w14:paraId="3918CD1A" w14:textId="07813E95" w:rsidR="00D464C5" w:rsidRDefault="00D464C5" w:rsidP="00D464C5">
      <w:pPr>
        <w:rPr>
          <w:sz w:val="24"/>
          <w:szCs w:val="24"/>
        </w:rPr>
      </w:pPr>
    </w:p>
    <w:p w14:paraId="044A8F55" w14:textId="3B696202" w:rsidR="00D464C5" w:rsidRDefault="00D464C5" w:rsidP="00D464C5">
      <w:pPr>
        <w:rPr>
          <w:sz w:val="24"/>
          <w:szCs w:val="24"/>
        </w:rPr>
      </w:pPr>
    </w:p>
    <w:p w14:paraId="417EA0BA" w14:textId="112EE936" w:rsidR="00D464C5" w:rsidRDefault="00D464C5" w:rsidP="00D464C5">
      <w:pPr>
        <w:jc w:val="center"/>
        <w:rPr>
          <w:b/>
          <w:bCs/>
          <w:sz w:val="24"/>
          <w:szCs w:val="24"/>
        </w:rPr>
      </w:pPr>
      <w:r>
        <w:rPr>
          <w:b/>
          <w:bCs/>
          <w:sz w:val="24"/>
          <w:szCs w:val="24"/>
        </w:rPr>
        <w:lastRenderedPageBreak/>
        <w:t>SEN information report checklist</w:t>
      </w:r>
    </w:p>
    <w:p w14:paraId="796ACF00" w14:textId="2016A621" w:rsidR="00BF786D" w:rsidRDefault="00BF786D" w:rsidP="00BF786D">
      <w:pPr>
        <w:rPr>
          <w:b/>
          <w:bCs/>
          <w:sz w:val="24"/>
          <w:szCs w:val="24"/>
        </w:rPr>
      </w:pPr>
      <w:r>
        <w:rPr>
          <w:b/>
          <w:bCs/>
          <w:sz w:val="24"/>
          <w:szCs w:val="24"/>
        </w:rPr>
        <w:t>Date of review:</w:t>
      </w:r>
    </w:p>
    <w:tbl>
      <w:tblPr>
        <w:tblStyle w:val="TableGrid"/>
        <w:tblW w:w="0" w:type="auto"/>
        <w:tblLook w:val="04A0" w:firstRow="1" w:lastRow="0" w:firstColumn="1" w:lastColumn="0" w:noHBand="0" w:noVBand="1"/>
      </w:tblPr>
      <w:tblGrid>
        <w:gridCol w:w="5807"/>
        <w:gridCol w:w="1418"/>
        <w:gridCol w:w="1701"/>
        <w:gridCol w:w="1530"/>
      </w:tblGrid>
      <w:tr w:rsidR="00BF786D" w14:paraId="47EF4D32" w14:textId="77777777" w:rsidTr="000511A1">
        <w:tc>
          <w:tcPr>
            <w:tcW w:w="5807" w:type="dxa"/>
          </w:tcPr>
          <w:p w14:paraId="39F5D560" w14:textId="77777777" w:rsidR="00BF786D" w:rsidRDefault="00BF786D" w:rsidP="00D464C5">
            <w:pPr>
              <w:jc w:val="center"/>
              <w:rPr>
                <w:b/>
                <w:bCs/>
              </w:rPr>
            </w:pPr>
            <w:r w:rsidRPr="007E5371">
              <w:rPr>
                <w:b/>
                <w:bCs/>
              </w:rPr>
              <w:t>Statutory element (CoP, para.6.79)</w:t>
            </w:r>
            <w:r w:rsidR="00C3337D">
              <w:rPr>
                <w:b/>
                <w:bCs/>
              </w:rPr>
              <w:t>:</w:t>
            </w:r>
          </w:p>
          <w:p w14:paraId="230A6032" w14:textId="3D2BA713" w:rsidR="00C3337D" w:rsidRPr="007E5371" w:rsidRDefault="00ED2F0E" w:rsidP="00D464C5">
            <w:pPr>
              <w:jc w:val="center"/>
              <w:rPr>
                <w:b/>
                <w:bCs/>
              </w:rPr>
            </w:pPr>
            <w:r>
              <w:rPr>
                <w:b/>
                <w:bCs/>
              </w:rPr>
              <w:t>t</w:t>
            </w:r>
            <w:r w:rsidR="00C3337D">
              <w:rPr>
                <w:b/>
                <w:bCs/>
              </w:rPr>
              <w:t xml:space="preserve">he report </w:t>
            </w:r>
            <w:r w:rsidR="00C3337D" w:rsidRPr="00C3337D">
              <w:rPr>
                <w:b/>
                <w:bCs/>
                <w:i/>
                <w:iCs/>
              </w:rPr>
              <w:t>must</w:t>
            </w:r>
            <w:r w:rsidR="00C3337D">
              <w:rPr>
                <w:b/>
                <w:bCs/>
              </w:rPr>
              <w:t xml:space="preserve"> include this information</w:t>
            </w:r>
          </w:p>
        </w:tc>
        <w:tc>
          <w:tcPr>
            <w:tcW w:w="1418" w:type="dxa"/>
          </w:tcPr>
          <w:p w14:paraId="73A7B23F" w14:textId="77777777" w:rsidR="00BF786D" w:rsidRPr="007E5371" w:rsidRDefault="00BF786D" w:rsidP="00D464C5">
            <w:pPr>
              <w:jc w:val="center"/>
              <w:rPr>
                <w:b/>
                <w:bCs/>
              </w:rPr>
            </w:pPr>
            <w:r w:rsidRPr="007E5371">
              <w:rPr>
                <w:b/>
                <w:bCs/>
              </w:rPr>
              <w:t>Information included?</w:t>
            </w:r>
          </w:p>
          <w:p w14:paraId="60192472" w14:textId="6FE8F954" w:rsidR="007E5371" w:rsidRPr="007E5371" w:rsidRDefault="007E5371" w:rsidP="00D464C5">
            <w:pPr>
              <w:jc w:val="center"/>
            </w:pPr>
            <w:r w:rsidRPr="007E5371">
              <w:t>Yes/no</w:t>
            </w:r>
          </w:p>
        </w:tc>
        <w:tc>
          <w:tcPr>
            <w:tcW w:w="1701" w:type="dxa"/>
          </w:tcPr>
          <w:p w14:paraId="64EE3E36" w14:textId="262656EC" w:rsidR="00BF786D" w:rsidRPr="007E5371" w:rsidRDefault="000511A1" w:rsidP="00D464C5">
            <w:pPr>
              <w:jc w:val="center"/>
              <w:rPr>
                <w:b/>
                <w:bCs/>
              </w:rPr>
            </w:pPr>
            <w:r>
              <w:rPr>
                <w:b/>
                <w:bCs/>
              </w:rPr>
              <w:t>Do parents and others find it accessible?</w:t>
            </w:r>
          </w:p>
          <w:p w14:paraId="2275051B" w14:textId="56AE7D37" w:rsidR="007E5371" w:rsidRPr="007E5371" w:rsidRDefault="007E5371" w:rsidP="00D464C5">
            <w:pPr>
              <w:jc w:val="center"/>
            </w:pPr>
            <w:r w:rsidRPr="007E5371">
              <w:t>Yes/no</w:t>
            </w:r>
          </w:p>
        </w:tc>
        <w:tc>
          <w:tcPr>
            <w:tcW w:w="1530" w:type="dxa"/>
          </w:tcPr>
          <w:p w14:paraId="6E313657" w14:textId="77777777" w:rsidR="00BF786D" w:rsidRPr="007E5371" w:rsidRDefault="00C50A43" w:rsidP="00D464C5">
            <w:pPr>
              <w:jc w:val="center"/>
              <w:rPr>
                <w:b/>
                <w:bCs/>
              </w:rPr>
            </w:pPr>
            <w:r w:rsidRPr="007E5371">
              <w:rPr>
                <w:b/>
                <w:bCs/>
              </w:rPr>
              <w:t>Co-produced?</w:t>
            </w:r>
          </w:p>
          <w:p w14:paraId="3F9811CA" w14:textId="12F2D250" w:rsidR="004859A6" w:rsidRPr="007E5371" w:rsidRDefault="007E5371" w:rsidP="00D464C5">
            <w:pPr>
              <w:jc w:val="center"/>
            </w:pPr>
            <w:r w:rsidRPr="007E5371">
              <w:t>State how/when</w:t>
            </w:r>
          </w:p>
        </w:tc>
      </w:tr>
      <w:tr w:rsidR="00BF786D" w14:paraId="74276807" w14:textId="77777777" w:rsidTr="000511A1">
        <w:tc>
          <w:tcPr>
            <w:tcW w:w="5807" w:type="dxa"/>
          </w:tcPr>
          <w:p w14:paraId="427156B3" w14:textId="1B09D5C6" w:rsidR="00BF786D" w:rsidRPr="00001234" w:rsidRDefault="00C50A43" w:rsidP="00C50A43">
            <w:pPr>
              <w:rPr>
                <w:sz w:val="20"/>
                <w:szCs w:val="20"/>
              </w:rPr>
            </w:pPr>
            <w:r w:rsidRPr="00001234">
              <w:rPr>
                <w:sz w:val="20"/>
                <w:szCs w:val="20"/>
              </w:rPr>
              <w:t>The kinds of SEN that are provided for</w:t>
            </w:r>
          </w:p>
        </w:tc>
        <w:tc>
          <w:tcPr>
            <w:tcW w:w="1418" w:type="dxa"/>
          </w:tcPr>
          <w:p w14:paraId="1117DB36" w14:textId="77777777" w:rsidR="00BF786D" w:rsidRDefault="00BF786D" w:rsidP="00D464C5">
            <w:pPr>
              <w:jc w:val="center"/>
              <w:rPr>
                <w:sz w:val="24"/>
                <w:szCs w:val="24"/>
              </w:rPr>
            </w:pPr>
          </w:p>
        </w:tc>
        <w:tc>
          <w:tcPr>
            <w:tcW w:w="1701" w:type="dxa"/>
          </w:tcPr>
          <w:p w14:paraId="1F34F75A" w14:textId="77777777" w:rsidR="00BF786D" w:rsidRDefault="00BF786D" w:rsidP="00D464C5">
            <w:pPr>
              <w:jc w:val="center"/>
              <w:rPr>
                <w:sz w:val="24"/>
                <w:szCs w:val="24"/>
              </w:rPr>
            </w:pPr>
          </w:p>
        </w:tc>
        <w:tc>
          <w:tcPr>
            <w:tcW w:w="1530" w:type="dxa"/>
          </w:tcPr>
          <w:p w14:paraId="5B415359" w14:textId="7E51B260" w:rsidR="00BF786D" w:rsidRDefault="00BF786D" w:rsidP="00D464C5">
            <w:pPr>
              <w:jc w:val="center"/>
              <w:rPr>
                <w:sz w:val="24"/>
                <w:szCs w:val="24"/>
              </w:rPr>
            </w:pPr>
          </w:p>
        </w:tc>
      </w:tr>
      <w:tr w:rsidR="00BF786D" w14:paraId="25A8E189" w14:textId="77777777" w:rsidTr="000511A1">
        <w:tc>
          <w:tcPr>
            <w:tcW w:w="5807" w:type="dxa"/>
          </w:tcPr>
          <w:p w14:paraId="26CEC78F" w14:textId="13C783E7" w:rsidR="00BF786D" w:rsidRPr="00001234" w:rsidRDefault="00C50A43" w:rsidP="00C50A43">
            <w:pPr>
              <w:rPr>
                <w:sz w:val="20"/>
                <w:szCs w:val="20"/>
              </w:rPr>
            </w:pPr>
            <w:r w:rsidRPr="00001234">
              <w:rPr>
                <w:sz w:val="20"/>
                <w:szCs w:val="20"/>
              </w:rPr>
              <w:t>Policies for identifying</w:t>
            </w:r>
            <w:r w:rsidR="004859A6" w:rsidRPr="00001234">
              <w:rPr>
                <w:sz w:val="20"/>
                <w:szCs w:val="20"/>
              </w:rPr>
              <w:t xml:space="preserve"> children and young people with SEN and assessing their needs, including the name and contact details of the SENCO</w:t>
            </w:r>
          </w:p>
        </w:tc>
        <w:tc>
          <w:tcPr>
            <w:tcW w:w="1418" w:type="dxa"/>
          </w:tcPr>
          <w:p w14:paraId="65CA8BE5" w14:textId="77777777" w:rsidR="00BF786D" w:rsidRDefault="00BF786D" w:rsidP="00D464C5">
            <w:pPr>
              <w:jc w:val="center"/>
              <w:rPr>
                <w:sz w:val="24"/>
                <w:szCs w:val="24"/>
              </w:rPr>
            </w:pPr>
          </w:p>
        </w:tc>
        <w:tc>
          <w:tcPr>
            <w:tcW w:w="1701" w:type="dxa"/>
          </w:tcPr>
          <w:p w14:paraId="3B4E8128" w14:textId="77777777" w:rsidR="00BF786D" w:rsidRDefault="00BF786D" w:rsidP="00D464C5">
            <w:pPr>
              <w:jc w:val="center"/>
              <w:rPr>
                <w:sz w:val="24"/>
                <w:szCs w:val="24"/>
              </w:rPr>
            </w:pPr>
          </w:p>
        </w:tc>
        <w:tc>
          <w:tcPr>
            <w:tcW w:w="1530" w:type="dxa"/>
          </w:tcPr>
          <w:p w14:paraId="2665ACF4" w14:textId="4E01EF84" w:rsidR="00BF786D" w:rsidRDefault="00BF786D" w:rsidP="00D464C5">
            <w:pPr>
              <w:jc w:val="center"/>
              <w:rPr>
                <w:sz w:val="24"/>
                <w:szCs w:val="24"/>
              </w:rPr>
            </w:pPr>
          </w:p>
        </w:tc>
      </w:tr>
      <w:tr w:rsidR="00BF786D" w14:paraId="335C6FC3" w14:textId="77777777" w:rsidTr="000511A1">
        <w:tc>
          <w:tcPr>
            <w:tcW w:w="5807" w:type="dxa"/>
          </w:tcPr>
          <w:p w14:paraId="5AE116E4" w14:textId="220B0429" w:rsidR="00BF786D" w:rsidRPr="00001234" w:rsidRDefault="004859A6" w:rsidP="00C50A43">
            <w:pPr>
              <w:rPr>
                <w:sz w:val="20"/>
                <w:szCs w:val="20"/>
              </w:rPr>
            </w:pPr>
            <w:r w:rsidRPr="00001234">
              <w:rPr>
                <w:sz w:val="20"/>
                <w:szCs w:val="20"/>
              </w:rPr>
              <w:t>Arrangements for consulting parents of children with SEN and involving them in their education</w:t>
            </w:r>
          </w:p>
        </w:tc>
        <w:tc>
          <w:tcPr>
            <w:tcW w:w="1418" w:type="dxa"/>
          </w:tcPr>
          <w:p w14:paraId="083805AB" w14:textId="77777777" w:rsidR="00BF786D" w:rsidRDefault="00BF786D" w:rsidP="00D464C5">
            <w:pPr>
              <w:jc w:val="center"/>
              <w:rPr>
                <w:sz w:val="24"/>
                <w:szCs w:val="24"/>
              </w:rPr>
            </w:pPr>
          </w:p>
        </w:tc>
        <w:tc>
          <w:tcPr>
            <w:tcW w:w="1701" w:type="dxa"/>
          </w:tcPr>
          <w:p w14:paraId="007F5F39" w14:textId="77777777" w:rsidR="00BF786D" w:rsidRDefault="00BF786D" w:rsidP="00D464C5">
            <w:pPr>
              <w:jc w:val="center"/>
              <w:rPr>
                <w:sz w:val="24"/>
                <w:szCs w:val="24"/>
              </w:rPr>
            </w:pPr>
          </w:p>
        </w:tc>
        <w:tc>
          <w:tcPr>
            <w:tcW w:w="1530" w:type="dxa"/>
          </w:tcPr>
          <w:p w14:paraId="683E269E" w14:textId="4DBDAC14" w:rsidR="00BF786D" w:rsidRDefault="00BF786D" w:rsidP="00D464C5">
            <w:pPr>
              <w:jc w:val="center"/>
              <w:rPr>
                <w:sz w:val="24"/>
                <w:szCs w:val="24"/>
              </w:rPr>
            </w:pPr>
          </w:p>
        </w:tc>
      </w:tr>
      <w:tr w:rsidR="00BF786D" w14:paraId="5D8E20FE" w14:textId="77777777" w:rsidTr="000511A1">
        <w:tc>
          <w:tcPr>
            <w:tcW w:w="5807" w:type="dxa"/>
          </w:tcPr>
          <w:p w14:paraId="7C38690C" w14:textId="53C82878" w:rsidR="00BF786D" w:rsidRPr="00001234" w:rsidRDefault="007E5371" w:rsidP="00C50A43">
            <w:pPr>
              <w:rPr>
                <w:sz w:val="20"/>
                <w:szCs w:val="20"/>
              </w:rPr>
            </w:pPr>
            <w:r w:rsidRPr="00001234">
              <w:rPr>
                <w:sz w:val="20"/>
                <w:szCs w:val="20"/>
              </w:rPr>
              <w:t>Arrangements for consulting young people with SEN and involving them in their education</w:t>
            </w:r>
          </w:p>
        </w:tc>
        <w:tc>
          <w:tcPr>
            <w:tcW w:w="1418" w:type="dxa"/>
          </w:tcPr>
          <w:p w14:paraId="1B22F011" w14:textId="77777777" w:rsidR="00BF786D" w:rsidRDefault="00BF786D" w:rsidP="00D464C5">
            <w:pPr>
              <w:jc w:val="center"/>
              <w:rPr>
                <w:sz w:val="24"/>
                <w:szCs w:val="24"/>
              </w:rPr>
            </w:pPr>
          </w:p>
        </w:tc>
        <w:tc>
          <w:tcPr>
            <w:tcW w:w="1701" w:type="dxa"/>
          </w:tcPr>
          <w:p w14:paraId="68EA2550" w14:textId="77777777" w:rsidR="00BF786D" w:rsidRDefault="00BF786D" w:rsidP="00D464C5">
            <w:pPr>
              <w:jc w:val="center"/>
              <w:rPr>
                <w:sz w:val="24"/>
                <w:szCs w:val="24"/>
              </w:rPr>
            </w:pPr>
          </w:p>
        </w:tc>
        <w:tc>
          <w:tcPr>
            <w:tcW w:w="1530" w:type="dxa"/>
          </w:tcPr>
          <w:p w14:paraId="266075A6" w14:textId="3174CD06" w:rsidR="00BF786D" w:rsidRDefault="00BF786D" w:rsidP="00D464C5">
            <w:pPr>
              <w:jc w:val="center"/>
              <w:rPr>
                <w:sz w:val="24"/>
                <w:szCs w:val="24"/>
              </w:rPr>
            </w:pPr>
          </w:p>
        </w:tc>
      </w:tr>
      <w:tr w:rsidR="00BF786D" w14:paraId="2118DF21" w14:textId="77777777" w:rsidTr="000511A1">
        <w:tc>
          <w:tcPr>
            <w:tcW w:w="5807" w:type="dxa"/>
          </w:tcPr>
          <w:p w14:paraId="30949940" w14:textId="0D412730" w:rsidR="00BF786D" w:rsidRPr="00001234" w:rsidRDefault="007E5371" w:rsidP="00C50A43">
            <w:pPr>
              <w:rPr>
                <w:sz w:val="20"/>
                <w:szCs w:val="20"/>
              </w:rPr>
            </w:pPr>
            <w:r w:rsidRPr="00001234">
              <w:rPr>
                <w:sz w:val="20"/>
                <w:szCs w:val="20"/>
              </w:rPr>
              <w:t>Arrangements for assessing and reviewing children and young people’s progress towards outcomes</w:t>
            </w:r>
            <w:r w:rsidR="00CC0792" w:rsidRPr="00001234">
              <w:rPr>
                <w:sz w:val="20"/>
                <w:szCs w:val="20"/>
              </w:rPr>
              <w:t>. This should include the opportunities available to work with parents and young people as part of this assessment and review</w:t>
            </w:r>
          </w:p>
        </w:tc>
        <w:tc>
          <w:tcPr>
            <w:tcW w:w="1418" w:type="dxa"/>
          </w:tcPr>
          <w:p w14:paraId="4FC7F215" w14:textId="77777777" w:rsidR="00BF786D" w:rsidRDefault="00BF786D" w:rsidP="00D464C5">
            <w:pPr>
              <w:jc w:val="center"/>
              <w:rPr>
                <w:sz w:val="24"/>
                <w:szCs w:val="24"/>
              </w:rPr>
            </w:pPr>
          </w:p>
        </w:tc>
        <w:tc>
          <w:tcPr>
            <w:tcW w:w="1701" w:type="dxa"/>
          </w:tcPr>
          <w:p w14:paraId="7CF175BD" w14:textId="77777777" w:rsidR="00BF786D" w:rsidRDefault="00BF786D" w:rsidP="00D464C5">
            <w:pPr>
              <w:jc w:val="center"/>
              <w:rPr>
                <w:sz w:val="24"/>
                <w:szCs w:val="24"/>
              </w:rPr>
            </w:pPr>
          </w:p>
        </w:tc>
        <w:tc>
          <w:tcPr>
            <w:tcW w:w="1530" w:type="dxa"/>
          </w:tcPr>
          <w:p w14:paraId="449EF48F" w14:textId="79A65400" w:rsidR="00BF786D" w:rsidRDefault="00BF786D" w:rsidP="00D464C5">
            <w:pPr>
              <w:jc w:val="center"/>
              <w:rPr>
                <w:sz w:val="24"/>
                <w:szCs w:val="24"/>
              </w:rPr>
            </w:pPr>
          </w:p>
        </w:tc>
      </w:tr>
      <w:tr w:rsidR="00BF786D" w14:paraId="1A9CE741" w14:textId="77777777" w:rsidTr="000511A1">
        <w:tc>
          <w:tcPr>
            <w:tcW w:w="5807" w:type="dxa"/>
          </w:tcPr>
          <w:p w14:paraId="5234ABE9" w14:textId="1D5E49BE" w:rsidR="00BF786D" w:rsidRPr="00001234" w:rsidRDefault="00CC0792" w:rsidP="00C50A43">
            <w:pPr>
              <w:rPr>
                <w:sz w:val="20"/>
                <w:szCs w:val="20"/>
              </w:rPr>
            </w:pPr>
            <w:r w:rsidRPr="00001234">
              <w:rPr>
                <w:sz w:val="20"/>
                <w:szCs w:val="20"/>
              </w:rPr>
              <w:t>Arrangements for supporting children and young people in moving between phases of education and in preparing for adulthood.</w:t>
            </w:r>
            <w:r w:rsidR="00C85BDF" w:rsidRPr="00001234">
              <w:rPr>
                <w:sz w:val="20"/>
                <w:szCs w:val="20"/>
              </w:rPr>
              <w:t xml:space="preserve"> </w:t>
            </w:r>
            <w:r w:rsidRPr="00001234">
              <w:rPr>
                <w:sz w:val="20"/>
                <w:szCs w:val="20"/>
              </w:rPr>
              <w:t>As young people</w:t>
            </w:r>
            <w:r w:rsidR="00C85BDF" w:rsidRPr="00001234">
              <w:rPr>
                <w:sz w:val="20"/>
                <w:szCs w:val="20"/>
              </w:rPr>
              <w:t xml:space="preserve"> prepare for adulthood outcomes should reflect their ambitions, which could include higher education, employment, independent living and participation in society</w:t>
            </w:r>
          </w:p>
        </w:tc>
        <w:tc>
          <w:tcPr>
            <w:tcW w:w="1418" w:type="dxa"/>
          </w:tcPr>
          <w:p w14:paraId="49B3E8F4" w14:textId="77777777" w:rsidR="00BF786D" w:rsidRDefault="00BF786D" w:rsidP="00D464C5">
            <w:pPr>
              <w:jc w:val="center"/>
              <w:rPr>
                <w:sz w:val="24"/>
                <w:szCs w:val="24"/>
              </w:rPr>
            </w:pPr>
          </w:p>
        </w:tc>
        <w:tc>
          <w:tcPr>
            <w:tcW w:w="1701" w:type="dxa"/>
          </w:tcPr>
          <w:p w14:paraId="41CBA89F" w14:textId="77777777" w:rsidR="00BF786D" w:rsidRDefault="00BF786D" w:rsidP="00D464C5">
            <w:pPr>
              <w:jc w:val="center"/>
              <w:rPr>
                <w:sz w:val="24"/>
                <w:szCs w:val="24"/>
              </w:rPr>
            </w:pPr>
          </w:p>
        </w:tc>
        <w:tc>
          <w:tcPr>
            <w:tcW w:w="1530" w:type="dxa"/>
          </w:tcPr>
          <w:p w14:paraId="15FCB448" w14:textId="563EC9AC" w:rsidR="00BF786D" w:rsidRDefault="00BF786D" w:rsidP="00D464C5">
            <w:pPr>
              <w:jc w:val="center"/>
              <w:rPr>
                <w:sz w:val="24"/>
                <w:szCs w:val="24"/>
              </w:rPr>
            </w:pPr>
          </w:p>
        </w:tc>
      </w:tr>
      <w:tr w:rsidR="00BF786D" w14:paraId="1F8FCAA2" w14:textId="77777777" w:rsidTr="000511A1">
        <w:tc>
          <w:tcPr>
            <w:tcW w:w="5807" w:type="dxa"/>
          </w:tcPr>
          <w:p w14:paraId="10606BD4" w14:textId="6C6530E0" w:rsidR="00BF786D" w:rsidRPr="00001234" w:rsidRDefault="00C85BDF" w:rsidP="00C50A43">
            <w:pPr>
              <w:rPr>
                <w:sz w:val="20"/>
                <w:szCs w:val="20"/>
              </w:rPr>
            </w:pPr>
            <w:r w:rsidRPr="00001234">
              <w:rPr>
                <w:sz w:val="20"/>
                <w:szCs w:val="20"/>
              </w:rPr>
              <w:t>The approach to teaching</w:t>
            </w:r>
            <w:r w:rsidR="00B5198E" w:rsidRPr="00001234">
              <w:rPr>
                <w:sz w:val="20"/>
                <w:szCs w:val="20"/>
              </w:rPr>
              <w:t xml:space="preserve"> children and young people with SEN</w:t>
            </w:r>
          </w:p>
        </w:tc>
        <w:tc>
          <w:tcPr>
            <w:tcW w:w="1418" w:type="dxa"/>
          </w:tcPr>
          <w:p w14:paraId="5E1554DE" w14:textId="77777777" w:rsidR="00BF786D" w:rsidRDefault="00BF786D" w:rsidP="00D464C5">
            <w:pPr>
              <w:jc w:val="center"/>
              <w:rPr>
                <w:sz w:val="24"/>
                <w:szCs w:val="24"/>
              </w:rPr>
            </w:pPr>
          </w:p>
        </w:tc>
        <w:tc>
          <w:tcPr>
            <w:tcW w:w="1701" w:type="dxa"/>
          </w:tcPr>
          <w:p w14:paraId="43CED53B" w14:textId="77777777" w:rsidR="00BF786D" w:rsidRDefault="00BF786D" w:rsidP="00D464C5">
            <w:pPr>
              <w:jc w:val="center"/>
              <w:rPr>
                <w:sz w:val="24"/>
                <w:szCs w:val="24"/>
              </w:rPr>
            </w:pPr>
          </w:p>
        </w:tc>
        <w:tc>
          <w:tcPr>
            <w:tcW w:w="1530" w:type="dxa"/>
          </w:tcPr>
          <w:p w14:paraId="7365B2F8" w14:textId="3D10AD22" w:rsidR="00BF786D" w:rsidRDefault="00BF786D" w:rsidP="00D464C5">
            <w:pPr>
              <w:jc w:val="center"/>
              <w:rPr>
                <w:sz w:val="24"/>
                <w:szCs w:val="24"/>
              </w:rPr>
            </w:pPr>
          </w:p>
        </w:tc>
      </w:tr>
      <w:tr w:rsidR="00BF786D" w14:paraId="488368DE" w14:textId="77777777" w:rsidTr="000511A1">
        <w:tc>
          <w:tcPr>
            <w:tcW w:w="5807" w:type="dxa"/>
          </w:tcPr>
          <w:p w14:paraId="42374E8D" w14:textId="784037A0" w:rsidR="00BF786D" w:rsidRPr="00001234" w:rsidRDefault="00B5198E" w:rsidP="00C50A43">
            <w:pPr>
              <w:rPr>
                <w:sz w:val="20"/>
                <w:szCs w:val="20"/>
              </w:rPr>
            </w:pPr>
            <w:r w:rsidRPr="00001234">
              <w:rPr>
                <w:sz w:val="20"/>
                <w:szCs w:val="20"/>
              </w:rPr>
              <w:t>How adaptations are made to the curriculum and the learning environment of children and young people with SEN</w:t>
            </w:r>
          </w:p>
        </w:tc>
        <w:tc>
          <w:tcPr>
            <w:tcW w:w="1418" w:type="dxa"/>
          </w:tcPr>
          <w:p w14:paraId="5ECD472B" w14:textId="77777777" w:rsidR="00BF786D" w:rsidRDefault="00BF786D" w:rsidP="00D464C5">
            <w:pPr>
              <w:jc w:val="center"/>
              <w:rPr>
                <w:sz w:val="24"/>
                <w:szCs w:val="24"/>
              </w:rPr>
            </w:pPr>
          </w:p>
        </w:tc>
        <w:tc>
          <w:tcPr>
            <w:tcW w:w="1701" w:type="dxa"/>
          </w:tcPr>
          <w:p w14:paraId="069FB0B3" w14:textId="77777777" w:rsidR="00BF786D" w:rsidRDefault="00BF786D" w:rsidP="00D464C5">
            <w:pPr>
              <w:jc w:val="center"/>
              <w:rPr>
                <w:sz w:val="24"/>
                <w:szCs w:val="24"/>
              </w:rPr>
            </w:pPr>
          </w:p>
        </w:tc>
        <w:tc>
          <w:tcPr>
            <w:tcW w:w="1530" w:type="dxa"/>
          </w:tcPr>
          <w:p w14:paraId="0430358F" w14:textId="70D71724" w:rsidR="00BF786D" w:rsidRDefault="00BF786D" w:rsidP="00D464C5">
            <w:pPr>
              <w:jc w:val="center"/>
              <w:rPr>
                <w:sz w:val="24"/>
                <w:szCs w:val="24"/>
              </w:rPr>
            </w:pPr>
          </w:p>
        </w:tc>
      </w:tr>
      <w:tr w:rsidR="00BF786D" w14:paraId="265CBE4B" w14:textId="77777777" w:rsidTr="000511A1">
        <w:tc>
          <w:tcPr>
            <w:tcW w:w="5807" w:type="dxa"/>
          </w:tcPr>
          <w:p w14:paraId="745AF625" w14:textId="1CDF579E" w:rsidR="00BF786D" w:rsidRPr="00001234" w:rsidRDefault="00B5198E" w:rsidP="00C50A43">
            <w:pPr>
              <w:rPr>
                <w:sz w:val="20"/>
                <w:szCs w:val="20"/>
              </w:rPr>
            </w:pPr>
            <w:r w:rsidRPr="00001234">
              <w:rPr>
                <w:sz w:val="20"/>
                <w:szCs w:val="20"/>
              </w:rPr>
              <w:t>The expertise and training of staff to support children and young people with SEN, including how specialist expertise will be secured</w:t>
            </w:r>
          </w:p>
        </w:tc>
        <w:tc>
          <w:tcPr>
            <w:tcW w:w="1418" w:type="dxa"/>
          </w:tcPr>
          <w:p w14:paraId="60A1E00D" w14:textId="77777777" w:rsidR="00BF786D" w:rsidRDefault="00BF786D" w:rsidP="00D464C5">
            <w:pPr>
              <w:jc w:val="center"/>
              <w:rPr>
                <w:sz w:val="24"/>
                <w:szCs w:val="24"/>
              </w:rPr>
            </w:pPr>
          </w:p>
        </w:tc>
        <w:tc>
          <w:tcPr>
            <w:tcW w:w="1701" w:type="dxa"/>
          </w:tcPr>
          <w:p w14:paraId="3EBC8405" w14:textId="77777777" w:rsidR="00BF786D" w:rsidRDefault="00BF786D" w:rsidP="00D464C5">
            <w:pPr>
              <w:jc w:val="center"/>
              <w:rPr>
                <w:sz w:val="24"/>
                <w:szCs w:val="24"/>
              </w:rPr>
            </w:pPr>
          </w:p>
        </w:tc>
        <w:tc>
          <w:tcPr>
            <w:tcW w:w="1530" w:type="dxa"/>
          </w:tcPr>
          <w:p w14:paraId="3D1D413E" w14:textId="374A76CE" w:rsidR="00BF786D" w:rsidRDefault="00BF786D" w:rsidP="00D464C5">
            <w:pPr>
              <w:jc w:val="center"/>
              <w:rPr>
                <w:sz w:val="24"/>
                <w:szCs w:val="24"/>
              </w:rPr>
            </w:pPr>
          </w:p>
        </w:tc>
      </w:tr>
      <w:tr w:rsidR="00BF786D" w14:paraId="4638187F" w14:textId="77777777" w:rsidTr="000511A1">
        <w:tc>
          <w:tcPr>
            <w:tcW w:w="5807" w:type="dxa"/>
          </w:tcPr>
          <w:p w14:paraId="4EFD03C2" w14:textId="2C17A78E" w:rsidR="00BF786D" w:rsidRPr="00001234" w:rsidRDefault="00001234" w:rsidP="00C50A43">
            <w:pPr>
              <w:rPr>
                <w:sz w:val="20"/>
                <w:szCs w:val="20"/>
              </w:rPr>
            </w:pPr>
            <w:r>
              <w:rPr>
                <w:sz w:val="20"/>
                <w:szCs w:val="20"/>
              </w:rPr>
              <w:t>Evaluating the effectiveness of the provision made for children and young people with SEN</w:t>
            </w:r>
          </w:p>
        </w:tc>
        <w:tc>
          <w:tcPr>
            <w:tcW w:w="1418" w:type="dxa"/>
          </w:tcPr>
          <w:p w14:paraId="5B861260" w14:textId="77777777" w:rsidR="00BF786D" w:rsidRDefault="00BF786D" w:rsidP="00D464C5">
            <w:pPr>
              <w:jc w:val="center"/>
              <w:rPr>
                <w:sz w:val="24"/>
                <w:szCs w:val="24"/>
              </w:rPr>
            </w:pPr>
          </w:p>
        </w:tc>
        <w:tc>
          <w:tcPr>
            <w:tcW w:w="1701" w:type="dxa"/>
          </w:tcPr>
          <w:p w14:paraId="5CBA94EE" w14:textId="77777777" w:rsidR="00BF786D" w:rsidRDefault="00BF786D" w:rsidP="00D464C5">
            <w:pPr>
              <w:jc w:val="center"/>
              <w:rPr>
                <w:sz w:val="24"/>
                <w:szCs w:val="24"/>
              </w:rPr>
            </w:pPr>
          </w:p>
        </w:tc>
        <w:tc>
          <w:tcPr>
            <w:tcW w:w="1530" w:type="dxa"/>
          </w:tcPr>
          <w:p w14:paraId="417BD21A" w14:textId="61217CB8" w:rsidR="00BF786D" w:rsidRDefault="00BF786D" w:rsidP="00D464C5">
            <w:pPr>
              <w:jc w:val="center"/>
              <w:rPr>
                <w:sz w:val="24"/>
                <w:szCs w:val="24"/>
              </w:rPr>
            </w:pPr>
          </w:p>
        </w:tc>
      </w:tr>
      <w:tr w:rsidR="00BF786D" w14:paraId="66FB0A33" w14:textId="77777777" w:rsidTr="000511A1">
        <w:tc>
          <w:tcPr>
            <w:tcW w:w="5807" w:type="dxa"/>
          </w:tcPr>
          <w:p w14:paraId="71108CF0" w14:textId="18583B30" w:rsidR="00BF786D" w:rsidRPr="00001234" w:rsidRDefault="00001234" w:rsidP="00C50A43">
            <w:pPr>
              <w:rPr>
                <w:sz w:val="20"/>
                <w:szCs w:val="20"/>
              </w:rPr>
            </w:pPr>
            <w:r>
              <w:rPr>
                <w:sz w:val="20"/>
                <w:szCs w:val="20"/>
              </w:rPr>
              <w:t>How children and young people with SEN are enabled to engage in activities available with children and young people in the school who do not have SEN</w:t>
            </w:r>
          </w:p>
        </w:tc>
        <w:tc>
          <w:tcPr>
            <w:tcW w:w="1418" w:type="dxa"/>
          </w:tcPr>
          <w:p w14:paraId="22FBB3FF" w14:textId="77777777" w:rsidR="00BF786D" w:rsidRDefault="00BF786D" w:rsidP="00D464C5">
            <w:pPr>
              <w:jc w:val="center"/>
              <w:rPr>
                <w:sz w:val="24"/>
                <w:szCs w:val="24"/>
              </w:rPr>
            </w:pPr>
          </w:p>
        </w:tc>
        <w:tc>
          <w:tcPr>
            <w:tcW w:w="1701" w:type="dxa"/>
          </w:tcPr>
          <w:p w14:paraId="2A99720F" w14:textId="77777777" w:rsidR="00BF786D" w:rsidRDefault="00BF786D" w:rsidP="00D464C5">
            <w:pPr>
              <w:jc w:val="center"/>
              <w:rPr>
                <w:sz w:val="24"/>
                <w:szCs w:val="24"/>
              </w:rPr>
            </w:pPr>
          </w:p>
        </w:tc>
        <w:tc>
          <w:tcPr>
            <w:tcW w:w="1530" w:type="dxa"/>
          </w:tcPr>
          <w:p w14:paraId="2D350B30" w14:textId="7CF0527D" w:rsidR="00BF786D" w:rsidRDefault="00BF786D" w:rsidP="00D464C5">
            <w:pPr>
              <w:jc w:val="center"/>
              <w:rPr>
                <w:sz w:val="24"/>
                <w:szCs w:val="24"/>
              </w:rPr>
            </w:pPr>
          </w:p>
        </w:tc>
      </w:tr>
      <w:tr w:rsidR="00BF786D" w14:paraId="42296C4B" w14:textId="77777777" w:rsidTr="000511A1">
        <w:tc>
          <w:tcPr>
            <w:tcW w:w="5807" w:type="dxa"/>
          </w:tcPr>
          <w:p w14:paraId="47C33798" w14:textId="7CCCCC4D" w:rsidR="00BF786D" w:rsidRPr="00001234" w:rsidRDefault="00001234" w:rsidP="00C50A43">
            <w:pPr>
              <w:rPr>
                <w:sz w:val="20"/>
                <w:szCs w:val="20"/>
              </w:rPr>
            </w:pPr>
            <w:r>
              <w:rPr>
                <w:sz w:val="20"/>
                <w:szCs w:val="20"/>
              </w:rPr>
              <w:t>Support for improving emotional and social development. This should include extra pastoral</w:t>
            </w:r>
            <w:r w:rsidR="009C0AA6">
              <w:rPr>
                <w:sz w:val="20"/>
                <w:szCs w:val="20"/>
              </w:rPr>
              <w:t xml:space="preserve"> support arrangements for listening to the views of children and young people with SEN and measures to prevent bullying</w:t>
            </w:r>
          </w:p>
        </w:tc>
        <w:tc>
          <w:tcPr>
            <w:tcW w:w="1418" w:type="dxa"/>
          </w:tcPr>
          <w:p w14:paraId="27389FBB" w14:textId="77777777" w:rsidR="00BF786D" w:rsidRDefault="00BF786D" w:rsidP="00D464C5">
            <w:pPr>
              <w:jc w:val="center"/>
              <w:rPr>
                <w:sz w:val="24"/>
                <w:szCs w:val="24"/>
              </w:rPr>
            </w:pPr>
          </w:p>
        </w:tc>
        <w:tc>
          <w:tcPr>
            <w:tcW w:w="1701" w:type="dxa"/>
          </w:tcPr>
          <w:p w14:paraId="7362286B" w14:textId="77777777" w:rsidR="00BF786D" w:rsidRDefault="00BF786D" w:rsidP="00D464C5">
            <w:pPr>
              <w:jc w:val="center"/>
              <w:rPr>
                <w:sz w:val="24"/>
                <w:szCs w:val="24"/>
              </w:rPr>
            </w:pPr>
          </w:p>
        </w:tc>
        <w:tc>
          <w:tcPr>
            <w:tcW w:w="1530" w:type="dxa"/>
          </w:tcPr>
          <w:p w14:paraId="425496C9" w14:textId="5BB96B9C" w:rsidR="00BF786D" w:rsidRDefault="00BF786D" w:rsidP="00D464C5">
            <w:pPr>
              <w:jc w:val="center"/>
              <w:rPr>
                <w:sz w:val="24"/>
                <w:szCs w:val="24"/>
              </w:rPr>
            </w:pPr>
          </w:p>
        </w:tc>
      </w:tr>
      <w:tr w:rsidR="00BF786D" w14:paraId="15EA3D48" w14:textId="77777777" w:rsidTr="000511A1">
        <w:tc>
          <w:tcPr>
            <w:tcW w:w="5807" w:type="dxa"/>
          </w:tcPr>
          <w:p w14:paraId="4A2C59D4" w14:textId="341B5E1B" w:rsidR="00BF786D" w:rsidRPr="00001234" w:rsidRDefault="009C0AA6" w:rsidP="00C50A43">
            <w:pPr>
              <w:rPr>
                <w:sz w:val="20"/>
                <w:szCs w:val="20"/>
              </w:rPr>
            </w:pPr>
            <w:r>
              <w:rPr>
                <w:sz w:val="20"/>
                <w:szCs w:val="20"/>
              </w:rPr>
              <w:t>How the school involves other bodies, including health and social care bodies, local authority support services and voluntary sector organisations</w:t>
            </w:r>
            <w:r w:rsidR="00726B0F">
              <w:rPr>
                <w:sz w:val="20"/>
                <w:szCs w:val="20"/>
              </w:rPr>
              <w:t>, in meeting children and young people’s SEN and supporting their families</w:t>
            </w:r>
          </w:p>
        </w:tc>
        <w:tc>
          <w:tcPr>
            <w:tcW w:w="1418" w:type="dxa"/>
          </w:tcPr>
          <w:p w14:paraId="227EF907" w14:textId="77777777" w:rsidR="00BF786D" w:rsidRDefault="00BF786D" w:rsidP="00D464C5">
            <w:pPr>
              <w:jc w:val="center"/>
              <w:rPr>
                <w:sz w:val="24"/>
                <w:szCs w:val="24"/>
              </w:rPr>
            </w:pPr>
          </w:p>
        </w:tc>
        <w:tc>
          <w:tcPr>
            <w:tcW w:w="1701" w:type="dxa"/>
          </w:tcPr>
          <w:p w14:paraId="2B299C0C" w14:textId="77777777" w:rsidR="00BF786D" w:rsidRDefault="00BF786D" w:rsidP="00D464C5">
            <w:pPr>
              <w:jc w:val="center"/>
              <w:rPr>
                <w:sz w:val="24"/>
                <w:szCs w:val="24"/>
              </w:rPr>
            </w:pPr>
          </w:p>
        </w:tc>
        <w:tc>
          <w:tcPr>
            <w:tcW w:w="1530" w:type="dxa"/>
          </w:tcPr>
          <w:p w14:paraId="7C24414E" w14:textId="17B58E87" w:rsidR="00BF786D" w:rsidRDefault="00BF786D" w:rsidP="00D464C5">
            <w:pPr>
              <w:jc w:val="center"/>
              <w:rPr>
                <w:sz w:val="24"/>
                <w:szCs w:val="24"/>
              </w:rPr>
            </w:pPr>
          </w:p>
        </w:tc>
      </w:tr>
      <w:tr w:rsidR="00BF786D" w14:paraId="185233B3" w14:textId="77777777" w:rsidTr="000511A1">
        <w:tc>
          <w:tcPr>
            <w:tcW w:w="5807" w:type="dxa"/>
          </w:tcPr>
          <w:p w14:paraId="563DB504" w14:textId="0DE846D2" w:rsidR="00BF786D" w:rsidRPr="00001234" w:rsidRDefault="00726B0F" w:rsidP="00C50A43">
            <w:pPr>
              <w:rPr>
                <w:sz w:val="20"/>
                <w:szCs w:val="20"/>
              </w:rPr>
            </w:pPr>
            <w:r>
              <w:rPr>
                <w:sz w:val="20"/>
                <w:szCs w:val="20"/>
              </w:rPr>
              <w:t xml:space="preserve">Arrangements for </w:t>
            </w:r>
            <w:r w:rsidR="0041283F">
              <w:rPr>
                <w:sz w:val="20"/>
                <w:szCs w:val="20"/>
              </w:rPr>
              <w:t>handling complaints from parents of children with SEN about the provision made at the school</w:t>
            </w:r>
          </w:p>
        </w:tc>
        <w:tc>
          <w:tcPr>
            <w:tcW w:w="1418" w:type="dxa"/>
          </w:tcPr>
          <w:p w14:paraId="18564DB2" w14:textId="77777777" w:rsidR="00BF786D" w:rsidRDefault="00BF786D" w:rsidP="00D464C5">
            <w:pPr>
              <w:jc w:val="center"/>
              <w:rPr>
                <w:sz w:val="24"/>
                <w:szCs w:val="24"/>
              </w:rPr>
            </w:pPr>
          </w:p>
        </w:tc>
        <w:tc>
          <w:tcPr>
            <w:tcW w:w="1701" w:type="dxa"/>
          </w:tcPr>
          <w:p w14:paraId="1ADCABF8" w14:textId="77777777" w:rsidR="00BF786D" w:rsidRDefault="00BF786D" w:rsidP="00D464C5">
            <w:pPr>
              <w:jc w:val="center"/>
              <w:rPr>
                <w:sz w:val="24"/>
                <w:szCs w:val="24"/>
              </w:rPr>
            </w:pPr>
          </w:p>
        </w:tc>
        <w:tc>
          <w:tcPr>
            <w:tcW w:w="1530" w:type="dxa"/>
          </w:tcPr>
          <w:p w14:paraId="41EF6714" w14:textId="76544B60" w:rsidR="00BF786D" w:rsidRDefault="00BF786D" w:rsidP="00D464C5">
            <w:pPr>
              <w:jc w:val="center"/>
              <w:rPr>
                <w:sz w:val="24"/>
                <w:szCs w:val="24"/>
              </w:rPr>
            </w:pPr>
          </w:p>
        </w:tc>
      </w:tr>
      <w:tr w:rsidR="00BF786D" w14:paraId="022C87EF" w14:textId="77777777" w:rsidTr="000511A1">
        <w:tc>
          <w:tcPr>
            <w:tcW w:w="5807" w:type="dxa"/>
          </w:tcPr>
          <w:p w14:paraId="24960DCE" w14:textId="5D4B6203" w:rsidR="00BF786D" w:rsidRPr="00001234" w:rsidRDefault="0041283F" w:rsidP="00C50A43">
            <w:pPr>
              <w:rPr>
                <w:sz w:val="20"/>
                <w:szCs w:val="20"/>
              </w:rPr>
            </w:pPr>
            <w:r>
              <w:rPr>
                <w:sz w:val="20"/>
                <w:szCs w:val="20"/>
              </w:rPr>
              <w:t>Information on where the local authority’s Local Offer is published</w:t>
            </w:r>
          </w:p>
        </w:tc>
        <w:tc>
          <w:tcPr>
            <w:tcW w:w="1418" w:type="dxa"/>
          </w:tcPr>
          <w:p w14:paraId="2B9C5F05" w14:textId="77777777" w:rsidR="00BF786D" w:rsidRDefault="00BF786D" w:rsidP="00D464C5">
            <w:pPr>
              <w:jc w:val="center"/>
              <w:rPr>
                <w:sz w:val="24"/>
                <w:szCs w:val="24"/>
              </w:rPr>
            </w:pPr>
          </w:p>
        </w:tc>
        <w:tc>
          <w:tcPr>
            <w:tcW w:w="1701" w:type="dxa"/>
          </w:tcPr>
          <w:p w14:paraId="7DF60C03" w14:textId="77777777" w:rsidR="00BF786D" w:rsidRDefault="00BF786D" w:rsidP="00D464C5">
            <w:pPr>
              <w:jc w:val="center"/>
              <w:rPr>
                <w:sz w:val="24"/>
                <w:szCs w:val="24"/>
              </w:rPr>
            </w:pPr>
          </w:p>
        </w:tc>
        <w:tc>
          <w:tcPr>
            <w:tcW w:w="1530" w:type="dxa"/>
          </w:tcPr>
          <w:p w14:paraId="28F60BB9" w14:textId="1EBE19F2" w:rsidR="00BF786D" w:rsidRDefault="00BF786D" w:rsidP="00D464C5">
            <w:pPr>
              <w:jc w:val="center"/>
              <w:rPr>
                <w:sz w:val="24"/>
                <w:szCs w:val="24"/>
              </w:rPr>
            </w:pPr>
          </w:p>
        </w:tc>
      </w:tr>
    </w:tbl>
    <w:p w14:paraId="098D25D4" w14:textId="071C9CD1" w:rsidR="00D464C5" w:rsidRDefault="00D464C5" w:rsidP="00D464C5">
      <w:pPr>
        <w:jc w:val="center"/>
        <w:rPr>
          <w:sz w:val="24"/>
          <w:szCs w:val="24"/>
        </w:rPr>
      </w:pPr>
    </w:p>
    <w:p w14:paraId="6FB8B00D" w14:textId="232830A7" w:rsidR="00B07B86" w:rsidRPr="0091568E" w:rsidRDefault="0091568E" w:rsidP="00B07B86">
      <w:pPr>
        <w:rPr>
          <w:sz w:val="20"/>
          <w:szCs w:val="20"/>
        </w:rPr>
      </w:pPr>
      <w:r w:rsidRPr="0091568E">
        <w:rPr>
          <w:sz w:val="20"/>
          <w:szCs w:val="20"/>
        </w:rPr>
        <w:t xml:space="preserve">The SEN information report </w:t>
      </w:r>
      <w:r w:rsidRPr="00C3337D">
        <w:rPr>
          <w:b/>
          <w:bCs/>
          <w:sz w:val="20"/>
          <w:szCs w:val="20"/>
        </w:rPr>
        <w:t>should</w:t>
      </w:r>
      <w:r w:rsidRPr="0091568E">
        <w:rPr>
          <w:sz w:val="20"/>
          <w:szCs w:val="20"/>
        </w:rPr>
        <w:t xml:space="preserve"> also include:</w:t>
      </w:r>
    </w:p>
    <w:p w14:paraId="17BF87FF" w14:textId="29B8DCDA" w:rsidR="0078781B" w:rsidRDefault="0091568E" w:rsidP="0091568E">
      <w:pPr>
        <w:pStyle w:val="ListParagraph"/>
        <w:numPr>
          <w:ilvl w:val="0"/>
          <w:numId w:val="3"/>
        </w:numPr>
        <w:rPr>
          <w:sz w:val="20"/>
          <w:szCs w:val="20"/>
        </w:rPr>
      </w:pPr>
      <w:r w:rsidRPr="0091568E">
        <w:rPr>
          <w:sz w:val="20"/>
          <w:szCs w:val="20"/>
        </w:rPr>
        <w:t>Arrangements</w:t>
      </w:r>
      <w:r>
        <w:rPr>
          <w:sz w:val="20"/>
          <w:szCs w:val="20"/>
        </w:rPr>
        <w:t xml:space="preserve"> for children and young people who are Looked After and have SEN</w:t>
      </w:r>
    </w:p>
    <w:p w14:paraId="33FD67D2" w14:textId="4D247058" w:rsidR="0091568E" w:rsidRDefault="00C3337D" w:rsidP="00ED2F0E">
      <w:pPr>
        <w:pStyle w:val="ListParagraph"/>
        <w:numPr>
          <w:ilvl w:val="0"/>
          <w:numId w:val="3"/>
        </w:numPr>
        <w:tabs>
          <w:tab w:val="left" w:pos="2731"/>
        </w:tabs>
        <w:rPr>
          <w:sz w:val="20"/>
          <w:szCs w:val="20"/>
        </w:rPr>
      </w:pPr>
      <w:r w:rsidRPr="00ED2F0E">
        <w:rPr>
          <w:sz w:val="20"/>
          <w:szCs w:val="20"/>
        </w:rPr>
        <w:t>Details of how the curriculum is adapted or made accessible for pupils with SEN</w:t>
      </w:r>
    </w:p>
    <w:p w14:paraId="09F6C5A6" w14:textId="721D35F6" w:rsidR="00ED2F0E" w:rsidRDefault="00ED2F0E" w:rsidP="00ED2F0E">
      <w:pPr>
        <w:pStyle w:val="ListParagraph"/>
        <w:numPr>
          <w:ilvl w:val="0"/>
          <w:numId w:val="3"/>
        </w:numPr>
        <w:tabs>
          <w:tab w:val="left" w:pos="2731"/>
        </w:tabs>
        <w:rPr>
          <w:sz w:val="20"/>
          <w:szCs w:val="20"/>
        </w:rPr>
      </w:pPr>
      <w:r>
        <w:rPr>
          <w:sz w:val="20"/>
          <w:szCs w:val="20"/>
        </w:rPr>
        <w:t>Information on the schoo</w:t>
      </w:r>
      <w:r w:rsidR="00C94C57">
        <w:rPr>
          <w:sz w:val="20"/>
          <w:szCs w:val="20"/>
        </w:rPr>
        <w:t>l</w:t>
      </w:r>
      <w:r>
        <w:rPr>
          <w:sz w:val="20"/>
          <w:szCs w:val="20"/>
        </w:rPr>
        <w:t>’s SEN policy</w:t>
      </w:r>
      <w:r w:rsidR="00C142F0">
        <w:rPr>
          <w:sz w:val="20"/>
          <w:szCs w:val="20"/>
        </w:rPr>
        <w:t xml:space="preserve"> and named contacts within the school for situations where young people or parents have concerns</w:t>
      </w:r>
    </w:p>
    <w:sectPr w:rsidR="00ED2F0E" w:rsidSect="00434492">
      <w:headerReference w:type="default" r:id="rId7"/>
      <w:footerReference w:type="default" r:id="rId8"/>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2E300" w14:textId="77777777" w:rsidR="004E2A46" w:rsidRDefault="004E2A46" w:rsidP="005F025F">
      <w:pPr>
        <w:spacing w:after="0" w:line="240" w:lineRule="auto"/>
      </w:pPr>
      <w:r>
        <w:separator/>
      </w:r>
    </w:p>
  </w:endnote>
  <w:endnote w:type="continuationSeparator" w:id="0">
    <w:p w14:paraId="39EE56FD" w14:textId="77777777" w:rsidR="004E2A46" w:rsidRDefault="004E2A46" w:rsidP="005F0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FAE91" w14:textId="77777777" w:rsidR="00300660" w:rsidRDefault="00161C38" w:rsidP="00E07689">
    <w:pPr>
      <w:pStyle w:val="Footer"/>
      <w:jc w:val="center"/>
      <w:rPr>
        <w:noProof/>
        <w:color w:val="FFFFFF" w:themeColor="background1"/>
        <w:lang w:eastAsia="en-GB"/>
      </w:rPr>
    </w:pPr>
    <w:r>
      <w:rPr>
        <w:noProof/>
        <w:lang w:eastAsia="en-GB"/>
      </w:rPr>
      <mc:AlternateContent>
        <mc:Choice Requires="wps">
          <w:drawing>
            <wp:anchor distT="45720" distB="45720" distL="114300" distR="114300" simplePos="0" relativeHeight="251677696" behindDoc="0" locked="0" layoutInCell="1" allowOverlap="1" wp14:anchorId="00DF8CEC" wp14:editId="1B2DE785">
              <wp:simplePos x="0" y="0"/>
              <wp:positionH relativeFrom="margin">
                <wp:align>center</wp:align>
              </wp:positionH>
              <wp:positionV relativeFrom="paragraph">
                <wp:posOffset>-233359</wp:posOffset>
              </wp:positionV>
              <wp:extent cx="2360930" cy="266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6700"/>
                      </a:xfrm>
                      <a:prstGeom prst="rect">
                        <a:avLst/>
                      </a:prstGeom>
                      <a:noFill/>
                      <a:ln w="9525">
                        <a:noFill/>
                        <a:miter lim="800000"/>
                        <a:headEnd/>
                        <a:tailEnd/>
                      </a:ln>
                    </wps:spPr>
                    <wps:txbx>
                      <w:txbxContent>
                        <w:p w14:paraId="24D1A72E" w14:textId="77777777" w:rsidR="00F76090" w:rsidRPr="00300660" w:rsidRDefault="00745403" w:rsidP="00F76090">
                          <w:pPr>
                            <w:pStyle w:val="Footer"/>
                            <w:jc w:val="center"/>
                            <w:rPr>
                              <w:color w:val="FFFFFF" w:themeColor="background1"/>
                              <w:sz w:val="18"/>
                            </w:rPr>
                          </w:pPr>
                          <w:hyperlink r:id="rId1" w:history="1">
                            <w:r w:rsidR="00F76090" w:rsidRPr="00300660">
                              <w:rPr>
                                <w:rStyle w:val="Hyperlink"/>
                                <w:rFonts w:ascii="Arial" w:hAnsi="Arial" w:cs="Arial"/>
                                <w:b/>
                                <w:color w:val="FFFFFF" w:themeColor="background1"/>
                                <w:u w:val="none"/>
                              </w:rPr>
                              <w:t>www.nasen.org.uk</w:t>
                            </w:r>
                          </w:hyperlink>
                        </w:p>
                        <w:p w14:paraId="1A075206" w14:textId="77777777" w:rsidR="00F76090" w:rsidRDefault="00F76090"/>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0DF8CEC" id="_x0000_t202" coordsize="21600,21600" o:spt="202" path="m,l,21600r21600,l21600,xe">
              <v:stroke joinstyle="miter"/>
              <v:path gradientshapeok="t" o:connecttype="rect"/>
            </v:shapetype>
            <v:shape id="Text Box 2" o:spid="_x0000_s1026" type="#_x0000_t202" style="position:absolute;left:0;text-align:left;margin-left:0;margin-top:-18.35pt;width:185.9pt;height:21pt;z-index:251677696;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aJdDAIAAPQDAAAOAAAAZHJzL2Uyb0RvYy54bWysU9tuGyEQfa/Uf0C817ve+BKvjKM0aapK&#10;6UVK+gGYZb2owFDA3nW/vgPrOFb7VpUHxDAzhzlnhvXNYDQ5SB8UWEank5ISaQU0yu4Y/f788O6a&#10;khC5bbgGKxk9ykBvNm/frHtXywo60I30BEFsqHvHaBejq4siiE4aHibgpEVnC97wiKbfFY3nPaIb&#10;XVRluSh68I3zIGQIeHs/Oukm47etFPFr2wYZiWYUa4t593nfpr3YrHm989x1SpzK4P9QheHK4qNn&#10;qHseOdl79ReUUcJDgDZOBJgC2lYJmTkgm2n5B5unjjuZuaA4wZ1lCv8PVnw5fPNENYxW0yUllhts&#10;0rMcInkPA6mSPr0LNYY9OQyMA15jnzPX4B5B/AjEwl3H7U7eeg99J3mD9U1TZnGROuKEBLLtP0OD&#10;z/B9hAw0tN4k8VAOgujYp+O5N6kUgZfV1aJcXaFLoK9aLJZlbl7B65ds50P8KMGQdGDUY+8zOj88&#10;hpiq4fVLSHrMwoPSOvdfW9IzuppX85xw4TEq4nhqZRi9LtMaByaR/GCbnBy50uMZH9D2xDoRHSnH&#10;YTtgYJJiC80R+XsYxxC/DR468L8o6XEEGQ0/99xLSvQnixquprNZmtlszObLCg1/6dleergVCMVo&#10;pGQ83sU85yPXW9S6VVmG10pOteJoZXVO3yDN7qWdo14/6+Y3AAAA//8DAFBLAwQUAAYACAAAACEA&#10;Y8uext0AAAAGAQAADwAAAGRycy9kb3ducmV2LnhtbEyPzU7DMBCE70i8g7VI3FqnhDQojVMhVA5I&#10;HGgpd9fZ/JR4HcVOGnh6lhMcRzOa+SbfzrYTEw6+daRgtYxAIBlXtlQrOL4/Lx5A+KCp1J0jVPCF&#10;HrbF9VWus9JdaI/TIdSCS8hnWkETQp9J6U2DVvul65HYq9xgdWA51LIc9IXLbSfvomgtrW6JFxrd&#10;41OD5vMwWgXVy0dqX++r3XE3Jt/nKTHzW22Uur2ZHzcgAs7hLwy/+IwOBTOd3EilF50CPhIULOJ1&#10;CoLtOF3xk5OCJAZZ5PI/fvEDAAD//wMAUEsBAi0AFAAGAAgAAAAhALaDOJL+AAAA4QEAABMAAAAA&#10;AAAAAAAAAAAAAAAAAFtDb250ZW50X1R5cGVzXS54bWxQSwECLQAUAAYACAAAACEAOP0h/9YAAACU&#10;AQAACwAAAAAAAAAAAAAAAAAvAQAAX3JlbHMvLnJlbHNQSwECLQAUAAYACAAAACEAYk2iXQwCAAD0&#10;AwAADgAAAAAAAAAAAAAAAAAuAgAAZHJzL2Uyb0RvYy54bWxQSwECLQAUAAYACAAAACEAY8uext0A&#10;AAAGAQAADwAAAAAAAAAAAAAAAABmBAAAZHJzL2Rvd25yZXYueG1sUEsFBgAAAAAEAAQA8wAAAHAF&#10;AAAAAA==&#10;" filled="f" stroked="f">
              <v:textbox>
                <w:txbxContent>
                  <w:p w14:paraId="24D1A72E" w14:textId="77777777" w:rsidR="00F76090" w:rsidRPr="00300660" w:rsidRDefault="00E05B50" w:rsidP="00F76090">
                    <w:pPr>
                      <w:pStyle w:val="Footer"/>
                      <w:jc w:val="center"/>
                      <w:rPr>
                        <w:color w:val="FFFFFF" w:themeColor="background1"/>
                        <w:sz w:val="18"/>
                      </w:rPr>
                    </w:pPr>
                    <w:hyperlink r:id="rId2" w:history="1">
                      <w:r w:rsidR="00F76090" w:rsidRPr="00300660">
                        <w:rPr>
                          <w:rStyle w:val="Hyperlink"/>
                          <w:rFonts w:ascii="Arial" w:hAnsi="Arial" w:cs="Arial"/>
                          <w:b/>
                          <w:color w:val="FFFFFF" w:themeColor="background1"/>
                          <w:u w:val="none"/>
                        </w:rPr>
                        <w:t>www.nasen.org.uk</w:t>
                      </w:r>
                    </w:hyperlink>
                  </w:p>
                  <w:p w14:paraId="1A075206" w14:textId="77777777" w:rsidR="00F76090" w:rsidRDefault="00F76090"/>
                </w:txbxContent>
              </v:textbox>
              <w10:wrap type="square" anchorx="margin"/>
            </v:shape>
          </w:pict>
        </mc:Fallback>
      </mc:AlternateContent>
    </w:r>
    <w:r>
      <w:rPr>
        <w:noProof/>
        <w:lang w:eastAsia="en-GB"/>
      </w:rPr>
      <w:drawing>
        <wp:anchor distT="0" distB="0" distL="114300" distR="114300" simplePos="0" relativeHeight="251675648" behindDoc="1" locked="0" layoutInCell="1" allowOverlap="1" wp14:anchorId="4B178C1E" wp14:editId="61674615">
          <wp:simplePos x="0" y="0"/>
          <wp:positionH relativeFrom="column">
            <wp:posOffset>3055749</wp:posOffset>
          </wp:positionH>
          <wp:positionV relativeFrom="paragraph">
            <wp:posOffset>-3952962</wp:posOffset>
          </wp:positionV>
          <wp:extent cx="834690" cy="7985712"/>
          <wp:effectExtent l="6032"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extLst>
                      <a:ext uri="{28A0092B-C50C-407E-A947-70E740481C1C}">
                        <a14:useLocalDpi xmlns:a14="http://schemas.microsoft.com/office/drawing/2010/main" val="0"/>
                      </a:ext>
                    </a:extLst>
                  </a:blip>
                  <a:srcRect l="-1" r="6775"/>
                  <a:stretch/>
                </pic:blipFill>
                <pic:spPr bwMode="auto">
                  <a:xfrm rot="16200000">
                    <a:off x="0" y="0"/>
                    <a:ext cx="834690" cy="798571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E8ADD1" w14:textId="77777777" w:rsidR="005F025F" w:rsidRDefault="005F025F" w:rsidP="004D7321">
    <w:pPr>
      <w:pStyle w:val="Footer"/>
      <w:jc w:val="center"/>
    </w:pPr>
    <w:r w:rsidRPr="005F025F">
      <w:rPr>
        <w:noProof/>
        <w:lang w:eastAsia="en-GB"/>
      </w:rPr>
      <w:drawing>
        <wp:anchor distT="0" distB="0" distL="114300" distR="114300" simplePos="0" relativeHeight="251660288" behindDoc="0" locked="0" layoutInCell="1" allowOverlap="1" wp14:anchorId="51F87A6E" wp14:editId="447DAFE4">
          <wp:simplePos x="0" y="0"/>
          <wp:positionH relativeFrom="column">
            <wp:posOffset>8591550</wp:posOffset>
          </wp:positionH>
          <wp:positionV relativeFrom="paragraph">
            <wp:posOffset>-3810</wp:posOffset>
          </wp:positionV>
          <wp:extent cx="1650663" cy="305067"/>
          <wp:effectExtent l="0" t="0" r="6985" b="0"/>
          <wp:wrapNone/>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06443" cy="31537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DD135" w14:textId="77777777" w:rsidR="004E2A46" w:rsidRDefault="004E2A46" w:rsidP="005F025F">
      <w:pPr>
        <w:spacing w:after="0" w:line="240" w:lineRule="auto"/>
      </w:pPr>
      <w:bookmarkStart w:id="0" w:name="_Hlk482953933"/>
      <w:bookmarkEnd w:id="0"/>
      <w:r>
        <w:separator/>
      </w:r>
    </w:p>
  </w:footnote>
  <w:footnote w:type="continuationSeparator" w:id="0">
    <w:p w14:paraId="5A6E80F4" w14:textId="77777777" w:rsidR="004E2A46" w:rsidRDefault="004E2A46" w:rsidP="005F0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5EE37" w14:textId="77777777" w:rsidR="00434492" w:rsidRDefault="00434492" w:rsidP="004558AA">
    <w:pPr>
      <w:pStyle w:val="Header"/>
      <w:tabs>
        <w:tab w:val="left" w:pos="405"/>
      </w:tabs>
      <w:rPr>
        <w:b/>
        <w:sz w:val="18"/>
      </w:rPr>
    </w:pPr>
  </w:p>
  <w:p w14:paraId="5B808760" w14:textId="77777777" w:rsidR="002B6436" w:rsidRDefault="002B6436" w:rsidP="004558AA">
    <w:pPr>
      <w:pStyle w:val="Header"/>
      <w:tabs>
        <w:tab w:val="left" w:pos="405"/>
      </w:tabs>
      <w:rPr>
        <w:b/>
        <w:sz w:val="18"/>
      </w:rPr>
    </w:pPr>
  </w:p>
  <w:p w14:paraId="6CD64E15" w14:textId="77777777" w:rsidR="002B6436" w:rsidRDefault="00E07689" w:rsidP="004558AA">
    <w:pPr>
      <w:pStyle w:val="Header"/>
      <w:tabs>
        <w:tab w:val="left" w:pos="405"/>
      </w:tabs>
      <w:rPr>
        <w:b/>
        <w:sz w:val="18"/>
      </w:rPr>
    </w:pPr>
    <w:r w:rsidRPr="002B6436">
      <w:rPr>
        <w:noProof/>
        <w:lang w:eastAsia="en-GB"/>
      </w:rPr>
      <w:drawing>
        <wp:anchor distT="0" distB="0" distL="114300" distR="114300" simplePos="0" relativeHeight="251673600" behindDoc="1" locked="0" layoutInCell="1" allowOverlap="1" wp14:anchorId="58905284" wp14:editId="33BA8A24">
          <wp:simplePos x="0" y="0"/>
          <wp:positionH relativeFrom="margin">
            <wp:posOffset>5048250</wp:posOffset>
          </wp:positionH>
          <wp:positionV relativeFrom="paragraph">
            <wp:posOffset>71120</wp:posOffset>
          </wp:positionV>
          <wp:extent cx="1597660" cy="288290"/>
          <wp:effectExtent l="0" t="0" r="0" b="0"/>
          <wp:wrapTight wrapText="bothSides">
            <wp:wrapPolygon edited="0">
              <wp:start x="8242" y="0"/>
              <wp:lineTo x="0" y="4282"/>
              <wp:lineTo x="0" y="17128"/>
              <wp:lineTo x="258" y="19982"/>
              <wp:lineTo x="20089" y="19982"/>
              <wp:lineTo x="21119" y="5709"/>
              <wp:lineTo x="20089" y="4282"/>
              <wp:lineTo x="9787" y="0"/>
              <wp:lineTo x="8242" y="0"/>
            </wp:wrapPolygon>
          </wp:wrapTight>
          <wp:docPr id="10" name="Picture 10" descr="F:\Nasen website\Design\nasen master logos and brand guidelines\nasen master logos and brand guidelines\send gateway\landscape-clear-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Nasen website\Design\nasen master logos and brand guidelines\nasen master logos and brand guidelines\send gateway\landscape-clear-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660" cy="288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6436">
      <w:rPr>
        <w:noProof/>
        <w:lang w:eastAsia="en-GB"/>
      </w:rPr>
      <w:drawing>
        <wp:anchor distT="0" distB="0" distL="114300" distR="114300" simplePos="0" relativeHeight="251674624" behindDoc="1" locked="0" layoutInCell="1" allowOverlap="1" wp14:anchorId="1652480B" wp14:editId="6DA293FA">
          <wp:simplePos x="0" y="0"/>
          <wp:positionH relativeFrom="margin">
            <wp:posOffset>0</wp:posOffset>
          </wp:positionH>
          <wp:positionV relativeFrom="paragraph">
            <wp:posOffset>32385</wp:posOffset>
          </wp:positionV>
          <wp:extent cx="1057275" cy="381000"/>
          <wp:effectExtent l="0" t="0" r="9525" b="0"/>
          <wp:wrapTight wrapText="bothSides">
            <wp:wrapPolygon edited="0">
              <wp:start x="0" y="0"/>
              <wp:lineTo x="0" y="20520"/>
              <wp:lineTo x="11286" y="20520"/>
              <wp:lineTo x="14011" y="20520"/>
              <wp:lineTo x="14400" y="20520"/>
              <wp:lineTo x="21405" y="15120"/>
              <wp:lineTo x="21405" y="4320"/>
              <wp:lineTo x="2335" y="0"/>
              <wp:lineTo x="0" y="0"/>
            </wp:wrapPolygon>
          </wp:wrapTight>
          <wp:docPr id="6" name="Picture 6" descr="F:\MARKETING\Branding\nasen logos\FocusOn_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MARKETING\Branding\nasen logos\FocusOn_LogoTransparen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72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4492">
      <w:rPr>
        <w:b/>
        <w:noProof/>
        <w:lang w:eastAsia="en-GB"/>
      </w:rPr>
      <w:drawing>
        <wp:anchor distT="0" distB="0" distL="114300" distR="114300" simplePos="0" relativeHeight="251669504" behindDoc="1" locked="0" layoutInCell="1" allowOverlap="1" wp14:anchorId="1113D0B0" wp14:editId="4039B4F2">
          <wp:simplePos x="0" y="0"/>
          <wp:positionH relativeFrom="margin">
            <wp:posOffset>2637155</wp:posOffset>
          </wp:positionH>
          <wp:positionV relativeFrom="paragraph">
            <wp:posOffset>32385</wp:posOffset>
          </wp:positionV>
          <wp:extent cx="1365885" cy="438785"/>
          <wp:effectExtent l="0" t="0" r="5715" b="0"/>
          <wp:wrapTight wrapText="bothSides">
            <wp:wrapPolygon edited="0">
              <wp:start x="603" y="0"/>
              <wp:lineTo x="0" y="1876"/>
              <wp:lineTo x="0" y="20631"/>
              <wp:lineTo x="5724" y="20631"/>
              <wp:lineTo x="21389" y="20631"/>
              <wp:lineTo x="21389" y="1876"/>
              <wp:lineTo x="20787" y="0"/>
              <wp:lineTo x="603" y="0"/>
            </wp:wrapPolygon>
          </wp:wrapTight>
          <wp:docPr id="11" name="Picture 11" descr="F:\Nasen website\Design\nasen master logos and brand guidelines\nasen master logos and brand guidelines\nasen\nasen-helping-everyone-achieve-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Nasen website\Design\nasen master logos and brand guidelines\nasen master logos and brand guidelines\nasen\nasen-helping-everyone-achieve-transparen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5885"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E5E28" w14:textId="77777777" w:rsidR="002B6436" w:rsidRDefault="002B6436" w:rsidP="002B6436">
    <w:pPr>
      <w:pStyle w:val="Footer"/>
      <w:jc w:val="center"/>
    </w:pPr>
  </w:p>
  <w:p w14:paraId="2EEF1F57" w14:textId="77777777" w:rsidR="00434492" w:rsidRDefault="00434492" w:rsidP="004558AA">
    <w:pPr>
      <w:pStyle w:val="Header"/>
      <w:tabs>
        <w:tab w:val="left" w:pos="405"/>
      </w:tabs>
      <w:rPr>
        <w:b/>
        <w:sz w:val="18"/>
      </w:rPr>
    </w:pPr>
  </w:p>
  <w:p w14:paraId="26921B5B" w14:textId="77777777" w:rsidR="005F025F" w:rsidRPr="00434492" w:rsidRDefault="009B5953" w:rsidP="004558AA">
    <w:pPr>
      <w:pStyle w:val="Header"/>
      <w:tabs>
        <w:tab w:val="left" w:pos="405"/>
      </w:tabs>
      <w:rPr>
        <w:b/>
        <w:noProof/>
        <w:lang w:eastAsia="en-GB"/>
      </w:rPr>
    </w:pPr>
    <w:r w:rsidRPr="00434492">
      <w:rPr>
        <w:b/>
      </w:rPr>
      <w:tab/>
    </w:r>
    <w:r w:rsidRPr="00434492">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0268C"/>
    <w:multiLevelType w:val="hybridMultilevel"/>
    <w:tmpl w:val="2364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C447CC"/>
    <w:multiLevelType w:val="hybridMultilevel"/>
    <w:tmpl w:val="604E2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561577"/>
    <w:multiLevelType w:val="hybridMultilevel"/>
    <w:tmpl w:val="42D2E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25F"/>
    <w:rsid w:val="00001234"/>
    <w:rsid w:val="000511A1"/>
    <w:rsid w:val="001004E9"/>
    <w:rsid w:val="0013409D"/>
    <w:rsid w:val="001458F9"/>
    <w:rsid w:val="00161C38"/>
    <w:rsid w:val="001C5F16"/>
    <w:rsid w:val="0022414B"/>
    <w:rsid w:val="0022735E"/>
    <w:rsid w:val="002B6436"/>
    <w:rsid w:val="00300660"/>
    <w:rsid w:val="0031223E"/>
    <w:rsid w:val="00317C13"/>
    <w:rsid w:val="00357195"/>
    <w:rsid w:val="00376885"/>
    <w:rsid w:val="0041283F"/>
    <w:rsid w:val="00434492"/>
    <w:rsid w:val="00443CA2"/>
    <w:rsid w:val="004558AA"/>
    <w:rsid w:val="004859A6"/>
    <w:rsid w:val="004D19E4"/>
    <w:rsid w:val="004D7321"/>
    <w:rsid w:val="004E2A46"/>
    <w:rsid w:val="00586619"/>
    <w:rsid w:val="005B4283"/>
    <w:rsid w:val="005C2F3F"/>
    <w:rsid w:val="005C4C13"/>
    <w:rsid w:val="005F025F"/>
    <w:rsid w:val="006825E5"/>
    <w:rsid w:val="006A2639"/>
    <w:rsid w:val="00726B0F"/>
    <w:rsid w:val="00745403"/>
    <w:rsid w:val="0078781B"/>
    <w:rsid w:val="007A12F2"/>
    <w:rsid w:val="007E5371"/>
    <w:rsid w:val="00822B7C"/>
    <w:rsid w:val="008E09EA"/>
    <w:rsid w:val="0091568E"/>
    <w:rsid w:val="0097002C"/>
    <w:rsid w:val="009A7E63"/>
    <w:rsid w:val="009B5953"/>
    <w:rsid w:val="009C0AA6"/>
    <w:rsid w:val="00A32AC9"/>
    <w:rsid w:val="00A9006A"/>
    <w:rsid w:val="00AD12C3"/>
    <w:rsid w:val="00B07B86"/>
    <w:rsid w:val="00B5198E"/>
    <w:rsid w:val="00BB4535"/>
    <w:rsid w:val="00BF786D"/>
    <w:rsid w:val="00C052FF"/>
    <w:rsid w:val="00C142F0"/>
    <w:rsid w:val="00C3337D"/>
    <w:rsid w:val="00C50A43"/>
    <w:rsid w:val="00C60E6A"/>
    <w:rsid w:val="00C65923"/>
    <w:rsid w:val="00C70290"/>
    <w:rsid w:val="00C85BDF"/>
    <w:rsid w:val="00C86BDE"/>
    <w:rsid w:val="00C94C57"/>
    <w:rsid w:val="00CC0792"/>
    <w:rsid w:val="00CD05F7"/>
    <w:rsid w:val="00CD66E2"/>
    <w:rsid w:val="00CF4800"/>
    <w:rsid w:val="00D464C5"/>
    <w:rsid w:val="00D853DF"/>
    <w:rsid w:val="00D93A92"/>
    <w:rsid w:val="00DD1B0A"/>
    <w:rsid w:val="00E05B50"/>
    <w:rsid w:val="00E07689"/>
    <w:rsid w:val="00E41B2B"/>
    <w:rsid w:val="00E759CA"/>
    <w:rsid w:val="00EA1097"/>
    <w:rsid w:val="00ED2F0E"/>
    <w:rsid w:val="00EE1627"/>
    <w:rsid w:val="00EF645B"/>
    <w:rsid w:val="00F15B23"/>
    <w:rsid w:val="00F334D1"/>
    <w:rsid w:val="00F67A01"/>
    <w:rsid w:val="00F751DB"/>
    <w:rsid w:val="00F76090"/>
    <w:rsid w:val="00FB7568"/>
    <w:rsid w:val="00FF7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B10C18"/>
  <w15:chartTrackingRefBased/>
  <w15:docId w15:val="{CF85E63F-6865-4A73-89D7-4DB5E3CC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2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25F"/>
  </w:style>
  <w:style w:type="paragraph" w:styleId="Footer">
    <w:name w:val="footer"/>
    <w:basedOn w:val="Normal"/>
    <w:link w:val="FooterChar"/>
    <w:uiPriority w:val="99"/>
    <w:unhideWhenUsed/>
    <w:rsid w:val="005F02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25F"/>
  </w:style>
  <w:style w:type="table" w:styleId="TableGrid">
    <w:name w:val="Table Grid"/>
    <w:basedOn w:val="TableNormal"/>
    <w:uiPriority w:val="39"/>
    <w:rsid w:val="00BB4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53DF"/>
    <w:rPr>
      <w:color w:val="0563C1" w:themeColor="hyperlink"/>
      <w:u w:val="single"/>
    </w:rPr>
  </w:style>
  <w:style w:type="character" w:customStyle="1" w:styleId="Mention1">
    <w:name w:val="Mention1"/>
    <w:basedOn w:val="DefaultParagraphFont"/>
    <w:uiPriority w:val="99"/>
    <w:semiHidden/>
    <w:unhideWhenUsed/>
    <w:rsid w:val="00D853DF"/>
    <w:rPr>
      <w:color w:val="2B579A"/>
      <w:shd w:val="clear" w:color="auto" w:fill="E6E6E6"/>
    </w:rPr>
  </w:style>
  <w:style w:type="paragraph" w:styleId="BalloonText">
    <w:name w:val="Balloon Text"/>
    <w:basedOn w:val="Normal"/>
    <w:link w:val="BalloonTextChar"/>
    <w:uiPriority w:val="99"/>
    <w:semiHidden/>
    <w:unhideWhenUsed/>
    <w:rsid w:val="00434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492"/>
    <w:rPr>
      <w:rFonts w:ascii="Segoe UI" w:hAnsi="Segoe UI" w:cs="Segoe UI"/>
      <w:sz w:val="18"/>
      <w:szCs w:val="18"/>
    </w:rPr>
  </w:style>
  <w:style w:type="paragraph" w:styleId="ListParagraph">
    <w:name w:val="List Paragraph"/>
    <w:basedOn w:val="Normal"/>
    <w:uiPriority w:val="34"/>
    <w:qFormat/>
    <w:rsid w:val="00C86B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nasen.org.uk" TargetMode="External"/><Relationship Id="rId1" Type="http://schemas.openxmlformats.org/officeDocument/2006/relationships/hyperlink" Target="http://www.nasen.org.uk" TargetMode="External"/><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Chontell B</dc:creator>
  <cp:keywords/>
  <dc:description/>
  <cp:lastModifiedBy>Alex Grady</cp:lastModifiedBy>
  <cp:revision>5</cp:revision>
  <cp:lastPrinted>2017-05-22T14:38:00Z</cp:lastPrinted>
  <dcterms:created xsi:type="dcterms:W3CDTF">2019-08-27T09:48:00Z</dcterms:created>
  <dcterms:modified xsi:type="dcterms:W3CDTF">2019-08-27T12:59:00Z</dcterms:modified>
</cp:coreProperties>
</file>