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635538" w14:paraId="79066AF5" w14:textId="77777777" w:rsidTr="009D6987">
        <w:trPr>
          <w:cantSplit/>
          <w:trHeight w:hRule="exact" w:val="2269"/>
        </w:trPr>
        <w:tc>
          <w:tcPr>
            <w:tcW w:w="4962" w:type="dxa"/>
            <w:vAlign w:val="bottom"/>
          </w:tcPr>
          <w:p w14:paraId="19C8EBFF" w14:textId="77777777" w:rsidR="00635538" w:rsidRDefault="00635538" w:rsidP="00981B30">
            <w:pPr>
              <w:pStyle w:val="Logo"/>
              <w:spacing w:line="360" w:lineRule="auto"/>
            </w:pPr>
            <w:bookmarkStart w:id="0" w:name="Logo"/>
            <w:r>
              <w:t>1234567</w:t>
            </w:r>
            <w:bookmarkEnd w:id="0"/>
          </w:p>
        </w:tc>
        <w:tc>
          <w:tcPr>
            <w:tcW w:w="5103" w:type="dxa"/>
            <w:vAlign w:val="bottom"/>
          </w:tcPr>
          <w:p w14:paraId="4C125224" w14:textId="77777777" w:rsidR="00635538" w:rsidRPr="00643EB5" w:rsidRDefault="00635538" w:rsidP="00981B30">
            <w:pPr>
              <w:pStyle w:val="Department"/>
              <w:spacing w:line="360" w:lineRule="auto"/>
              <w:jc w:val="right"/>
              <w:rPr>
                <w:szCs w:val="22"/>
              </w:rPr>
            </w:pPr>
          </w:p>
          <w:p w14:paraId="75E60F9F" w14:textId="77777777" w:rsidR="00635538" w:rsidRDefault="00635538" w:rsidP="00981B30">
            <w:pPr>
              <w:pStyle w:val="Department"/>
              <w:spacing w:line="360" w:lineRule="auto"/>
              <w:jc w:val="right"/>
              <w:rPr>
                <w:sz w:val="40"/>
                <w:szCs w:val="24"/>
              </w:rPr>
            </w:pPr>
          </w:p>
          <w:p w14:paraId="15F23582" w14:textId="77777777" w:rsidR="00635538" w:rsidRDefault="00635538" w:rsidP="00981B30">
            <w:pPr>
              <w:pStyle w:val="Department"/>
              <w:spacing w:line="360" w:lineRule="auto"/>
              <w:jc w:val="right"/>
              <w:rPr>
                <w:sz w:val="40"/>
                <w:szCs w:val="24"/>
              </w:rPr>
            </w:pPr>
          </w:p>
          <w:p w14:paraId="07FB81B0" w14:textId="77777777" w:rsidR="00635538" w:rsidRDefault="00635538" w:rsidP="00981B30">
            <w:pPr>
              <w:pStyle w:val="Department"/>
              <w:spacing w:line="360" w:lineRule="auto"/>
              <w:jc w:val="right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Legal Services</w:t>
            </w:r>
          </w:p>
          <w:p w14:paraId="56AAFF06" w14:textId="77777777" w:rsidR="00635538" w:rsidRDefault="00635538" w:rsidP="00981B30">
            <w:pPr>
              <w:pStyle w:val="Department"/>
              <w:spacing w:line="360" w:lineRule="auto"/>
              <w:jc w:val="right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Briefing Note</w:t>
            </w:r>
          </w:p>
        </w:tc>
      </w:tr>
      <w:tr w:rsidR="00635538" w14:paraId="35D5D536" w14:textId="77777777" w:rsidTr="009D6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423AC9" w14:textId="77777777" w:rsidR="00635538" w:rsidRPr="00D21C40" w:rsidRDefault="00635538" w:rsidP="00981B30">
            <w:pPr>
              <w:tabs>
                <w:tab w:val="left" w:pos="1728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z w:val="10"/>
              </w:rPr>
            </w:pPr>
          </w:p>
        </w:tc>
      </w:tr>
    </w:tbl>
    <w:p w14:paraId="00364711" w14:textId="77777777" w:rsidR="001D7AAA" w:rsidRDefault="001D7AAA" w:rsidP="00981B30">
      <w:pPr>
        <w:spacing w:line="360" w:lineRule="auto"/>
      </w:pPr>
    </w:p>
    <w:p w14:paraId="1217541C" w14:textId="6B86F199" w:rsidR="00635538" w:rsidRPr="00635538" w:rsidRDefault="00635538" w:rsidP="00981B30">
      <w:pPr>
        <w:spacing w:line="360" w:lineRule="auto"/>
        <w:rPr>
          <w:rFonts w:ascii="Arial" w:hAnsi="Arial" w:cs="Arial"/>
          <w:sz w:val="24"/>
          <w:szCs w:val="24"/>
        </w:rPr>
      </w:pPr>
      <w:r w:rsidRPr="00635538">
        <w:rPr>
          <w:rFonts w:ascii="Arial" w:hAnsi="Arial" w:cs="Arial"/>
          <w:sz w:val="24"/>
          <w:szCs w:val="24"/>
        </w:rPr>
        <w:t>May 2024</w:t>
      </w:r>
    </w:p>
    <w:p w14:paraId="2518C74B" w14:textId="77777777" w:rsidR="00635538" w:rsidRDefault="00635538" w:rsidP="00981B30">
      <w:pPr>
        <w:spacing w:line="360" w:lineRule="auto"/>
      </w:pPr>
    </w:p>
    <w:p w14:paraId="3475C495" w14:textId="77777777" w:rsidR="00635538" w:rsidRDefault="00635538" w:rsidP="00981B30">
      <w:pPr>
        <w:spacing w:after="150" w:line="360" w:lineRule="auto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A21DC0">
        <w:rPr>
          <w:rFonts w:ascii="Arial" w:hAnsi="Arial" w:cs="Arial"/>
          <w:b/>
          <w:bCs/>
          <w:sz w:val="22"/>
          <w:szCs w:val="22"/>
          <w:u w:val="single"/>
        </w:rPr>
        <w:t>News</w:t>
      </w:r>
      <w:r w:rsidRPr="00A21DC0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</w:p>
    <w:p w14:paraId="02D3690E" w14:textId="77777777" w:rsidR="009C2D49" w:rsidRPr="009C2D49" w:rsidRDefault="009C2D49" w:rsidP="00981B30">
      <w:pPr>
        <w:spacing w:after="150" w:line="360" w:lineRule="auto"/>
        <w:outlineLvl w:val="0"/>
        <w:rPr>
          <w:rFonts w:ascii="Arial" w:hAnsi="Arial" w:cs="Arial"/>
          <w:b/>
          <w:bCs/>
          <w:kern w:val="36"/>
          <w:sz w:val="22"/>
          <w:szCs w:val="22"/>
          <w:lang w:eastAsia="en-GB"/>
        </w:rPr>
      </w:pPr>
      <w:r w:rsidRPr="009C2D49"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>Coventry City Council Fatality in Waste Services</w:t>
      </w:r>
    </w:p>
    <w:p w14:paraId="5B72AF62" w14:textId="7BA86C82" w:rsidR="009C2D49" w:rsidRDefault="00D873AB" w:rsidP="00164D23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>
        <w:rPr>
          <w:rFonts w:ascii="Arial" w:hAnsi="Arial" w:cs="Arial"/>
          <w:kern w:val="36"/>
          <w:sz w:val="22"/>
          <w:szCs w:val="22"/>
          <w:lang w:eastAsia="en-GB"/>
        </w:rPr>
        <w:t>The inquest concluded on 22</w:t>
      </w:r>
      <w:r w:rsidRPr="00D873AB">
        <w:rPr>
          <w:rFonts w:ascii="Arial" w:hAnsi="Arial" w:cs="Arial"/>
          <w:kern w:val="36"/>
          <w:sz w:val="22"/>
          <w:szCs w:val="22"/>
          <w:vertAlign w:val="superscript"/>
          <w:lang w:eastAsia="en-GB"/>
        </w:rPr>
        <w:t>nd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 April 2024 finding that Mr Carpenter’s death was an accident. 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 xml:space="preserve">The </w:t>
      </w:r>
      <w:proofErr w:type="gramStart"/>
      <w:r w:rsidR="003F35BD">
        <w:rPr>
          <w:rFonts w:ascii="Arial" w:hAnsi="Arial" w:cs="Arial"/>
          <w:kern w:val="36"/>
          <w:sz w:val="22"/>
          <w:szCs w:val="22"/>
          <w:lang w:eastAsia="en-GB"/>
        </w:rPr>
        <w:t>Coroner</w:t>
      </w:r>
      <w:proofErr w:type="gramEnd"/>
      <w:r w:rsidRPr="00D873AB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kern w:val="36"/>
          <w:sz w:val="22"/>
          <w:szCs w:val="22"/>
          <w:lang w:eastAsia="en-GB"/>
        </w:rPr>
        <w:t>expressed concern over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 xml:space="preserve"> the safety of the machinery (the bin lorry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 and the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 xml:space="preserve"> bin lift system in automatic mode).</w:t>
      </w:r>
      <w:r w:rsidRPr="00D873AB">
        <w:t xml:space="preserve"> 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 xml:space="preserve">In </w:t>
      </w:r>
      <w:r>
        <w:rPr>
          <w:rFonts w:ascii="Arial" w:hAnsi="Arial" w:cs="Arial"/>
          <w:kern w:val="36"/>
          <w:sz w:val="22"/>
          <w:szCs w:val="22"/>
          <w:lang w:eastAsia="en-GB"/>
        </w:rPr>
        <w:t>the Coroner’s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 xml:space="preserve"> opinion, action should be taken 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by 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>Dennis Eagle Ltd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>to prevent future deaths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. They are due to respond to the </w:t>
      </w:r>
      <w:proofErr w:type="gramStart"/>
      <w:r>
        <w:rPr>
          <w:rFonts w:ascii="Arial" w:hAnsi="Arial" w:cs="Arial"/>
          <w:kern w:val="36"/>
          <w:sz w:val="22"/>
          <w:szCs w:val="22"/>
          <w:lang w:eastAsia="en-GB"/>
        </w:rPr>
        <w:t>Coroner’s</w:t>
      </w:r>
      <w:proofErr w:type="gramEnd"/>
      <w:r>
        <w:rPr>
          <w:rFonts w:ascii="Arial" w:hAnsi="Arial" w:cs="Arial"/>
          <w:kern w:val="36"/>
          <w:sz w:val="22"/>
          <w:szCs w:val="22"/>
          <w:lang w:eastAsia="en-GB"/>
        </w:rPr>
        <w:t xml:space="preserve"> report by 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>17</w:t>
      </w:r>
      <w:r w:rsidRPr="00164D23">
        <w:rPr>
          <w:rFonts w:ascii="Arial" w:hAnsi="Arial" w:cs="Arial"/>
          <w:kern w:val="36"/>
          <w:sz w:val="22"/>
          <w:szCs w:val="22"/>
          <w:vertAlign w:val="superscript"/>
          <w:lang w:eastAsia="en-GB"/>
        </w:rPr>
        <w:t>th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 w:rsidRPr="00D873AB">
        <w:rPr>
          <w:rFonts w:ascii="Arial" w:hAnsi="Arial" w:cs="Arial"/>
          <w:kern w:val="36"/>
          <w:sz w:val="22"/>
          <w:szCs w:val="22"/>
          <w:lang w:eastAsia="en-GB"/>
        </w:rPr>
        <w:t>June 2024.</w:t>
      </w:r>
    </w:p>
    <w:p w14:paraId="1456C55B" w14:textId="77777777" w:rsidR="009C2D49" w:rsidRDefault="009C2D49" w:rsidP="00164D23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</w:p>
    <w:p w14:paraId="0EE72C12" w14:textId="59BF20B6" w:rsidR="009C2D49" w:rsidRPr="009C2D49" w:rsidRDefault="009C2D49" w:rsidP="00164D23">
      <w:pPr>
        <w:spacing w:after="150" w:line="360" w:lineRule="auto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  <w:lang w:eastAsia="en-GB"/>
        </w:rPr>
      </w:pPr>
      <w:r w:rsidRPr="009C2D49"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 xml:space="preserve">International Women’s Day: ‘Louder voice’ from women will help everyone at work, watchdog bosses </w:t>
      </w:r>
      <w:proofErr w:type="gramStart"/>
      <w:r w:rsidRPr="009C2D49"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>say</w:t>
      </w:r>
      <w:proofErr w:type="gramEnd"/>
    </w:p>
    <w:p w14:paraId="01F600B6" w14:textId="55925B92" w:rsidR="00635538" w:rsidRDefault="009C2D49" w:rsidP="00164D23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9C2D49">
        <w:rPr>
          <w:rFonts w:ascii="Arial" w:hAnsi="Arial" w:cs="Arial"/>
          <w:kern w:val="36"/>
          <w:sz w:val="22"/>
          <w:szCs w:val="22"/>
          <w:lang w:eastAsia="en-GB"/>
        </w:rPr>
        <w:t>8th March 2024</w:t>
      </w:r>
    </w:p>
    <w:p w14:paraId="4D7A3341" w14:textId="3F9823F8" w:rsidR="007F3313" w:rsidRPr="007F3313" w:rsidRDefault="005B4EB3" w:rsidP="00164D23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t>The chief executives of the HSE and the Coal Authority were speaking ahead of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>International Women’s Day.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 They discussed that they believed </w:t>
      </w:r>
      <w:r w:rsidR="007F3313" w:rsidRPr="007F3313">
        <w:rPr>
          <w:rFonts w:ascii="Arial" w:hAnsi="Arial" w:cs="Arial"/>
          <w:kern w:val="36"/>
          <w:sz w:val="22"/>
          <w:szCs w:val="22"/>
          <w:lang w:eastAsia="en-GB"/>
        </w:rPr>
        <w:t>the ‘louder voice’ from a new generation of women will make everyone at work feel more comfortable.</w:t>
      </w:r>
      <w:r w:rsidR="007F3313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kern w:val="36"/>
          <w:sz w:val="22"/>
          <w:szCs w:val="22"/>
          <w:lang w:eastAsia="en-GB"/>
        </w:rPr>
        <w:t>They felt that</w:t>
      </w:r>
      <w:r w:rsidR="007F3313" w:rsidRPr="007F3313">
        <w:rPr>
          <w:rFonts w:ascii="Arial" w:hAnsi="Arial" w:cs="Arial"/>
          <w:kern w:val="36"/>
          <w:sz w:val="22"/>
          <w:szCs w:val="22"/>
          <w:lang w:eastAsia="en-GB"/>
        </w:rPr>
        <w:t xml:space="preserve"> while progress has been made, women working in heavy industry 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>were</w:t>
      </w:r>
      <w:r w:rsidR="007F3313" w:rsidRPr="007F3313">
        <w:rPr>
          <w:rFonts w:ascii="Arial" w:hAnsi="Arial" w:cs="Arial"/>
          <w:kern w:val="36"/>
          <w:sz w:val="22"/>
          <w:szCs w:val="22"/>
          <w:lang w:eastAsia="en-GB"/>
        </w:rPr>
        <w:t xml:space="preserve"> still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 xml:space="preserve"> being</w:t>
      </w:r>
      <w:r w:rsidR="007F3313" w:rsidRPr="007F3313">
        <w:rPr>
          <w:rFonts w:ascii="Arial" w:hAnsi="Arial" w:cs="Arial"/>
          <w:kern w:val="36"/>
          <w:sz w:val="22"/>
          <w:szCs w:val="22"/>
          <w:lang w:eastAsia="en-GB"/>
        </w:rPr>
        <w:t xml:space="preserve"> provided with ill-fitting protective equipment and unsuitable welfare facilities while working on site.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 It was acknowledged that </w:t>
      </w:r>
      <w:r w:rsidR="007F3313" w:rsidRPr="007F3313">
        <w:rPr>
          <w:rFonts w:ascii="Arial" w:hAnsi="Arial" w:cs="Arial"/>
          <w:kern w:val="36"/>
          <w:sz w:val="22"/>
          <w:szCs w:val="22"/>
          <w:lang w:eastAsia="en-GB"/>
        </w:rPr>
        <w:t>“We have come a long way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 xml:space="preserve">… </w:t>
      </w:r>
      <w:r w:rsidR="007F3313" w:rsidRPr="007F3313">
        <w:rPr>
          <w:rFonts w:ascii="Arial" w:hAnsi="Arial" w:cs="Arial"/>
          <w:kern w:val="36"/>
          <w:sz w:val="22"/>
          <w:szCs w:val="22"/>
          <w:lang w:eastAsia="en-GB"/>
        </w:rPr>
        <w:t>but we’ve still got a long way to go.”</w:t>
      </w:r>
    </w:p>
    <w:p w14:paraId="0E75420A" w14:textId="77777777" w:rsidR="007F3313" w:rsidRPr="007F3313" w:rsidRDefault="007F3313" w:rsidP="00164D23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</w:p>
    <w:p w14:paraId="7E4704BD" w14:textId="437AEC98" w:rsidR="009C2D49" w:rsidRPr="007F3313" w:rsidRDefault="009C2D49" w:rsidP="00164D23">
      <w:pPr>
        <w:spacing w:after="150" w:line="360" w:lineRule="auto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  <w:lang w:eastAsia="en-GB"/>
        </w:rPr>
      </w:pPr>
      <w:r w:rsidRPr="007F3313"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 xml:space="preserve">The Building Safety Regulator launches campaign for residents of high-rise </w:t>
      </w:r>
      <w:proofErr w:type="gramStart"/>
      <w:r w:rsidRPr="007F3313"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>buildings</w:t>
      </w:r>
      <w:proofErr w:type="gramEnd"/>
    </w:p>
    <w:p w14:paraId="3D7EBFB2" w14:textId="058DC824" w:rsidR="009C2D49" w:rsidRDefault="009C2D49" w:rsidP="00164D23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9C2D49">
        <w:rPr>
          <w:rFonts w:ascii="Arial" w:hAnsi="Arial" w:cs="Arial"/>
          <w:kern w:val="36"/>
          <w:sz w:val="22"/>
          <w:szCs w:val="22"/>
          <w:lang w:eastAsia="en-GB"/>
        </w:rPr>
        <w:t>27th February 2024</w:t>
      </w:r>
    </w:p>
    <w:p w14:paraId="78306D61" w14:textId="3927A7BC" w:rsidR="005B4EB3" w:rsidRPr="005B4EB3" w:rsidRDefault="005B4EB3" w:rsidP="00164D23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The </w:t>
      </w:r>
      <w:r>
        <w:rPr>
          <w:rFonts w:ascii="Arial" w:hAnsi="Arial" w:cs="Arial"/>
          <w:kern w:val="36"/>
          <w:sz w:val="22"/>
          <w:szCs w:val="22"/>
          <w:lang w:eastAsia="en-GB"/>
        </w:rPr>
        <w:t>Building Safety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kern w:val="36"/>
          <w:sz w:val="22"/>
          <w:szCs w:val="22"/>
          <w:lang w:eastAsia="en-GB"/>
        </w:rPr>
        <w:t>R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egulator is asking all those living in </w:t>
      </w:r>
      <w:r>
        <w:rPr>
          <w:rFonts w:ascii="Arial" w:hAnsi="Arial" w:cs="Arial"/>
          <w:kern w:val="36"/>
          <w:sz w:val="22"/>
          <w:szCs w:val="22"/>
          <w:lang w:eastAsia="en-GB"/>
        </w:rPr>
        <w:t>high rise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 buildings in England to be aware of how new Building Safety laws affect them.  </w:t>
      </w:r>
    </w:p>
    <w:p w14:paraId="4D8CD16F" w14:textId="77777777" w:rsidR="005B4EB3" w:rsidRDefault="005B4EB3" w:rsidP="005B4EB3">
      <w:pPr>
        <w:pStyle w:val="NoSpacing"/>
        <w:rPr>
          <w:lang w:eastAsia="en-GB"/>
        </w:rPr>
      </w:pPr>
    </w:p>
    <w:p w14:paraId="774B14F9" w14:textId="0C7AC97D" w:rsidR="005B4EB3" w:rsidRPr="005B4EB3" w:rsidRDefault="005B4EB3" w:rsidP="003F35BD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lastRenderedPageBreak/>
        <w:t xml:space="preserve">The Building Safety Act provides a framework for ensuring the safety of residents living in </w:t>
      </w:r>
      <w:r w:rsidR="00164D23" w:rsidRPr="00164D23">
        <w:rPr>
          <w:rFonts w:ascii="Arial" w:hAnsi="Arial" w:cs="Arial"/>
          <w:kern w:val="36"/>
          <w:sz w:val="22"/>
          <w:szCs w:val="22"/>
          <w:lang w:eastAsia="en-GB"/>
        </w:rPr>
        <w:t xml:space="preserve">high rise buildings 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>(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>buildings 18 meters or seven or more floors in height containing at least two residential units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>)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>. Every high-rise building is now required to have a Principal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>Accountable Person (PAP), ensuring that those responsible for managing the building’s safety can be held to account for fulfilling their legal obligations.</w:t>
      </w:r>
      <w:r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>The enhanced residents’ rights include:</w:t>
      </w:r>
    </w:p>
    <w:p w14:paraId="167086E0" w14:textId="77777777" w:rsidR="005B4EB3" w:rsidRPr="005B4EB3" w:rsidRDefault="005B4EB3" w:rsidP="003F35BD">
      <w:pPr>
        <w:pStyle w:val="ListParagraph"/>
        <w:numPr>
          <w:ilvl w:val="0"/>
          <w:numId w:val="1"/>
        </w:num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Assurance that safety risks in their building are being effectively </w:t>
      </w:r>
      <w:proofErr w:type="gramStart"/>
      <w:r w:rsidRPr="005B4EB3">
        <w:rPr>
          <w:rFonts w:ascii="Arial" w:hAnsi="Arial" w:cs="Arial"/>
          <w:kern w:val="36"/>
          <w:sz w:val="22"/>
          <w:szCs w:val="22"/>
          <w:lang w:eastAsia="en-GB"/>
        </w:rPr>
        <w:t>addressed</w:t>
      </w:r>
      <w:proofErr w:type="gramEnd"/>
    </w:p>
    <w:p w14:paraId="75F300EF" w14:textId="77777777" w:rsidR="005B4EB3" w:rsidRPr="005B4EB3" w:rsidRDefault="005B4EB3" w:rsidP="003F35BD">
      <w:pPr>
        <w:pStyle w:val="ListParagraph"/>
        <w:numPr>
          <w:ilvl w:val="0"/>
          <w:numId w:val="1"/>
        </w:num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Access to ongoing information on what is being done to improve safety in their </w:t>
      </w:r>
      <w:proofErr w:type="gramStart"/>
      <w:r w:rsidRPr="005B4EB3">
        <w:rPr>
          <w:rFonts w:ascii="Arial" w:hAnsi="Arial" w:cs="Arial"/>
          <w:kern w:val="36"/>
          <w:sz w:val="22"/>
          <w:szCs w:val="22"/>
          <w:lang w:eastAsia="en-GB"/>
        </w:rPr>
        <w:t>building</w:t>
      </w:r>
      <w:proofErr w:type="gramEnd"/>
    </w:p>
    <w:p w14:paraId="0677CE8F" w14:textId="77777777" w:rsidR="005B4EB3" w:rsidRPr="005B4EB3" w:rsidRDefault="005B4EB3" w:rsidP="003F35BD">
      <w:pPr>
        <w:pStyle w:val="ListParagraph"/>
        <w:numPr>
          <w:ilvl w:val="0"/>
          <w:numId w:val="1"/>
        </w:num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Empowerment to voice safety concerns, with assurance that their concern will be taken </w:t>
      </w:r>
      <w:proofErr w:type="gramStart"/>
      <w:r w:rsidRPr="005B4EB3">
        <w:rPr>
          <w:rFonts w:ascii="Arial" w:hAnsi="Arial" w:cs="Arial"/>
          <w:kern w:val="36"/>
          <w:sz w:val="22"/>
          <w:szCs w:val="22"/>
          <w:lang w:eastAsia="en-GB"/>
        </w:rPr>
        <w:t>seriously</w:t>
      </w:r>
      <w:proofErr w:type="gramEnd"/>
    </w:p>
    <w:p w14:paraId="3D3BEFA2" w14:textId="77777777" w:rsidR="005B4EB3" w:rsidRPr="005B4EB3" w:rsidRDefault="005B4EB3" w:rsidP="003F35BD">
      <w:pPr>
        <w:pStyle w:val="ListParagraph"/>
        <w:numPr>
          <w:ilvl w:val="0"/>
          <w:numId w:val="1"/>
        </w:num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Clear, accessible, and easy to understand information regarding safety </w:t>
      </w:r>
      <w:proofErr w:type="gramStart"/>
      <w:r w:rsidRPr="005B4EB3">
        <w:rPr>
          <w:rFonts w:ascii="Arial" w:hAnsi="Arial" w:cs="Arial"/>
          <w:kern w:val="36"/>
          <w:sz w:val="22"/>
          <w:szCs w:val="22"/>
          <w:lang w:eastAsia="en-GB"/>
        </w:rPr>
        <w:t>matters</w:t>
      </w:r>
      <w:proofErr w:type="gramEnd"/>
    </w:p>
    <w:p w14:paraId="1E4D45D4" w14:textId="77777777" w:rsidR="005B4EB3" w:rsidRPr="005B4EB3" w:rsidRDefault="005B4EB3" w:rsidP="003F35BD">
      <w:pPr>
        <w:pStyle w:val="NoSpacing"/>
        <w:jc w:val="both"/>
        <w:rPr>
          <w:lang w:eastAsia="en-GB"/>
        </w:rPr>
      </w:pPr>
    </w:p>
    <w:p w14:paraId="1520091F" w14:textId="4C6E92A0" w:rsidR="005B4EB3" w:rsidRPr="005B4EB3" w:rsidRDefault="005B4EB3" w:rsidP="003F35BD">
      <w:pPr>
        <w:spacing w:after="150" w:line="360" w:lineRule="auto"/>
        <w:jc w:val="both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Operating within the Health and Safety Executive, the </w:t>
      </w:r>
      <w:r w:rsidR="00164D23" w:rsidRPr="00164D23">
        <w:rPr>
          <w:rFonts w:ascii="Arial" w:hAnsi="Arial" w:cs="Arial"/>
          <w:kern w:val="36"/>
          <w:sz w:val="22"/>
          <w:szCs w:val="22"/>
          <w:lang w:eastAsia="en-GB"/>
        </w:rPr>
        <w:t xml:space="preserve">Building Safety Regulator 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is part of the Government’s response to Grenfell. </w:t>
      </w:r>
      <w:r w:rsidR="00164D23" w:rsidRPr="005B4EB3">
        <w:rPr>
          <w:rFonts w:ascii="Arial" w:hAnsi="Arial" w:cs="Arial"/>
          <w:kern w:val="36"/>
          <w:sz w:val="22"/>
          <w:szCs w:val="22"/>
          <w:lang w:eastAsia="en-GB"/>
        </w:rPr>
        <w:t>A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 w:rsidR="00164D23">
        <w:rPr>
          <w:rFonts w:ascii="Arial" w:hAnsi="Arial" w:cs="Arial"/>
          <w:kern w:val="36"/>
          <w:sz w:val="22"/>
          <w:szCs w:val="22"/>
          <w:lang w:eastAsia="en-GB"/>
        </w:rPr>
        <w:t>key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 element of the regulator’s role is to ensure the safety of </w:t>
      </w:r>
      <w:proofErr w:type="gramStart"/>
      <w:r w:rsidRPr="005B4EB3">
        <w:rPr>
          <w:rFonts w:ascii="Arial" w:hAnsi="Arial" w:cs="Arial"/>
          <w:kern w:val="36"/>
          <w:sz w:val="22"/>
          <w:szCs w:val="22"/>
          <w:lang w:eastAsia="en-GB"/>
        </w:rPr>
        <w:t>high</w:t>
      </w:r>
      <w:r w:rsidR="000914DF">
        <w:rPr>
          <w:rFonts w:ascii="Arial" w:hAnsi="Arial" w:cs="Arial"/>
          <w:kern w:val="36"/>
          <w:sz w:val="22"/>
          <w:szCs w:val="22"/>
          <w:lang w:eastAsia="en-GB"/>
        </w:rPr>
        <w:t xml:space="preserve"> </w:t>
      </w:r>
      <w:r w:rsidRPr="005B4EB3">
        <w:rPr>
          <w:rFonts w:ascii="Arial" w:hAnsi="Arial" w:cs="Arial"/>
          <w:kern w:val="36"/>
          <w:sz w:val="22"/>
          <w:szCs w:val="22"/>
          <w:lang w:eastAsia="en-GB"/>
        </w:rPr>
        <w:t>rise</w:t>
      </w:r>
      <w:proofErr w:type="gramEnd"/>
      <w:r w:rsidRPr="005B4EB3">
        <w:rPr>
          <w:rFonts w:ascii="Arial" w:hAnsi="Arial" w:cs="Arial"/>
          <w:kern w:val="36"/>
          <w:sz w:val="22"/>
          <w:szCs w:val="22"/>
          <w:lang w:eastAsia="en-GB"/>
        </w:rPr>
        <w:t xml:space="preserve"> residential buildings.</w:t>
      </w:r>
    </w:p>
    <w:p w14:paraId="19FDA66C" w14:textId="77777777" w:rsidR="005B4EB3" w:rsidRDefault="005B4EB3" w:rsidP="00981B30">
      <w:pPr>
        <w:spacing w:after="150" w:line="360" w:lineRule="auto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</w:p>
    <w:p w14:paraId="26C9517C" w14:textId="145A2FF6" w:rsidR="00635538" w:rsidRPr="00BC5995" w:rsidRDefault="00635538" w:rsidP="00981B30">
      <w:pPr>
        <w:shd w:val="clear" w:color="auto" w:fill="FFFFFF"/>
        <w:spacing w:after="150" w:line="360" w:lineRule="auto"/>
        <w:rPr>
          <w:rFonts w:ascii="Arial" w:hAnsi="Arial" w:cs="Arial"/>
          <w:sz w:val="22"/>
          <w:szCs w:val="22"/>
        </w:rPr>
      </w:pPr>
      <w:r w:rsidRPr="00BC5995">
        <w:rPr>
          <w:rFonts w:ascii="Arial" w:hAnsi="Arial" w:cs="Arial"/>
          <w:b/>
          <w:bCs/>
          <w:sz w:val="22"/>
          <w:szCs w:val="22"/>
          <w:u w:val="single"/>
        </w:rPr>
        <w:t>Recent Cases</w:t>
      </w:r>
      <w:r w:rsidRPr="00BC5995">
        <w:rPr>
          <w:rFonts w:ascii="Arial" w:hAnsi="Arial" w:cs="Arial"/>
          <w:sz w:val="22"/>
          <w:szCs w:val="22"/>
        </w:rPr>
        <w:t xml:space="preserve"> </w:t>
      </w:r>
    </w:p>
    <w:p w14:paraId="7915CA63" w14:textId="3976F0FD" w:rsidR="00635538" w:rsidRDefault="00635538" w:rsidP="003F35BD">
      <w:pPr>
        <w:pStyle w:val="NoSpacing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538" w:rsidRPr="00635538" w14:paraId="2362091D" w14:textId="77777777" w:rsidTr="008725B1">
        <w:tc>
          <w:tcPr>
            <w:tcW w:w="9016" w:type="dxa"/>
          </w:tcPr>
          <w:p w14:paraId="35D37A10" w14:textId="77777777" w:rsidR="00635538" w:rsidRDefault="00635538" w:rsidP="00981B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35538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Council fined after vulnerable man choked to death on </w:t>
            </w:r>
            <w:proofErr w:type="gramStart"/>
            <w:r w:rsidRPr="00635538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food</w:t>
            </w:r>
            <w:proofErr w:type="gramEnd"/>
          </w:p>
          <w:p w14:paraId="6B40BD77" w14:textId="77771682" w:rsidR="004D128E" w:rsidRPr="00635538" w:rsidRDefault="004D128E" w:rsidP="00981B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D128E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23</w:t>
            </w:r>
            <w:r w:rsidR="008725B1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rd</w:t>
            </w:r>
            <w:r w:rsidRPr="004D128E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April 2024</w:t>
            </w:r>
          </w:p>
          <w:p w14:paraId="2719C9DE" w14:textId="2307D9FA" w:rsidR="00635538" w:rsidRPr="00635538" w:rsidRDefault="00635538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538" w:rsidRPr="00635538" w14:paraId="5C871981" w14:textId="77777777" w:rsidTr="008725B1">
        <w:tc>
          <w:tcPr>
            <w:tcW w:w="9016" w:type="dxa"/>
          </w:tcPr>
          <w:p w14:paraId="1F92D2C1" w14:textId="021CD2FC" w:rsidR="00635538" w:rsidRPr="00635538" w:rsidRDefault="00635538" w:rsidP="00981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538">
              <w:rPr>
                <w:rFonts w:ascii="Arial" w:hAnsi="Arial" w:cs="Arial"/>
                <w:b/>
                <w:bCs/>
                <w:sz w:val="24"/>
                <w:szCs w:val="24"/>
              </w:rPr>
              <w:t>Summary:</w:t>
            </w:r>
            <w:r w:rsidRPr="00635538">
              <w:rPr>
                <w:rFonts w:ascii="Arial" w:hAnsi="Arial" w:cs="Arial"/>
                <w:sz w:val="24"/>
                <w:szCs w:val="24"/>
              </w:rPr>
              <w:t xml:space="preserve"> Fife Council </w:t>
            </w:r>
            <w:r>
              <w:rPr>
                <w:rFonts w:ascii="Arial" w:hAnsi="Arial" w:cs="Arial"/>
                <w:sz w:val="24"/>
                <w:szCs w:val="24"/>
              </w:rPr>
              <w:t>was</w:t>
            </w:r>
            <w:r w:rsidRPr="00635538">
              <w:rPr>
                <w:rFonts w:ascii="Arial" w:hAnsi="Arial" w:cs="Arial"/>
                <w:sz w:val="24"/>
                <w:szCs w:val="24"/>
              </w:rPr>
              <w:t xml:space="preserve"> fined £100,000 following the death of a vulnerable </w:t>
            </w:r>
            <w:r>
              <w:rPr>
                <w:rFonts w:ascii="Arial" w:hAnsi="Arial" w:cs="Arial"/>
                <w:sz w:val="24"/>
                <w:szCs w:val="24"/>
              </w:rPr>
              <w:t>adult</w:t>
            </w:r>
            <w:r w:rsidRPr="00635538">
              <w:rPr>
                <w:rFonts w:ascii="Arial" w:hAnsi="Arial" w:cs="Arial"/>
                <w:sz w:val="24"/>
                <w:szCs w:val="24"/>
              </w:rPr>
              <w:t xml:space="preserve"> who choked to death on a sandwich unsuitable for his diet.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were also ordered to pay compensation of £50,000. The vulnerable adult lived in supported accommodation and was given a sandwich by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However, </w:t>
            </w:r>
            <w:r w:rsidRPr="00635538">
              <w:rPr>
                <w:rFonts w:ascii="Arial" w:hAnsi="Arial" w:cs="Arial"/>
                <w:sz w:val="24"/>
                <w:szCs w:val="24"/>
              </w:rPr>
              <w:t xml:space="preserve">the food was not suitably </w:t>
            </w:r>
            <w:proofErr w:type="gramStart"/>
            <w:r w:rsidRPr="00635538">
              <w:rPr>
                <w:rFonts w:ascii="Arial" w:hAnsi="Arial" w:cs="Arial"/>
                <w:sz w:val="24"/>
                <w:szCs w:val="24"/>
              </w:rPr>
              <w:t>prepared</w:t>
            </w:r>
            <w:proofErr w:type="gramEnd"/>
            <w:r w:rsidRPr="00635538">
              <w:rPr>
                <w:rFonts w:ascii="Arial" w:hAnsi="Arial" w:cs="Arial"/>
                <w:sz w:val="24"/>
                <w:szCs w:val="24"/>
              </w:rPr>
              <w:t xml:space="preserve"> and he was not closely observed</w:t>
            </w:r>
            <w:r w:rsidR="003F35BD">
              <w:rPr>
                <w:rFonts w:ascii="Arial" w:hAnsi="Arial" w:cs="Arial"/>
                <w:sz w:val="24"/>
                <w:szCs w:val="24"/>
              </w:rPr>
              <w:t xml:space="preserve"> whilst eating</w:t>
            </w:r>
            <w:r w:rsidRPr="00635538">
              <w:rPr>
                <w:rFonts w:ascii="Arial" w:hAnsi="Arial" w:cs="Arial"/>
                <w:sz w:val="24"/>
                <w:szCs w:val="24"/>
              </w:rPr>
              <w:t>. He choked on the sandwich and died.</w:t>
            </w:r>
          </w:p>
          <w:p w14:paraId="0304719C" w14:textId="56B4560A" w:rsidR="00635538" w:rsidRPr="00635538" w:rsidRDefault="00635538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538" w:rsidRPr="00635538" w14:paraId="48B287DD" w14:textId="77777777" w:rsidTr="008725B1">
        <w:tc>
          <w:tcPr>
            <w:tcW w:w="9016" w:type="dxa"/>
          </w:tcPr>
          <w:p w14:paraId="37FA31ED" w14:textId="580E481C" w:rsidR="00635538" w:rsidRPr="00164D23" w:rsidRDefault="00635538" w:rsidP="00981B3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128E">
              <w:rPr>
                <w:rFonts w:ascii="Arial" w:hAnsi="Arial" w:cs="Arial"/>
                <w:b/>
                <w:bCs/>
                <w:sz w:val="24"/>
                <w:szCs w:val="24"/>
              </w:rPr>
              <w:t>Learning points:</w:t>
            </w:r>
            <w:r w:rsidRPr="006355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It was emphasised by the HSE that care providers must be </w:t>
            </w:r>
            <w:r w:rsidRPr="00635538">
              <w:rPr>
                <w:rFonts w:ascii="Arial" w:hAnsi="Arial" w:cs="Arial"/>
                <w:i/>
                <w:iCs/>
                <w:sz w:val="24"/>
                <w:szCs w:val="24"/>
              </w:rPr>
              <w:t>“guided by speech and language therapy professionals and then ensure their staff are trained to understand what those recommendations mean.”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D128E">
              <w:rPr>
                <w:rFonts w:ascii="Arial" w:hAnsi="Arial" w:cs="Arial"/>
                <w:sz w:val="24"/>
                <w:szCs w:val="24"/>
              </w:rPr>
              <w:t xml:space="preserve">All staff must be </w:t>
            </w:r>
            <w:r w:rsidR="004D128E" w:rsidRPr="004D128E">
              <w:rPr>
                <w:rFonts w:ascii="Arial" w:hAnsi="Arial" w:cs="Arial"/>
                <w:sz w:val="24"/>
                <w:szCs w:val="24"/>
              </w:rPr>
              <w:t>suitably</w:t>
            </w:r>
            <w:r w:rsidRPr="004D128E">
              <w:rPr>
                <w:rFonts w:ascii="Arial" w:hAnsi="Arial" w:cs="Arial"/>
                <w:sz w:val="24"/>
                <w:szCs w:val="24"/>
              </w:rPr>
              <w:t xml:space="preserve"> trained and reminded of the importance of following </w:t>
            </w:r>
            <w:r w:rsidR="004D128E" w:rsidRPr="004D128E">
              <w:rPr>
                <w:rFonts w:ascii="Arial" w:hAnsi="Arial" w:cs="Arial"/>
                <w:sz w:val="24"/>
                <w:szCs w:val="24"/>
              </w:rPr>
              <w:t>specific require</w:t>
            </w:r>
            <w:r w:rsidR="00164D23">
              <w:rPr>
                <w:rFonts w:ascii="Arial" w:hAnsi="Arial" w:cs="Arial"/>
                <w:sz w:val="24"/>
                <w:szCs w:val="24"/>
              </w:rPr>
              <w:t>ments</w:t>
            </w:r>
            <w:r w:rsidR="004D128E" w:rsidRPr="004D128E">
              <w:rPr>
                <w:rFonts w:ascii="Arial" w:hAnsi="Arial" w:cs="Arial"/>
                <w:sz w:val="24"/>
                <w:szCs w:val="24"/>
              </w:rPr>
              <w:t xml:space="preserve"> for those in their care.</w:t>
            </w:r>
            <w:r w:rsidR="004D12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5EA4DAC" w14:textId="1DFEEE74" w:rsidR="00635538" w:rsidRPr="00635538" w:rsidRDefault="00635538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D01D5" w14:textId="77777777" w:rsidR="00635538" w:rsidRDefault="00635538" w:rsidP="00981B30">
      <w:pPr>
        <w:spacing w:line="360" w:lineRule="auto"/>
      </w:pPr>
    </w:p>
    <w:p w14:paraId="34FDA762" w14:textId="77777777" w:rsidR="004D128E" w:rsidRDefault="004D128E" w:rsidP="00981B3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D49" w14:paraId="7D72D633" w14:textId="77777777" w:rsidTr="009C2D49">
        <w:tc>
          <w:tcPr>
            <w:tcW w:w="9016" w:type="dxa"/>
          </w:tcPr>
          <w:p w14:paraId="049E3FF8" w14:textId="77777777" w:rsidR="009C2D49" w:rsidRPr="009C2D49" w:rsidRDefault="009C2D49" w:rsidP="00981B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Housing company fined more than £500,000 after worker suffers </w:t>
            </w:r>
            <w:proofErr w:type="gramStart"/>
            <w:r w:rsidRPr="009C2D49">
              <w:rPr>
                <w:rFonts w:ascii="Arial" w:hAnsi="Arial" w:cs="Arial"/>
                <w:b/>
                <w:bCs/>
                <w:sz w:val="24"/>
                <w:szCs w:val="24"/>
              </w:rPr>
              <w:t>burns</w:t>
            </w:r>
            <w:proofErr w:type="gramEnd"/>
          </w:p>
          <w:p w14:paraId="73DE140A" w14:textId="4608B302" w:rsidR="009C2D49" w:rsidRPr="009C2D49" w:rsidRDefault="009C2D49" w:rsidP="00981B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bCs/>
                <w:sz w:val="24"/>
                <w:szCs w:val="24"/>
              </w:rPr>
              <w:t>24th April 2024</w:t>
            </w:r>
          </w:p>
          <w:p w14:paraId="1BED661B" w14:textId="77777777" w:rsidR="009C2D49" w:rsidRPr="009C2D49" w:rsidRDefault="009C2D49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D49" w14:paraId="71721570" w14:textId="77777777" w:rsidTr="009C2D49">
        <w:tc>
          <w:tcPr>
            <w:tcW w:w="9016" w:type="dxa"/>
          </w:tcPr>
          <w:p w14:paraId="6C1EAA62" w14:textId="134CE92E" w:rsidR="00714BF7" w:rsidRPr="00714BF7" w:rsidRDefault="009C2D49" w:rsidP="003F35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BF7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14BF7">
              <w:t xml:space="preserve"> </w:t>
            </w:r>
            <w:r w:rsidR="00714BF7" w:rsidRPr="00714BF7">
              <w:rPr>
                <w:rFonts w:ascii="Arial" w:hAnsi="Arial" w:cs="Arial"/>
                <w:sz w:val="24"/>
                <w:szCs w:val="24"/>
              </w:rPr>
              <w:t xml:space="preserve">A housing company </w:t>
            </w:r>
            <w:r w:rsidR="00714BF7">
              <w:rPr>
                <w:rFonts w:ascii="Arial" w:hAnsi="Arial" w:cs="Arial"/>
                <w:sz w:val="24"/>
                <w:szCs w:val="24"/>
              </w:rPr>
              <w:t>was</w:t>
            </w:r>
            <w:r w:rsidR="00714BF7" w:rsidRPr="00714BF7">
              <w:rPr>
                <w:rFonts w:ascii="Arial" w:hAnsi="Arial" w:cs="Arial"/>
                <w:sz w:val="24"/>
                <w:szCs w:val="24"/>
              </w:rPr>
              <w:t xml:space="preserve"> fined £528,000 after an employee repairing a fence post inadvertently struck an underground cable, suffering burns to his face.</w:t>
            </w:r>
          </w:p>
          <w:p w14:paraId="6F7B5494" w14:textId="77777777" w:rsidR="00714BF7" w:rsidRPr="00714BF7" w:rsidRDefault="00714BF7" w:rsidP="003F35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ED2C7" w14:textId="6A64E599" w:rsidR="00714BF7" w:rsidRPr="00714BF7" w:rsidRDefault="00164D23" w:rsidP="003F35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14BF7">
              <w:rPr>
                <w:rFonts w:ascii="Arial" w:hAnsi="Arial" w:cs="Arial"/>
                <w:sz w:val="24"/>
                <w:szCs w:val="24"/>
              </w:rPr>
              <w:t>mployee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14BF7" w:rsidRPr="00714BF7">
              <w:rPr>
                <w:rFonts w:ascii="Arial" w:hAnsi="Arial" w:cs="Arial"/>
                <w:sz w:val="24"/>
                <w:szCs w:val="24"/>
              </w:rPr>
              <w:t xml:space="preserve"> had been tasked to repair three fence posts in a back garden of a tenant. </w:t>
            </w:r>
            <w:r w:rsidR="009C202F">
              <w:rPr>
                <w:rFonts w:ascii="Arial" w:hAnsi="Arial" w:cs="Arial"/>
                <w:sz w:val="24"/>
                <w:szCs w:val="24"/>
              </w:rPr>
              <w:t xml:space="preserve">Whilst repairing the third fence panel 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9C202F">
              <w:rPr>
                <w:rFonts w:ascii="Arial" w:hAnsi="Arial" w:cs="Arial"/>
                <w:sz w:val="24"/>
                <w:szCs w:val="24"/>
              </w:rPr>
              <w:t xml:space="preserve"> employee</w:t>
            </w:r>
            <w:r w:rsidR="00714BF7" w:rsidRPr="00714BF7">
              <w:rPr>
                <w:rFonts w:ascii="Arial" w:hAnsi="Arial" w:cs="Arial"/>
                <w:sz w:val="24"/>
                <w:szCs w:val="24"/>
              </w:rPr>
              <w:t xml:space="preserve"> struck an underground electrical cable as he tried to break through some concrete using a breaker.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BF7" w:rsidRPr="00714BF7">
              <w:rPr>
                <w:rFonts w:ascii="Arial" w:hAnsi="Arial" w:cs="Arial"/>
                <w:sz w:val="24"/>
                <w:szCs w:val="24"/>
              </w:rPr>
              <w:t>The company failed to provide the employees with information on the location of, or the tools to safely excavate around, an electrical cable and gas pipe.</w:t>
            </w:r>
            <w:r w:rsidR="009C20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BF7" w:rsidRPr="00714BF7">
              <w:rPr>
                <w:rFonts w:ascii="Arial" w:hAnsi="Arial" w:cs="Arial"/>
                <w:sz w:val="24"/>
                <w:szCs w:val="24"/>
              </w:rPr>
              <w:t>They had previously identified the risk of underground services in a risk assessment in 2017.</w:t>
            </w:r>
          </w:p>
          <w:p w14:paraId="70C8E366" w14:textId="77777777" w:rsidR="00714BF7" w:rsidRPr="00714BF7" w:rsidRDefault="00714BF7" w:rsidP="003F35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E44793" w14:textId="29DA04E1" w:rsidR="00714BF7" w:rsidRPr="00714BF7" w:rsidRDefault="00714BF7" w:rsidP="003F35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BF7">
              <w:rPr>
                <w:rFonts w:ascii="Arial" w:hAnsi="Arial" w:cs="Arial"/>
                <w:sz w:val="24"/>
                <w:szCs w:val="24"/>
              </w:rPr>
              <w:t xml:space="preserve">On this occasion, the employees were digging not only by an electrical cable, but also a gas service. This heightened the risk of a fire or explosion, with the potential to kill not employees and members of the public nearby, as well </w:t>
            </w:r>
            <w:r w:rsidR="000914DF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714BF7">
              <w:rPr>
                <w:rFonts w:ascii="Arial" w:hAnsi="Arial" w:cs="Arial"/>
                <w:sz w:val="24"/>
                <w:szCs w:val="24"/>
              </w:rPr>
              <w:t xml:space="preserve">the risk of destroying property. </w:t>
            </w:r>
          </w:p>
          <w:p w14:paraId="3990574E" w14:textId="5A48C514" w:rsidR="009C2D49" w:rsidRPr="009C2D49" w:rsidRDefault="009C2D49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D49" w14:paraId="55B6192A" w14:textId="77777777" w:rsidTr="009C2D49">
        <w:tc>
          <w:tcPr>
            <w:tcW w:w="9016" w:type="dxa"/>
          </w:tcPr>
          <w:p w14:paraId="5FB35106" w14:textId="01A0EA3E" w:rsidR="009C2D49" w:rsidRDefault="009C2D49" w:rsidP="003F35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02F">
              <w:rPr>
                <w:rFonts w:ascii="Arial" w:hAnsi="Arial" w:cs="Arial"/>
                <w:b/>
                <w:bCs/>
                <w:sz w:val="24"/>
                <w:szCs w:val="24"/>
              </w:rPr>
              <w:t>Learning points:</w:t>
            </w:r>
            <w:r w:rsidRPr="009C2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02F" w:rsidRPr="00714BF7">
              <w:rPr>
                <w:rFonts w:ascii="Arial" w:hAnsi="Arial" w:cs="Arial"/>
                <w:sz w:val="24"/>
                <w:szCs w:val="24"/>
              </w:rPr>
              <w:t xml:space="preserve">It is </w:t>
            </w:r>
            <w:r w:rsidR="00164D23">
              <w:rPr>
                <w:rFonts w:ascii="Arial" w:hAnsi="Arial" w:cs="Arial"/>
                <w:sz w:val="24"/>
                <w:szCs w:val="24"/>
              </w:rPr>
              <w:t>critical</w:t>
            </w:r>
            <w:r w:rsidR="009C202F" w:rsidRPr="00714BF7">
              <w:rPr>
                <w:rFonts w:ascii="Arial" w:hAnsi="Arial" w:cs="Arial"/>
                <w:sz w:val="24"/>
                <w:szCs w:val="24"/>
              </w:rPr>
              <w:t xml:space="preserve"> that employees are provided with the correct tools and equipment to do their work safely.</w:t>
            </w:r>
            <w:r w:rsidR="00164D23">
              <w:rPr>
                <w:rFonts w:ascii="Arial" w:hAnsi="Arial" w:cs="Arial"/>
                <w:sz w:val="24"/>
                <w:szCs w:val="24"/>
              </w:rPr>
              <w:t xml:space="preserve"> Employees must also be aware of and understand any risk assessments in place. </w:t>
            </w:r>
          </w:p>
          <w:p w14:paraId="40AD5C2E" w14:textId="5CF807FE" w:rsidR="009C2D49" w:rsidRPr="009C2D49" w:rsidRDefault="009C2D49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2E6CEF" w14:textId="77777777" w:rsidR="009C2D49" w:rsidRDefault="009C2D49" w:rsidP="00981B30">
      <w:pPr>
        <w:spacing w:line="360" w:lineRule="auto"/>
      </w:pPr>
    </w:p>
    <w:p w14:paraId="49DC8DC3" w14:textId="77777777" w:rsidR="009C2D49" w:rsidRDefault="009C2D49" w:rsidP="00981B3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D49" w:rsidRPr="00635538" w14:paraId="4AA9DA36" w14:textId="77777777" w:rsidTr="009D6987">
        <w:tc>
          <w:tcPr>
            <w:tcW w:w="9016" w:type="dxa"/>
          </w:tcPr>
          <w:p w14:paraId="5597396B" w14:textId="77777777" w:rsidR="009C2D49" w:rsidRDefault="009C2D49" w:rsidP="00981B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bookmarkStart w:id="1" w:name="_Hlk165472995"/>
            <w:r w:rsidRPr="008725B1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Company fined after agency worker injured using unguarded </w:t>
            </w:r>
            <w:proofErr w:type="gramStart"/>
            <w:r w:rsidRPr="008725B1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machine</w:t>
            </w:r>
            <w:proofErr w:type="gramEnd"/>
          </w:p>
          <w:p w14:paraId="25829C35" w14:textId="77777777" w:rsidR="009C2D49" w:rsidRPr="00635538" w:rsidRDefault="009C2D49" w:rsidP="00981B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25</w:t>
            </w:r>
            <w:r w:rsidRPr="008725B1">
              <w:rPr>
                <w:rFonts w:ascii="Arial" w:hAnsi="Arial" w:cs="Arial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April </w:t>
            </w:r>
            <w:r w:rsidRPr="004D128E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2024</w:t>
            </w:r>
          </w:p>
          <w:p w14:paraId="1EAF6B08" w14:textId="77777777" w:rsidR="009C2D49" w:rsidRPr="00635538" w:rsidRDefault="009C2D49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D49" w:rsidRPr="00635538" w14:paraId="2345A229" w14:textId="77777777" w:rsidTr="009D6987">
        <w:tc>
          <w:tcPr>
            <w:tcW w:w="9016" w:type="dxa"/>
          </w:tcPr>
          <w:p w14:paraId="3A6EDE6D" w14:textId="4CD426A9" w:rsidR="009C2D49" w:rsidRPr="008725B1" w:rsidRDefault="009C2D49" w:rsidP="00981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538">
              <w:rPr>
                <w:rFonts w:ascii="Arial" w:hAnsi="Arial" w:cs="Arial"/>
                <w:b/>
                <w:bCs/>
                <w:sz w:val="24"/>
                <w:szCs w:val="24"/>
              </w:rPr>
              <w:t>Summary:</w:t>
            </w:r>
            <w:r w:rsidRPr="00635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5B1">
              <w:rPr>
                <w:rFonts w:ascii="Arial" w:hAnsi="Arial" w:cs="Arial"/>
                <w:sz w:val="24"/>
                <w:szCs w:val="24"/>
              </w:rPr>
              <w:t xml:space="preserve">A manufacturer </w:t>
            </w:r>
            <w:r>
              <w:rPr>
                <w:rFonts w:ascii="Arial" w:hAnsi="Arial" w:cs="Arial"/>
                <w:sz w:val="24"/>
                <w:szCs w:val="24"/>
              </w:rPr>
              <w:t xml:space="preserve">was fined </w:t>
            </w:r>
            <w:r w:rsidRPr="008725B1">
              <w:rPr>
                <w:rFonts w:ascii="Arial" w:hAnsi="Arial" w:cs="Arial"/>
                <w:sz w:val="24"/>
                <w:szCs w:val="24"/>
              </w:rPr>
              <w:t>£100,000 for safety breaches after a worker received severe hand injuries at a factory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HSE investigation </w:t>
            </w:r>
            <w:r w:rsidRPr="008725B1">
              <w:rPr>
                <w:rFonts w:ascii="Arial" w:hAnsi="Arial" w:cs="Arial"/>
                <w:sz w:val="24"/>
                <w:szCs w:val="24"/>
              </w:rPr>
              <w:t>found that the company had failed to carry out a suitable and sufficient risk assessment, resulting in a failure to provide a suitable guard, allowing access to the exposed parts of the saw blade.</w:t>
            </w:r>
          </w:p>
          <w:p w14:paraId="4A57BEF5" w14:textId="77777777" w:rsidR="009C2D49" w:rsidRPr="00635538" w:rsidRDefault="009C2D49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D49" w:rsidRPr="00635538" w14:paraId="4A6D3C70" w14:textId="77777777" w:rsidTr="009D6987">
        <w:tc>
          <w:tcPr>
            <w:tcW w:w="9016" w:type="dxa"/>
          </w:tcPr>
          <w:p w14:paraId="416ABA9D" w14:textId="26D37578" w:rsidR="009C2D49" w:rsidRPr="008725B1" w:rsidRDefault="009C2D49" w:rsidP="00981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2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Learning points: </w:t>
            </w:r>
            <w:r w:rsidRPr="008725B1">
              <w:rPr>
                <w:rFonts w:ascii="Arial" w:hAnsi="Arial" w:cs="Arial"/>
                <w:sz w:val="24"/>
                <w:szCs w:val="24"/>
              </w:rPr>
              <w:t>The HSE emphasised the importance of having adequate risk assessments and implementing sufficient measures to control risks.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725B1">
              <w:rPr>
                <w:rFonts w:ascii="Arial" w:hAnsi="Arial" w:cs="Arial"/>
                <w:sz w:val="24"/>
                <w:szCs w:val="24"/>
              </w:rPr>
              <w:t>The HSE</w:t>
            </w:r>
            <w:r w:rsidR="00164D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5B1">
              <w:rPr>
                <w:rFonts w:ascii="Arial" w:hAnsi="Arial" w:cs="Arial"/>
                <w:sz w:val="24"/>
                <w:szCs w:val="24"/>
              </w:rPr>
              <w:t xml:space="preserve">provides guidance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provision and use of equipment </w:t>
            </w:r>
            <w:r w:rsidRPr="008725B1">
              <w:rPr>
                <w:rFonts w:ascii="Arial" w:hAnsi="Arial" w:cs="Arial"/>
                <w:sz w:val="24"/>
                <w:szCs w:val="24"/>
              </w:rPr>
              <w:t>which should be considered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risk assessments are generate/reviewed.</w:t>
            </w:r>
          </w:p>
          <w:p w14:paraId="3685E9F5" w14:textId="77777777" w:rsidR="009C2D49" w:rsidRPr="00635538" w:rsidRDefault="009C2D49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AF51FB0" w14:textId="77777777" w:rsidR="009C2D49" w:rsidRDefault="009C2D49" w:rsidP="00981B30">
      <w:pPr>
        <w:spacing w:line="360" w:lineRule="auto"/>
      </w:pPr>
    </w:p>
    <w:p w14:paraId="1D250AA1" w14:textId="77777777" w:rsidR="008331A7" w:rsidRDefault="008331A7" w:rsidP="00981B3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1A7" w:rsidRPr="00635538" w14:paraId="4DB298B8" w14:textId="77777777" w:rsidTr="009D6987">
        <w:tc>
          <w:tcPr>
            <w:tcW w:w="9016" w:type="dxa"/>
          </w:tcPr>
          <w:p w14:paraId="23AD4B92" w14:textId="77777777" w:rsidR="008331A7" w:rsidRPr="00B26A0B" w:rsidRDefault="008331A7" w:rsidP="00981B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 home fined following death of vulnerable </w:t>
            </w:r>
            <w:proofErr w:type="gramStart"/>
            <w:r w:rsidRPr="00B26A0B">
              <w:rPr>
                <w:rFonts w:ascii="Arial" w:hAnsi="Arial" w:cs="Arial"/>
                <w:b/>
                <w:bCs/>
                <w:sz w:val="24"/>
                <w:szCs w:val="24"/>
              </w:rPr>
              <w:t>resident</w:t>
            </w:r>
            <w:proofErr w:type="gramEnd"/>
          </w:p>
          <w:p w14:paraId="660BEBB8" w14:textId="25FBEEA4" w:rsidR="00B26A0B" w:rsidRDefault="00B26A0B" w:rsidP="00981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0B">
              <w:rPr>
                <w:rFonts w:ascii="Arial" w:hAnsi="Arial" w:cs="Arial"/>
                <w:sz w:val="24"/>
                <w:szCs w:val="24"/>
              </w:rPr>
              <w:t>22nd February 2024</w:t>
            </w:r>
          </w:p>
          <w:p w14:paraId="2FA4508A" w14:textId="516E9824" w:rsidR="008331A7" w:rsidRPr="00635538" w:rsidRDefault="008331A7" w:rsidP="00981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A7" w:rsidRPr="00635538" w14:paraId="002FF9AD" w14:textId="77777777" w:rsidTr="009D6987">
        <w:tc>
          <w:tcPr>
            <w:tcW w:w="9016" w:type="dxa"/>
          </w:tcPr>
          <w:p w14:paraId="76A7B98F" w14:textId="194E55C3" w:rsidR="008331A7" w:rsidRPr="008331A7" w:rsidRDefault="008331A7" w:rsidP="00981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538">
              <w:rPr>
                <w:rFonts w:ascii="Arial" w:hAnsi="Arial" w:cs="Arial"/>
                <w:b/>
                <w:bCs/>
                <w:sz w:val="24"/>
                <w:szCs w:val="24"/>
              </w:rPr>
              <w:t>Summary:</w:t>
            </w:r>
            <w:r w:rsidRPr="00635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1A7">
              <w:rPr>
                <w:rFonts w:ascii="Arial" w:hAnsi="Arial" w:cs="Arial"/>
                <w:sz w:val="24"/>
                <w:szCs w:val="24"/>
              </w:rPr>
              <w:t xml:space="preserve">A care home operator </w:t>
            </w:r>
            <w:r>
              <w:rPr>
                <w:rFonts w:ascii="Arial" w:hAnsi="Arial" w:cs="Arial"/>
                <w:sz w:val="24"/>
                <w:szCs w:val="24"/>
              </w:rPr>
              <w:t>was</w:t>
            </w:r>
            <w:r w:rsidRPr="008331A7">
              <w:rPr>
                <w:rFonts w:ascii="Arial" w:hAnsi="Arial" w:cs="Arial"/>
                <w:sz w:val="24"/>
                <w:szCs w:val="24"/>
              </w:rPr>
              <w:t xml:space="preserve"> fined £400,000 for safety breaches, following the death of a vulnerable resident at a care home</w:t>
            </w:r>
            <w:r>
              <w:rPr>
                <w:rFonts w:ascii="Arial" w:hAnsi="Arial" w:cs="Arial"/>
                <w:sz w:val="24"/>
                <w:szCs w:val="24"/>
              </w:rPr>
              <w:t xml:space="preserve">. In December, the resident could not be </w:t>
            </w:r>
            <w:proofErr w:type="gramStart"/>
            <w:r w:rsidR="00B26A0B">
              <w:rPr>
                <w:rFonts w:ascii="Arial" w:hAnsi="Arial" w:cs="Arial"/>
                <w:sz w:val="24"/>
                <w:szCs w:val="24"/>
              </w:rPr>
              <w:t>located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she was subsequently found in the courtyard in her nightwear. She had been outside for about an hour and a half before staff found her. She had fallen and struck her head. She </w:t>
            </w:r>
            <w:r w:rsidR="00B26A0B">
              <w:rPr>
                <w:rFonts w:ascii="Arial" w:hAnsi="Arial" w:cs="Arial"/>
                <w:sz w:val="24"/>
                <w:szCs w:val="24"/>
              </w:rPr>
              <w:t xml:space="preserve">was admitted to hospital and subsequently died. </w:t>
            </w:r>
          </w:p>
          <w:p w14:paraId="1A1B3B96" w14:textId="77777777" w:rsidR="008331A7" w:rsidRPr="008331A7" w:rsidRDefault="008331A7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9AFDA" w14:textId="72382708" w:rsidR="008331A7" w:rsidRPr="008331A7" w:rsidRDefault="008331A7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1A7">
              <w:rPr>
                <w:rFonts w:ascii="Arial" w:hAnsi="Arial" w:cs="Arial"/>
                <w:sz w:val="24"/>
                <w:szCs w:val="24"/>
              </w:rPr>
              <w:t>An investigation</w:t>
            </w:r>
            <w:r w:rsidR="00B26A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1A7">
              <w:rPr>
                <w:rFonts w:ascii="Arial" w:hAnsi="Arial" w:cs="Arial"/>
                <w:sz w:val="24"/>
                <w:szCs w:val="24"/>
              </w:rPr>
              <w:t xml:space="preserve">found </w:t>
            </w:r>
            <w:r w:rsidR="00B26A0B">
              <w:rPr>
                <w:rFonts w:ascii="Arial" w:hAnsi="Arial" w:cs="Arial"/>
                <w:sz w:val="24"/>
                <w:szCs w:val="24"/>
              </w:rPr>
              <w:t>that she</w:t>
            </w:r>
            <w:r w:rsidRPr="008331A7">
              <w:rPr>
                <w:rFonts w:ascii="Arial" w:hAnsi="Arial" w:cs="Arial"/>
                <w:sz w:val="24"/>
                <w:szCs w:val="24"/>
              </w:rPr>
              <w:t xml:space="preserve"> died because she was able to access the courtyard while unsupervised and had fallen</w:t>
            </w:r>
            <w:r w:rsidR="00B26A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9ADD7D" w14:textId="77777777" w:rsidR="008331A7" w:rsidRPr="00635538" w:rsidRDefault="008331A7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A7" w:rsidRPr="00635538" w14:paraId="10DFB558" w14:textId="77777777" w:rsidTr="009D6987">
        <w:tc>
          <w:tcPr>
            <w:tcW w:w="9016" w:type="dxa"/>
          </w:tcPr>
          <w:p w14:paraId="4B8A1FAA" w14:textId="6C34EF3F" w:rsidR="008331A7" w:rsidRPr="008725B1" w:rsidRDefault="008331A7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12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Learning points: </w:t>
            </w:r>
            <w:r w:rsidR="00B26A0B" w:rsidRPr="00B26A0B">
              <w:rPr>
                <w:rFonts w:ascii="Arial" w:hAnsi="Arial" w:cs="Arial"/>
                <w:sz w:val="24"/>
                <w:szCs w:val="24"/>
              </w:rPr>
              <w:t xml:space="preserve">It is important that all risks are assessed and monitored. </w:t>
            </w:r>
            <w:r w:rsidR="00B26A0B">
              <w:rPr>
                <w:rFonts w:ascii="Arial" w:hAnsi="Arial" w:cs="Arial"/>
                <w:sz w:val="24"/>
                <w:szCs w:val="24"/>
              </w:rPr>
              <w:t xml:space="preserve">There is guidance on the HSE website </w:t>
            </w:r>
            <w:r w:rsidR="00164D23">
              <w:rPr>
                <w:rFonts w:ascii="Arial" w:hAnsi="Arial" w:cs="Arial"/>
                <w:sz w:val="24"/>
                <w:szCs w:val="24"/>
              </w:rPr>
              <w:t>dealing with</w:t>
            </w:r>
            <w:r w:rsidR="00B26A0B">
              <w:rPr>
                <w:rFonts w:ascii="Arial" w:hAnsi="Arial" w:cs="Arial"/>
                <w:sz w:val="24"/>
                <w:szCs w:val="24"/>
              </w:rPr>
              <w:t xml:space="preserve"> safety in care homes. </w:t>
            </w:r>
            <w:r w:rsidR="00B26A0B" w:rsidRPr="00B26A0B">
              <w:rPr>
                <w:rFonts w:ascii="Arial" w:hAnsi="Arial" w:cs="Arial"/>
                <w:sz w:val="24"/>
                <w:szCs w:val="24"/>
              </w:rPr>
              <w:t>The HSE stated that “This was tragic and wholly avoidable. Had the doors been kept locked at night or had there been a system where staff would be told if the doors to the courtyard had been opened, the accident could have been avoided.”</w:t>
            </w:r>
            <w:r w:rsidR="0098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B30" w:rsidRPr="00981B30">
              <w:rPr>
                <w:rFonts w:ascii="Arial" w:hAnsi="Arial" w:cs="Arial"/>
                <w:sz w:val="24"/>
                <w:szCs w:val="24"/>
              </w:rPr>
              <w:t xml:space="preserve">Suitable and sufficient systems need to be in place to ensure the safety of service users which </w:t>
            </w:r>
            <w:proofErr w:type="gramStart"/>
            <w:r w:rsidR="00981B30" w:rsidRPr="00981B30">
              <w:rPr>
                <w:rFonts w:ascii="Arial" w:hAnsi="Arial" w:cs="Arial"/>
                <w:sz w:val="24"/>
                <w:szCs w:val="24"/>
              </w:rPr>
              <w:t>take into account</w:t>
            </w:r>
            <w:proofErr w:type="gramEnd"/>
            <w:r w:rsidR="00981B30" w:rsidRPr="00981B30">
              <w:rPr>
                <w:rFonts w:ascii="Arial" w:hAnsi="Arial" w:cs="Arial"/>
                <w:sz w:val="24"/>
                <w:szCs w:val="24"/>
              </w:rPr>
              <w:t xml:space="preserve"> their particular vulnerabilities.</w:t>
            </w:r>
          </w:p>
          <w:p w14:paraId="0CED90FB" w14:textId="77777777" w:rsidR="008331A7" w:rsidRPr="00635538" w:rsidRDefault="008331A7" w:rsidP="00981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F7FE7" w14:textId="77777777" w:rsidR="008331A7" w:rsidRDefault="008331A7"/>
    <w:sectPr w:rsidR="0083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79DB"/>
    <w:multiLevelType w:val="hybridMultilevel"/>
    <w:tmpl w:val="4026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6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38"/>
    <w:rsid w:val="000914DF"/>
    <w:rsid w:val="00164D23"/>
    <w:rsid w:val="001D7AAA"/>
    <w:rsid w:val="003F35BD"/>
    <w:rsid w:val="004D128E"/>
    <w:rsid w:val="005B4EB3"/>
    <w:rsid w:val="00635538"/>
    <w:rsid w:val="00714BF7"/>
    <w:rsid w:val="007F3313"/>
    <w:rsid w:val="008331A7"/>
    <w:rsid w:val="008725B1"/>
    <w:rsid w:val="00981B30"/>
    <w:rsid w:val="009C202F"/>
    <w:rsid w:val="009C2D49"/>
    <w:rsid w:val="00B26A0B"/>
    <w:rsid w:val="00D54F25"/>
    <w:rsid w:val="00D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730E"/>
  <w15:chartTrackingRefBased/>
  <w15:docId w15:val="{4954BB96-DFBB-4B33-B3DA-F25EDB4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rsid w:val="00635538"/>
    <w:rPr>
      <w:rFonts w:ascii="Coventry Logo" w:hAnsi="Coventry Logo"/>
      <w:sz w:val="46"/>
    </w:rPr>
  </w:style>
  <w:style w:type="paragraph" w:customStyle="1" w:styleId="Department">
    <w:name w:val="Department"/>
    <w:basedOn w:val="Normal"/>
    <w:rsid w:val="00635538"/>
    <w:rPr>
      <w:rFonts w:ascii="Arial" w:hAnsi="Arial"/>
      <w:b/>
      <w:sz w:val="22"/>
    </w:rPr>
  </w:style>
  <w:style w:type="table" w:styleId="TableGrid">
    <w:name w:val="Table Grid"/>
    <w:basedOn w:val="TableNormal"/>
    <w:uiPriority w:val="39"/>
    <w:rsid w:val="0063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D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3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EB3"/>
    <w:pPr>
      <w:ind w:left="720"/>
      <w:contextualSpacing/>
    </w:pPr>
  </w:style>
  <w:style w:type="paragraph" w:styleId="NoSpacing">
    <w:name w:val="No Spacing"/>
    <w:uiPriority w:val="1"/>
    <w:qFormat/>
    <w:rsid w:val="005B4E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Stockin, Laura</dc:creator>
  <cp:keywords/>
  <dc:description/>
  <cp:lastModifiedBy>Stockin, Laura</cp:lastModifiedBy>
  <cp:revision>9</cp:revision>
  <dcterms:created xsi:type="dcterms:W3CDTF">2024-05-01T14:20:00Z</dcterms:created>
  <dcterms:modified xsi:type="dcterms:W3CDTF">2024-05-02T08:11:00Z</dcterms:modified>
</cp:coreProperties>
</file>