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9031EF" w:rsidRPr="009031EF" w14:paraId="4605FF89" w14:textId="77777777" w:rsidTr="009031E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9031EF" w:rsidRPr="009031EF" w14:paraId="36BBC9EF" w14:textId="77777777" w:rsidTr="009031EF">
              <w:trPr>
                <w:jc w:val="center"/>
              </w:trPr>
              <w:tc>
                <w:tcPr>
                  <w:tcW w:w="0" w:type="auto"/>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48FF6E8A" w14:textId="77777777">
                    <w:trPr>
                      <w:jc w:val="center"/>
                    </w:trPr>
                    <w:tc>
                      <w:tcPr>
                        <w:tcW w:w="5000" w:type="pct"/>
                        <w:vAlign w:val="center"/>
                        <w:hideMark/>
                      </w:tcPr>
                      <w:p w14:paraId="27A2F927" w14:textId="77777777" w:rsidR="009031EF" w:rsidRDefault="009031EF" w:rsidP="009031EF">
                        <w:pPr>
                          <w:spacing w:before="240" w:after="240" w:line="240" w:lineRule="auto"/>
                          <w:rPr>
                            <w:rFonts w:ascii="Helvetica" w:eastAsia="Times New Roman" w:hAnsi="Helvetica" w:cs="Helvetica"/>
                            <w:b/>
                            <w:bCs/>
                            <w:sz w:val="23"/>
                            <w:szCs w:val="23"/>
                            <w:lang w:eastAsia="en-GB"/>
                          </w:rPr>
                        </w:pPr>
                        <w:r w:rsidRPr="009031EF">
                          <w:rPr>
                            <w:rFonts w:ascii="Helvetica" w:eastAsia="Times New Roman" w:hAnsi="Helvetica" w:cs="Helvetica"/>
                            <w:b/>
                            <w:bCs/>
                            <w:sz w:val="23"/>
                            <w:szCs w:val="23"/>
                            <w:lang w:eastAsia="en-GB"/>
                          </w:rPr>
                          <w:t>Action for schools and local authorities: Submit your year-end statement for the National Tutoring Programme (NTP)</w:t>
                        </w:r>
                      </w:p>
                      <w:p w14:paraId="5DCCE513" w14:textId="0AD4FAB7" w:rsidR="009031EF" w:rsidRDefault="009031EF" w:rsidP="009031EF">
                        <w:pPr>
                          <w:spacing w:before="240" w:after="240" w:line="240" w:lineRule="auto"/>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Schools and local authorities (including virtual school heads) that received the 2022/23 NTP grant have until 2pm on Friday 29 September to </w:t>
                        </w:r>
                        <w:hyperlink r:id="rId5" w:tgtFrame="_blank" w:history="1">
                          <w:r w:rsidRPr="009031EF">
                            <w:rPr>
                              <w:rFonts w:ascii="Helvetica" w:eastAsia="Times New Roman" w:hAnsi="Helvetica" w:cs="Helvetica"/>
                              <w:color w:val="1D5782"/>
                              <w:sz w:val="23"/>
                              <w:szCs w:val="23"/>
                              <w:u w:val="single"/>
                              <w:lang w:eastAsia="en-GB"/>
                            </w:rPr>
                            <w:t>submit the year-end statement</w:t>
                          </w:r>
                        </w:hyperlink>
                        <w:r w:rsidRPr="009031EF">
                          <w:rPr>
                            <w:rFonts w:ascii="Helvetica" w:eastAsia="Times New Roman" w:hAnsi="Helvetica" w:cs="Helvetica"/>
                            <w:sz w:val="23"/>
                            <w:szCs w:val="23"/>
                            <w:lang w:eastAsia="en-GB"/>
                          </w:rPr>
                          <w:t>. You must report all tutoring delivered in the 2022/23 academic year (from 1 September 2022 to 31 August 2023). Failure to submit the form will result in your full funding allocation being recovered by the ESFA.</w:t>
                        </w:r>
                      </w:p>
                      <w:p w14:paraId="330103E6" w14:textId="62EDF495"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Schools that converted to an academy after 1 August 2023, should select their old establishment and URN when completing the form, rather than the new one. We have published </w:t>
                        </w:r>
                        <w:hyperlink r:id="rId6" w:tgtFrame="_blank" w:history="1">
                          <w:r w:rsidRPr="009031EF">
                            <w:rPr>
                              <w:rFonts w:ascii="Helvetica" w:eastAsia="Times New Roman" w:hAnsi="Helvetica" w:cs="Helvetica"/>
                              <w:color w:val="1D5782"/>
                              <w:sz w:val="23"/>
                              <w:szCs w:val="23"/>
                              <w:u w:val="single"/>
                              <w:lang w:eastAsia="en-GB"/>
                            </w:rPr>
                            <w:t>guidance on how to submit your year-end statement</w:t>
                          </w:r>
                        </w:hyperlink>
                        <w:r w:rsidRPr="009031EF">
                          <w:rPr>
                            <w:rFonts w:ascii="Helvetica" w:eastAsia="Times New Roman" w:hAnsi="Helvetica" w:cs="Helvetica"/>
                            <w:sz w:val="23"/>
                            <w:szCs w:val="23"/>
                            <w:lang w:eastAsia="en-GB"/>
                          </w:rPr>
                          <w:t>, which includes a </w:t>
                        </w:r>
                        <w:hyperlink r:id="rId7" w:tgtFrame="_blank" w:history="1">
                          <w:r w:rsidRPr="009031EF">
                            <w:rPr>
                              <w:rFonts w:ascii="Helvetica" w:eastAsia="Times New Roman" w:hAnsi="Helvetica" w:cs="Helvetica"/>
                              <w:color w:val="1D5782"/>
                              <w:sz w:val="23"/>
                              <w:szCs w:val="23"/>
                              <w:u w:val="single"/>
                              <w:lang w:eastAsia="en-GB"/>
                            </w:rPr>
                            <w:t>short video for schools</w:t>
                          </w:r>
                        </w:hyperlink>
                        <w:r w:rsidRPr="009031EF">
                          <w:rPr>
                            <w:rFonts w:ascii="Helvetica" w:eastAsia="Times New Roman" w:hAnsi="Helvetica" w:cs="Helvetica"/>
                            <w:sz w:val="23"/>
                            <w:szCs w:val="23"/>
                            <w:lang w:eastAsia="en-GB"/>
                          </w:rPr>
                          <w:t>. If you experience any technical issues with the form, contact the </w:t>
                        </w:r>
                        <w:hyperlink r:id="rId8" w:tgtFrame="_blank" w:history="1">
                          <w:r w:rsidRPr="009031EF">
                            <w:rPr>
                              <w:rFonts w:ascii="Helvetica" w:eastAsia="Times New Roman" w:hAnsi="Helvetica" w:cs="Helvetica"/>
                              <w:color w:val="1D5782"/>
                              <w:sz w:val="23"/>
                              <w:szCs w:val="23"/>
                              <w:u w:val="single"/>
                              <w:lang w:eastAsia="en-GB"/>
                            </w:rPr>
                            <w:t>ESFA Help Centre</w:t>
                          </w:r>
                        </w:hyperlink>
                        <w:r w:rsidRPr="009031EF">
                          <w:rPr>
                            <w:rFonts w:ascii="Helvetica" w:eastAsia="Times New Roman" w:hAnsi="Helvetica" w:cs="Helvetica"/>
                            <w:sz w:val="23"/>
                            <w:szCs w:val="23"/>
                            <w:lang w:eastAsia="en-GB"/>
                          </w:rPr>
                          <w:t>. For any other tutoring queries, </w:t>
                        </w:r>
                        <w:hyperlink r:id="rId9" w:tgtFrame="_blank" w:history="1">
                          <w:r w:rsidRPr="009031EF">
                            <w:rPr>
                              <w:rFonts w:ascii="Helvetica" w:eastAsia="Times New Roman" w:hAnsi="Helvetica" w:cs="Helvetica"/>
                              <w:color w:val="1D5782"/>
                              <w:sz w:val="23"/>
                              <w:szCs w:val="23"/>
                              <w:u w:val="single"/>
                              <w:lang w:eastAsia="en-GB"/>
                            </w:rPr>
                            <w:t>email the NTP support desk</w:t>
                          </w:r>
                        </w:hyperlink>
                        <w:r w:rsidRPr="009031EF">
                          <w:rPr>
                            <w:rFonts w:ascii="Helvetica" w:eastAsia="Times New Roman" w:hAnsi="Helvetica" w:cs="Helvetica"/>
                            <w:sz w:val="23"/>
                            <w:szCs w:val="23"/>
                            <w:lang w:eastAsia="en-GB"/>
                          </w:rPr>
                          <w:t>. </w:t>
                        </w:r>
                      </w:p>
                    </w:tc>
                  </w:tr>
                  <w:tr w:rsidR="009031EF" w:rsidRPr="009031EF" w14:paraId="12A04C63" w14:textId="77777777">
                    <w:trPr>
                      <w:jc w:val="center"/>
                    </w:trPr>
                    <w:tc>
                      <w:tcPr>
                        <w:tcW w:w="5000" w:type="pct"/>
                        <w:vAlign w:val="center"/>
                        <w:hideMark/>
                      </w:tcPr>
                      <w:p w14:paraId="498C5A17" w14:textId="77777777" w:rsidR="009031EF" w:rsidRDefault="009031EF" w:rsidP="009031EF">
                        <w:pPr>
                          <w:spacing w:before="240" w:after="240" w:line="240" w:lineRule="auto"/>
                          <w:rPr>
                            <w:rFonts w:ascii="Helvetica" w:eastAsia="Times New Roman" w:hAnsi="Helvetica" w:cs="Helvetica"/>
                            <w:b/>
                            <w:bCs/>
                            <w:sz w:val="23"/>
                            <w:szCs w:val="23"/>
                            <w:lang w:eastAsia="en-GB"/>
                          </w:rPr>
                        </w:pPr>
                        <w:r w:rsidRPr="009031EF">
                          <w:rPr>
                            <w:rFonts w:ascii="Helvetica" w:eastAsia="Times New Roman" w:hAnsi="Helvetica" w:cs="Helvetica"/>
                            <w:b/>
                            <w:bCs/>
                            <w:sz w:val="23"/>
                            <w:szCs w:val="23"/>
                            <w:lang w:eastAsia="en-GB"/>
                          </w:rPr>
                          <w:t xml:space="preserve">Action for secondary schools: Review and publish your provider access </w:t>
                        </w:r>
                        <w:proofErr w:type="gramStart"/>
                        <w:r w:rsidRPr="009031EF">
                          <w:rPr>
                            <w:rFonts w:ascii="Helvetica" w:eastAsia="Times New Roman" w:hAnsi="Helvetica" w:cs="Helvetica"/>
                            <w:b/>
                            <w:bCs/>
                            <w:sz w:val="23"/>
                            <w:szCs w:val="23"/>
                            <w:lang w:eastAsia="en-GB"/>
                          </w:rPr>
                          <w:t>arrangements</w:t>
                        </w:r>
                        <w:proofErr w:type="gramEnd"/>
                      </w:p>
                      <w:p w14:paraId="28B19F25" w14:textId="614FB2D4" w:rsidR="009031EF" w:rsidRDefault="009031EF" w:rsidP="009031EF">
                        <w:pPr>
                          <w:spacing w:before="240" w:after="240" w:line="240" w:lineRule="auto"/>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Your school must comply with the provider access legislation, introduced in January 2023. By meeting this statutory requirement, you will help your pupils to understand apprenticeships and wider technical options and to make informed decisions about their next step.</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The law requires all state funded secondary schools to ensure that all pupils during school years 8-13 have at least 6 opportunities to meet a range of providers of approved technical education qualifications and apprenticeships. 2023/24 is the first full academic year that this strengthened legislation has been in force.</w:t>
                        </w:r>
                      </w:p>
                      <w:p w14:paraId="76B4D6C5" w14:textId="0A6D931E"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You are reminded that a provider access policy statement must be published on your school’s website explaining how the school intends to comply with the legal requirements.</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Read more in DfE’s </w:t>
                        </w:r>
                        <w:hyperlink r:id="rId10" w:history="1">
                          <w:r w:rsidRPr="009031EF">
                            <w:rPr>
                              <w:rFonts w:ascii="Helvetica" w:eastAsia="Times New Roman" w:hAnsi="Helvetica" w:cs="Helvetica"/>
                              <w:color w:val="1D5782"/>
                              <w:sz w:val="23"/>
                              <w:szCs w:val="23"/>
                              <w:u w:val="single"/>
                              <w:lang w:eastAsia="en-GB"/>
                            </w:rPr>
                            <w:t>careers statutory guidance</w:t>
                          </w:r>
                        </w:hyperlink>
                        <w:r w:rsidRPr="009031EF">
                          <w:rPr>
                            <w:rFonts w:ascii="Helvetica" w:eastAsia="Times New Roman" w:hAnsi="Helvetica" w:cs="Helvetica"/>
                            <w:sz w:val="23"/>
                            <w:szCs w:val="23"/>
                            <w:lang w:eastAsia="en-GB"/>
                          </w:rPr>
                          <w:t> and to access further support and guidance visit The Careers &amp; Enterprise Company </w:t>
                        </w:r>
                        <w:hyperlink r:id="rId11" w:tgtFrame="_blank" w:history="1">
                          <w:r w:rsidRPr="009031EF">
                            <w:rPr>
                              <w:rFonts w:ascii="Helvetica" w:eastAsia="Times New Roman" w:hAnsi="Helvetica" w:cs="Helvetica"/>
                              <w:color w:val="1D5782"/>
                              <w:sz w:val="23"/>
                              <w:szCs w:val="23"/>
                              <w:u w:val="single"/>
                              <w:lang w:eastAsia="en-GB"/>
                            </w:rPr>
                            <w:t>website</w:t>
                          </w:r>
                        </w:hyperlink>
                        <w:r w:rsidRPr="009031EF">
                          <w:rPr>
                            <w:rFonts w:ascii="Helvetica" w:eastAsia="Times New Roman" w:hAnsi="Helvetica" w:cs="Helvetica"/>
                            <w:sz w:val="23"/>
                            <w:szCs w:val="23"/>
                            <w:lang w:eastAsia="en-GB"/>
                          </w:rPr>
                          <w:t>. </w:t>
                        </w:r>
                      </w:p>
                    </w:tc>
                  </w:tr>
                </w:tbl>
                <w:p w14:paraId="2A9F3F84" w14:textId="77777777" w:rsidR="009031EF" w:rsidRPr="009031EF" w:rsidRDefault="009031EF" w:rsidP="009031EF">
                  <w:pPr>
                    <w:spacing w:before="240" w:after="225" w:line="240" w:lineRule="auto"/>
                    <w:rPr>
                      <w:rFonts w:ascii="Helvetica" w:eastAsia="Times New Roman" w:hAnsi="Helvetica" w:cs="Helvetica"/>
                      <w:sz w:val="23"/>
                      <w:szCs w:val="23"/>
                      <w:lang w:eastAsia="en-GB"/>
                    </w:rPr>
                  </w:pPr>
                  <w:r w:rsidRPr="009031EF">
                    <w:rPr>
                      <w:rFonts w:ascii="Helvetica" w:eastAsia="Times New Roman" w:hAnsi="Helvetica" w:cs="Helvetica"/>
                      <w:b/>
                      <w:bCs/>
                      <w:sz w:val="23"/>
                      <w:szCs w:val="23"/>
                      <w:lang w:eastAsia="en-GB"/>
                    </w:rPr>
                    <w:t>Action for schools: Action short of strike action by NASUWT</w:t>
                  </w:r>
                </w:p>
                <w:p w14:paraId="3A5484B8" w14:textId="77777777" w:rsidR="009031EF" w:rsidRPr="009031EF" w:rsidRDefault="009031EF" w:rsidP="009031EF">
                  <w:pPr>
                    <w:spacing w:after="225" w:line="240" w:lineRule="auto"/>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NASUWT has issued </w:t>
                  </w:r>
                  <w:hyperlink r:id="rId12" w:history="1">
                    <w:r w:rsidRPr="009031EF">
                      <w:rPr>
                        <w:rFonts w:ascii="Helvetica" w:eastAsia="Times New Roman" w:hAnsi="Helvetica" w:cs="Helvetica"/>
                        <w:color w:val="1D5782"/>
                        <w:sz w:val="23"/>
                        <w:szCs w:val="23"/>
                        <w:u w:val="single"/>
                        <w:lang w:eastAsia="en-GB"/>
                      </w:rPr>
                      <w:t>instructions</w:t>
                    </w:r>
                  </w:hyperlink>
                  <w:r w:rsidRPr="009031EF">
                    <w:rPr>
                      <w:rFonts w:ascii="Helvetica" w:eastAsia="Times New Roman" w:hAnsi="Helvetica" w:cs="Helvetica"/>
                      <w:sz w:val="23"/>
                      <w:szCs w:val="23"/>
                      <w:lang w:eastAsia="en-GB"/>
                    </w:rPr>
                    <w:t> to members to begin action short of strike action (ASOSA) from 18 September in schools where they secured a mandate in their July ballot. This will affect some schools in England.</w:t>
                  </w:r>
                </w:p>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41018E0F" w14:textId="77777777">
                    <w:trPr>
                      <w:jc w:val="center"/>
                    </w:trPr>
                    <w:tc>
                      <w:tcPr>
                        <w:tcW w:w="5000" w:type="pct"/>
                        <w:vAlign w:val="center"/>
                        <w:hideMark/>
                      </w:tcPr>
                      <w:p w14:paraId="4823B928" w14:textId="77777777" w:rsid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Schools should consider mitigations to reduce the likelihood of any disruption, for example reviewing timetabling or moving meetings. Leaders can ask their staff if they are taking part in ASOSA, to support contingency planning, although staff do not have to confirm this. Employers should expect all staff to fulfil their contractual obligations.</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Whether ASOSA amounts to a breach of contract will depend on exactly what the action is and the terms of the employee’s contract. If there is any doubt about whether an employee is in breach, the employer should seek legal advice on the individual case.</w:t>
                        </w:r>
                      </w:p>
                      <w:p w14:paraId="75971B5C" w14:textId="2576583C"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p>
                    </w:tc>
                  </w:tr>
                </w:tbl>
                <w:p w14:paraId="73B3B62E" w14:textId="77777777" w:rsidR="009031EF" w:rsidRPr="009031EF" w:rsidRDefault="009031EF" w:rsidP="009031EF">
                  <w:pPr>
                    <w:spacing w:before="240" w:after="225" w:line="240" w:lineRule="auto"/>
                    <w:rPr>
                      <w:rFonts w:ascii="Helvetica" w:eastAsia="Times New Roman" w:hAnsi="Helvetica" w:cs="Helvetica"/>
                      <w:sz w:val="23"/>
                      <w:szCs w:val="23"/>
                      <w:lang w:eastAsia="en-GB"/>
                    </w:rPr>
                  </w:pPr>
                  <w:r w:rsidRPr="009031EF">
                    <w:rPr>
                      <w:rFonts w:ascii="Helvetica" w:eastAsia="Times New Roman" w:hAnsi="Helvetica" w:cs="Helvetica"/>
                      <w:b/>
                      <w:bCs/>
                      <w:sz w:val="23"/>
                      <w:szCs w:val="23"/>
                      <w:lang w:eastAsia="en-GB"/>
                    </w:rPr>
                    <w:lastRenderedPageBreak/>
                    <w:t xml:space="preserve">Action for schools: Share your views through our Workload Taskforce </w:t>
                  </w:r>
                  <w:proofErr w:type="gramStart"/>
                  <w:r w:rsidRPr="009031EF">
                    <w:rPr>
                      <w:rFonts w:ascii="Helvetica" w:eastAsia="Times New Roman" w:hAnsi="Helvetica" w:cs="Helvetica"/>
                      <w:b/>
                      <w:bCs/>
                      <w:sz w:val="23"/>
                      <w:szCs w:val="23"/>
                      <w:lang w:eastAsia="en-GB"/>
                    </w:rPr>
                    <w:t>research</w:t>
                  </w:r>
                  <w:proofErr w:type="gramEnd"/>
                </w:p>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1E2769D8" w14:textId="77777777">
                    <w:trPr>
                      <w:jc w:val="center"/>
                    </w:trPr>
                    <w:tc>
                      <w:tcPr>
                        <w:tcW w:w="5000" w:type="pct"/>
                        <w:vAlign w:val="center"/>
                        <w:hideMark/>
                      </w:tcPr>
                      <w:p w14:paraId="1B120A72" w14:textId="377F0513"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 xml:space="preserve">The DfE recently announced they will be setting up a taskforce of union representatives, </w:t>
                        </w:r>
                        <w:proofErr w:type="gramStart"/>
                        <w:r w:rsidRPr="009031EF">
                          <w:rPr>
                            <w:rFonts w:ascii="Helvetica" w:eastAsia="Times New Roman" w:hAnsi="Helvetica" w:cs="Helvetica"/>
                            <w:sz w:val="23"/>
                            <w:szCs w:val="23"/>
                            <w:lang w:eastAsia="en-GB"/>
                          </w:rPr>
                          <w:t>experts</w:t>
                        </w:r>
                        <w:proofErr w:type="gramEnd"/>
                        <w:r w:rsidRPr="009031EF">
                          <w:rPr>
                            <w:rFonts w:ascii="Helvetica" w:eastAsia="Times New Roman" w:hAnsi="Helvetica" w:cs="Helvetica"/>
                            <w:sz w:val="23"/>
                            <w:szCs w:val="23"/>
                            <w:lang w:eastAsia="en-GB"/>
                          </w:rPr>
                          <w:t xml:space="preserve"> and experienced practitioners to explore way to reduce teacher and leader workload.</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The DfE is interested in speaking to school senior leadership teams to inform recommendations from the taskforce. If you are interested in sharing your perspective, please </w:t>
                        </w:r>
                        <w:hyperlink r:id="rId13" w:history="1">
                          <w:r w:rsidRPr="009031EF">
                            <w:rPr>
                              <w:rFonts w:ascii="Helvetica" w:eastAsia="Times New Roman" w:hAnsi="Helvetica" w:cs="Helvetica"/>
                              <w:color w:val="1D5782"/>
                              <w:sz w:val="23"/>
                              <w:szCs w:val="23"/>
                              <w:u w:val="single"/>
                              <w:lang w:eastAsia="en-GB"/>
                            </w:rPr>
                            <w:t>fill in this sign up form</w:t>
                          </w:r>
                        </w:hyperlink>
                        <w:r w:rsidRPr="009031EF">
                          <w:rPr>
                            <w:rFonts w:ascii="Helvetica" w:eastAsia="Times New Roman" w:hAnsi="Helvetica" w:cs="Helvetica"/>
                            <w:sz w:val="23"/>
                            <w:szCs w:val="23"/>
                            <w:lang w:eastAsia="en-GB"/>
                          </w:rPr>
                          <w:t> and a researcher will be in touch.</w:t>
                        </w:r>
                      </w:p>
                    </w:tc>
                  </w:tr>
                </w:tbl>
                <w:p w14:paraId="6914404F" w14:textId="77777777" w:rsidR="009031EF" w:rsidRPr="009031EF" w:rsidRDefault="009031EF" w:rsidP="009031EF">
                  <w:pPr>
                    <w:spacing w:before="240" w:after="225" w:line="240" w:lineRule="auto"/>
                    <w:rPr>
                      <w:rFonts w:ascii="Helvetica" w:eastAsia="Times New Roman" w:hAnsi="Helvetica" w:cs="Helvetica"/>
                      <w:sz w:val="23"/>
                      <w:szCs w:val="23"/>
                      <w:lang w:eastAsia="en-GB"/>
                    </w:rPr>
                  </w:pPr>
                  <w:r w:rsidRPr="009031EF">
                    <w:rPr>
                      <w:rFonts w:ascii="Helvetica" w:eastAsia="Times New Roman" w:hAnsi="Helvetica" w:cs="Helvetica"/>
                      <w:b/>
                      <w:bCs/>
                      <w:sz w:val="23"/>
                      <w:szCs w:val="23"/>
                      <w:lang w:eastAsia="en-GB"/>
                    </w:rPr>
                    <w:t xml:space="preserve">Action for schools: Schools Commercial autumn term webinars and regional roundtables open for </w:t>
                  </w:r>
                  <w:proofErr w:type="gramStart"/>
                  <w:r w:rsidRPr="009031EF">
                    <w:rPr>
                      <w:rFonts w:ascii="Helvetica" w:eastAsia="Times New Roman" w:hAnsi="Helvetica" w:cs="Helvetica"/>
                      <w:b/>
                      <w:bCs/>
                      <w:sz w:val="23"/>
                      <w:szCs w:val="23"/>
                      <w:lang w:eastAsia="en-GB"/>
                    </w:rPr>
                    <w:t>booking</w:t>
                  </w:r>
                  <w:proofErr w:type="gramEnd"/>
                </w:p>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21D7365A" w14:textId="77777777">
                    <w:trPr>
                      <w:jc w:val="center"/>
                    </w:trPr>
                    <w:tc>
                      <w:tcPr>
                        <w:tcW w:w="5000" w:type="pct"/>
                        <w:vAlign w:val="center"/>
                        <w:hideMark/>
                      </w:tcPr>
                      <w:p w14:paraId="4FB9B164" w14:textId="4F06DFD9"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The Schools Commercial Team is hosting free webinars this term to help those who buy for schools save time, buy compliantly, and get great value. View the </w:t>
                        </w:r>
                        <w:hyperlink r:id="rId14" w:history="1">
                          <w:r w:rsidRPr="009031EF">
                            <w:rPr>
                              <w:rFonts w:ascii="Helvetica" w:eastAsia="Times New Roman" w:hAnsi="Helvetica" w:cs="Helvetica"/>
                              <w:color w:val="1D5782"/>
                              <w:sz w:val="23"/>
                              <w:szCs w:val="23"/>
                              <w:u w:val="single"/>
                              <w:lang w:eastAsia="en-GB"/>
                            </w:rPr>
                            <w:t>full schedule and register</w:t>
                          </w:r>
                        </w:hyperlink>
                        <w:r w:rsidRPr="009031EF">
                          <w:rPr>
                            <w:rFonts w:ascii="Helvetica" w:eastAsia="Times New Roman" w:hAnsi="Helvetica" w:cs="Helvetica"/>
                            <w:sz w:val="23"/>
                            <w:szCs w:val="23"/>
                            <w:lang w:eastAsia="en-GB"/>
                          </w:rPr>
                          <w:t> to attend.</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If you would like to join other School Business Professionals from across your region to network, share your procurement issues and priorities, and find out more about the free procurement support available from the DfE, you can register to attend one of our upcoming regional roundtables.</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The roundtables are free to attend, and locations have now been confirmed for the autumn term. </w:t>
                        </w:r>
                        <w:hyperlink r:id="rId15" w:history="1">
                          <w:r w:rsidRPr="009031EF">
                            <w:rPr>
                              <w:rFonts w:ascii="Helvetica" w:eastAsia="Times New Roman" w:hAnsi="Helvetica" w:cs="Helvetica"/>
                              <w:color w:val="1D5782"/>
                              <w:sz w:val="23"/>
                              <w:szCs w:val="23"/>
                              <w:u w:val="single"/>
                              <w:lang w:eastAsia="en-GB"/>
                            </w:rPr>
                            <w:t>Register now.</w:t>
                          </w:r>
                        </w:hyperlink>
                      </w:p>
                    </w:tc>
                  </w:tr>
                </w:tbl>
                <w:p w14:paraId="584CD92F" w14:textId="77777777" w:rsidR="009031EF" w:rsidRPr="009031EF" w:rsidRDefault="009031EF" w:rsidP="009031EF">
                  <w:pPr>
                    <w:spacing w:before="240" w:after="225" w:line="240" w:lineRule="auto"/>
                    <w:rPr>
                      <w:rFonts w:ascii="Helvetica" w:eastAsia="Times New Roman" w:hAnsi="Helvetica" w:cs="Helvetica"/>
                      <w:sz w:val="23"/>
                      <w:szCs w:val="23"/>
                      <w:lang w:eastAsia="en-GB"/>
                    </w:rPr>
                  </w:pPr>
                  <w:r w:rsidRPr="009031EF">
                    <w:rPr>
                      <w:rFonts w:ascii="Helvetica" w:eastAsia="Times New Roman" w:hAnsi="Helvetica" w:cs="Helvetica"/>
                      <w:b/>
                      <w:bCs/>
                      <w:sz w:val="23"/>
                      <w:szCs w:val="23"/>
                      <w:lang w:eastAsia="en-GB"/>
                    </w:rPr>
                    <w:t xml:space="preserve">Action for schools and local authorities: Access the monitor your school attendance </w:t>
                  </w:r>
                  <w:proofErr w:type="gramStart"/>
                  <w:r w:rsidRPr="009031EF">
                    <w:rPr>
                      <w:rFonts w:ascii="Helvetica" w:eastAsia="Times New Roman" w:hAnsi="Helvetica" w:cs="Helvetica"/>
                      <w:b/>
                      <w:bCs/>
                      <w:sz w:val="23"/>
                      <w:szCs w:val="23"/>
                      <w:lang w:eastAsia="en-GB"/>
                    </w:rPr>
                    <w:t>tool</w:t>
                  </w:r>
                  <w:proofErr w:type="gramEnd"/>
                </w:p>
                <w:p w14:paraId="73D5B043" w14:textId="2AF704D4" w:rsidR="009031EF" w:rsidRPr="009031EF" w:rsidRDefault="009031EF" w:rsidP="009031EF">
                  <w:pPr>
                    <w:spacing w:after="225" w:line="240" w:lineRule="auto"/>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85% of schools are </w:t>
                  </w:r>
                  <w:hyperlink r:id="rId16" w:history="1">
                    <w:r w:rsidRPr="009031EF">
                      <w:rPr>
                        <w:rFonts w:ascii="Helvetica" w:eastAsia="Times New Roman" w:hAnsi="Helvetica" w:cs="Helvetica"/>
                        <w:color w:val="1D5782"/>
                        <w:sz w:val="23"/>
                        <w:szCs w:val="23"/>
                        <w:u w:val="single"/>
                        <w:lang w:eastAsia="en-GB"/>
                      </w:rPr>
                      <w:t>sharing daily attendance data with DfE</w:t>
                    </w:r>
                  </w:hyperlink>
                  <w:r w:rsidRPr="009031EF">
                    <w:rPr>
                      <w:rFonts w:ascii="Helvetica" w:eastAsia="Times New Roman" w:hAnsi="Helvetica" w:cs="Helvetica"/>
                      <w:sz w:val="23"/>
                      <w:szCs w:val="23"/>
                      <w:lang w:eastAsia="en-GB"/>
                    </w:rPr>
                    <w:t>. Schools, local authorities and trusts get </w:t>
                  </w:r>
                  <w:hyperlink r:id="rId17" w:history="1">
                    <w:r w:rsidRPr="009031EF">
                      <w:rPr>
                        <w:rFonts w:ascii="Helvetica" w:eastAsia="Times New Roman" w:hAnsi="Helvetica" w:cs="Helvetica"/>
                        <w:color w:val="1D5782"/>
                        <w:sz w:val="23"/>
                        <w:szCs w:val="23"/>
                        <w:u w:val="single"/>
                        <w:lang w:eastAsia="en-GB"/>
                      </w:rPr>
                      <w:t>access to the Monitor your school attendance tool</w:t>
                    </w:r>
                  </w:hyperlink>
                  <w:r w:rsidRPr="009031EF">
                    <w:rPr>
                      <w:rFonts w:ascii="Helvetica" w:eastAsia="Times New Roman" w:hAnsi="Helvetica" w:cs="Helvetica"/>
                      <w:sz w:val="23"/>
                      <w:szCs w:val="23"/>
                      <w:lang w:eastAsia="en-GB"/>
                    </w:rPr>
                    <w:t>.</w:t>
                  </w:r>
                  <w:r>
                    <w:rPr>
                      <w:rFonts w:ascii="Helvetica" w:eastAsia="Times New Roman" w:hAnsi="Helvetica" w:cs="Helvetica"/>
                      <w:sz w:val="23"/>
                      <w:szCs w:val="23"/>
                      <w:lang w:eastAsia="en-GB"/>
                    </w:rPr>
                    <w:t xml:space="preserve"> </w:t>
                  </w:r>
                  <w:hyperlink r:id="rId18" w:history="1">
                    <w:r w:rsidRPr="009031EF">
                      <w:rPr>
                        <w:rFonts w:ascii="Helvetica" w:eastAsia="Times New Roman" w:hAnsi="Helvetica" w:cs="Helvetica"/>
                        <w:color w:val="1D5782"/>
                        <w:sz w:val="23"/>
                        <w:szCs w:val="23"/>
                        <w:u w:val="single"/>
                        <w:lang w:eastAsia="en-GB"/>
                      </w:rPr>
                      <w:t>Analysis of daily attendance data</w:t>
                    </w:r>
                  </w:hyperlink>
                  <w:r w:rsidRPr="009031EF">
                    <w:rPr>
                      <w:rFonts w:ascii="Helvetica" w:eastAsia="Times New Roman" w:hAnsi="Helvetica" w:cs="Helvetica"/>
                      <w:sz w:val="23"/>
                      <w:szCs w:val="23"/>
                      <w:lang w:eastAsia="en-GB"/>
                    </w:rPr>
                    <w:t> shows that 55.5% of pupils absent in the first week of term go on to be persistently absent.</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We’ve been improving the Monitor your school attendance tool to help you identify pupils that need support early.</w:t>
                  </w:r>
                </w:p>
                <w:p w14:paraId="67D7FFDC" w14:textId="77777777" w:rsidR="009031EF" w:rsidRPr="009031EF" w:rsidRDefault="009031EF" w:rsidP="009031EF">
                  <w:pPr>
                    <w:spacing w:after="225" w:line="240" w:lineRule="auto"/>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What’s new?</w:t>
                  </w:r>
                </w:p>
                <w:p w14:paraId="647F8F22" w14:textId="77777777" w:rsidR="009031EF" w:rsidRPr="009031EF" w:rsidRDefault="009031EF" w:rsidP="009031EF">
                  <w:pPr>
                    <w:numPr>
                      <w:ilvl w:val="0"/>
                      <w:numId w:val="1"/>
                    </w:numPr>
                    <w:spacing w:after="0" w:line="240" w:lineRule="auto"/>
                    <w:ind w:left="1440"/>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indicators for termly trends in attendance</w:t>
                  </w:r>
                </w:p>
                <w:p w14:paraId="0CA300FE" w14:textId="77777777" w:rsidR="009031EF" w:rsidRPr="009031EF" w:rsidRDefault="009031EF" w:rsidP="009031EF">
                  <w:pPr>
                    <w:numPr>
                      <w:ilvl w:val="0"/>
                      <w:numId w:val="1"/>
                    </w:numPr>
                    <w:spacing w:after="0" w:line="240" w:lineRule="auto"/>
                    <w:ind w:left="1440"/>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data visualisations for quick trend insight</w:t>
                  </w:r>
                </w:p>
                <w:p w14:paraId="6469CA7E" w14:textId="77777777" w:rsidR="009031EF" w:rsidRPr="009031EF" w:rsidRDefault="009031EF" w:rsidP="009031EF">
                  <w:pPr>
                    <w:numPr>
                      <w:ilvl w:val="0"/>
                      <w:numId w:val="1"/>
                    </w:numPr>
                    <w:spacing w:after="0" w:line="240" w:lineRule="auto"/>
                    <w:ind w:left="1440"/>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weekly view of a pupil attendance</w:t>
                  </w:r>
                </w:p>
                <w:p w14:paraId="498A22C8" w14:textId="77777777" w:rsidR="009031EF" w:rsidRPr="009031EF" w:rsidRDefault="009031EF" w:rsidP="009031EF">
                  <w:pPr>
                    <w:numPr>
                      <w:ilvl w:val="0"/>
                      <w:numId w:val="1"/>
                    </w:numPr>
                    <w:spacing w:after="0" w:line="240" w:lineRule="auto"/>
                    <w:ind w:left="1440"/>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pupil attendance codes from the start of the academic year improved loading times</w:t>
                  </w:r>
                </w:p>
                <w:p w14:paraId="536538C8" w14:textId="77777777" w:rsidR="009031EF" w:rsidRPr="009031EF" w:rsidRDefault="009031EF" w:rsidP="009031EF">
                  <w:pPr>
                    <w:numPr>
                      <w:ilvl w:val="0"/>
                      <w:numId w:val="1"/>
                    </w:numPr>
                    <w:spacing w:after="225" w:line="240" w:lineRule="auto"/>
                    <w:ind w:left="1440"/>
                    <w:rPr>
                      <w:rFonts w:ascii="Helvetica" w:eastAsia="Times New Roman" w:hAnsi="Helvetica" w:cs="Helvetica"/>
                      <w:sz w:val="23"/>
                      <w:szCs w:val="23"/>
                      <w:lang w:eastAsia="en-GB"/>
                    </w:rPr>
                  </w:pPr>
                  <w:r w:rsidRPr="009031EF">
                    <w:rPr>
                      <w:rFonts w:ascii="Helvetica" w:eastAsia="Times New Roman" w:hAnsi="Helvetica" w:cs="Helvetica"/>
                      <w:sz w:val="23"/>
                      <w:szCs w:val="23"/>
                      <w:lang w:eastAsia="en-GB"/>
                    </w:rPr>
                    <w:t xml:space="preserve">fixes to some data quality </w:t>
                  </w:r>
                  <w:proofErr w:type="gramStart"/>
                  <w:r w:rsidRPr="009031EF">
                    <w:rPr>
                      <w:rFonts w:ascii="Helvetica" w:eastAsia="Times New Roman" w:hAnsi="Helvetica" w:cs="Helvetica"/>
                      <w:sz w:val="23"/>
                      <w:szCs w:val="23"/>
                      <w:lang w:eastAsia="en-GB"/>
                    </w:rPr>
                    <w:t>issues</w:t>
                  </w:r>
                  <w:proofErr w:type="gramEnd"/>
                </w:p>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3F7AB369" w14:textId="77777777">
                    <w:trPr>
                      <w:jc w:val="center"/>
                    </w:trPr>
                    <w:tc>
                      <w:tcPr>
                        <w:tcW w:w="5000" w:type="pct"/>
                        <w:vAlign w:val="center"/>
                        <w:hideMark/>
                      </w:tcPr>
                      <w:p w14:paraId="54FB15A8" w14:textId="2CEBADB1"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We want to hear about your experience of using your attendance data. </w:t>
                        </w:r>
                        <w:hyperlink r:id="rId19" w:history="1">
                          <w:r w:rsidRPr="009031EF">
                            <w:rPr>
                              <w:rFonts w:ascii="Helvetica" w:eastAsia="Times New Roman" w:hAnsi="Helvetica" w:cs="Helvetica"/>
                              <w:color w:val="1D5782"/>
                              <w:sz w:val="23"/>
                              <w:szCs w:val="23"/>
                              <w:u w:val="single"/>
                              <w:lang w:eastAsia="en-GB"/>
                            </w:rPr>
                            <w:t>Sign up to take part in a research project</w:t>
                          </w:r>
                        </w:hyperlink>
                        <w:r w:rsidRPr="009031EF">
                          <w:rPr>
                            <w:rFonts w:ascii="Helvetica" w:eastAsia="Times New Roman" w:hAnsi="Helvetica" w:cs="Helvetica"/>
                            <w:sz w:val="23"/>
                            <w:szCs w:val="23"/>
                            <w:lang w:eastAsia="en-GB"/>
                          </w:rPr>
                          <w:t>.</w:t>
                        </w:r>
                      </w:p>
                    </w:tc>
                  </w:tr>
                </w:tbl>
                <w:p w14:paraId="59053BE3" w14:textId="77777777" w:rsidR="009031EF" w:rsidRDefault="009031EF" w:rsidP="009031EF">
                  <w:pPr>
                    <w:spacing w:before="240" w:after="225" w:line="240" w:lineRule="auto"/>
                    <w:rPr>
                      <w:rFonts w:ascii="Helvetica" w:eastAsia="Times New Roman" w:hAnsi="Helvetica" w:cs="Helvetica"/>
                      <w:b/>
                      <w:bCs/>
                      <w:sz w:val="23"/>
                      <w:szCs w:val="23"/>
                      <w:lang w:eastAsia="en-GB"/>
                    </w:rPr>
                  </w:pPr>
                </w:p>
                <w:p w14:paraId="614193C4" w14:textId="3C425D62" w:rsidR="009031EF" w:rsidRPr="009031EF" w:rsidRDefault="009031EF" w:rsidP="009031EF">
                  <w:pPr>
                    <w:spacing w:before="240" w:after="225" w:line="240" w:lineRule="auto"/>
                    <w:rPr>
                      <w:rFonts w:ascii="Helvetica" w:eastAsia="Times New Roman" w:hAnsi="Helvetica" w:cs="Helvetica"/>
                      <w:sz w:val="23"/>
                      <w:szCs w:val="23"/>
                      <w:lang w:eastAsia="en-GB"/>
                    </w:rPr>
                  </w:pPr>
                  <w:r w:rsidRPr="009031EF">
                    <w:rPr>
                      <w:rFonts w:ascii="Helvetica" w:eastAsia="Times New Roman" w:hAnsi="Helvetica" w:cs="Helvetica"/>
                      <w:b/>
                      <w:bCs/>
                      <w:sz w:val="23"/>
                      <w:szCs w:val="23"/>
                      <w:lang w:eastAsia="en-GB"/>
                    </w:rPr>
                    <w:t xml:space="preserve">Action for early years settings and schools with reception schools: Take part in the Early Years Foundation Stage assessment support </w:t>
                  </w:r>
                  <w:proofErr w:type="gramStart"/>
                  <w:r w:rsidRPr="009031EF">
                    <w:rPr>
                      <w:rFonts w:ascii="Helvetica" w:eastAsia="Times New Roman" w:hAnsi="Helvetica" w:cs="Helvetica"/>
                      <w:b/>
                      <w:bCs/>
                      <w:sz w:val="23"/>
                      <w:szCs w:val="23"/>
                      <w:lang w:eastAsia="en-GB"/>
                    </w:rPr>
                    <w:t>survey</w:t>
                  </w:r>
                  <w:proofErr w:type="gramEnd"/>
                </w:p>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7B47620B" w14:textId="77777777">
                    <w:trPr>
                      <w:jc w:val="center"/>
                    </w:trPr>
                    <w:tc>
                      <w:tcPr>
                        <w:tcW w:w="5000" w:type="pct"/>
                        <w:vAlign w:val="center"/>
                        <w:hideMark/>
                      </w:tcPr>
                      <w:p w14:paraId="1D23A396" w14:textId="332E68F1"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The Department for Education has launched a short survey to seek the views of early years practitioners, teachers and school and setting leaders on assessment in the Early Years Foundation Stage (EYFS). Feedback from the sector will help ascertain what support, if any, would be beneficial for supporting effective assessment in the EYFS.</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If you work in the early years, please take the time to fill in this short, anonymous survey: </w:t>
                        </w:r>
                        <w:hyperlink r:id="rId20" w:history="1">
                          <w:r w:rsidRPr="009031EF">
                            <w:rPr>
                              <w:rFonts w:ascii="Helvetica" w:eastAsia="Times New Roman" w:hAnsi="Helvetica" w:cs="Helvetica"/>
                              <w:color w:val="1D5782"/>
                              <w:sz w:val="23"/>
                              <w:szCs w:val="23"/>
                              <w:u w:val="single"/>
                              <w:lang w:eastAsia="en-GB"/>
                            </w:rPr>
                            <w:t>Early Years Foundation Stage (EYFS) assessment support survey</w:t>
                          </w:r>
                        </w:hyperlink>
                        <w:r w:rsidRPr="009031EF">
                          <w:rPr>
                            <w:rFonts w:ascii="Helvetica" w:eastAsia="Times New Roman" w:hAnsi="Helvetica" w:cs="Helvetica"/>
                            <w:sz w:val="23"/>
                            <w:szCs w:val="23"/>
                            <w:lang w:eastAsia="en-GB"/>
                          </w:rPr>
                          <w:t>. Have your say by Tuesday 3</w:t>
                        </w:r>
                        <w:r w:rsidRPr="009031EF">
                          <w:rPr>
                            <w:rFonts w:ascii="Helvetica" w:eastAsia="Times New Roman" w:hAnsi="Helvetica" w:cs="Helvetica"/>
                            <w:sz w:val="17"/>
                            <w:szCs w:val="17"/>
                            <w:vertAlign w:val="superscript"/>
                            <w:lang w:eastAsia="en-GB"/>
                          </w:rPr>
                          <w:t>rd</w:t>
                        </w:r>
                        <w:r w:rsidRPr="009031EF">
                          <w:rPr>
                            <w:rFonts w:ascii="Helvetica" w:eastAsia="Times New Roman" w:hAnsi="Helvetica" w:cs="Helvetica"/>
                            <w:sz w:val="23"/>
                            <w:szCs w:val="23"/>
                            <w:lang w:eastAsia="en-GB"/>
                          </w:rPr>
                          <w:t> October.</w:t>
                        </w:r>
                        <w:r>
                          <w:rPr>
                            <w:rFonts w:ascii="Helvetica" w:eastAsia="Times New Roman" w:hAnsi="Helvetica" w:cs="Helvetica"/>
                            <w:sz w:val="23"/>
                            <w:szCs w:val="23"/>
                            <w:lang w:eastAsia="en-GB"/>
                          </w:rPr>
                          <w:t xml:space="preserve"> </w:t>
                        </w:r>
                      </w:p>
                    </w:tc>
                  </w:tr>
                </w:tbl>
                <w:p w14:paraId="7C8934CE" w14:textId="77777777" w:rsidR="009031EF" w:rsidRPr="009031EF" w:rsidRDefault="009031EF" w:rsidP="009031EF">
                  <w:pPr>
                    <w:spacing w:after="0" w:line="240" w:lineRule="auto"/>
                    <w:rPr>
                      <w:rFonts w:ascii="Times New Roman" w:eastAsia="Times New Roman" w:hAnsi="Times New Roman" w:cs="Times New Roman"/>
                      <w:sz w:val="24"/>
                      <w:szCs w:val="24"/>
                      <w:lang w:eastAsia="en-GB"/>
                    </w:rPr>
                  </w:pPr>
                </w:p>
              </w:tc>
            </w:tr>
          </w:tbl>
          <w:p w14:paraId="5D3E9C7B" w14:textId="77777777" w:rsidR="009031EF" w:rsidRPr="009031EF" w:rsidRDefault="009031EF" w:rsidP="009031EF">
            <w:pPr>
              <w:spacing w:after="0" w:line="240" w:lineRule="auto"/>
              <w:jc w:val="center"/>
              <w:textAlignment w:val="top"/>
              <w:rPr>
                <w:rFonts w:ascii="Times New Roman" w:eastAsia="Times New Roman" w:hAnsi="Times New Roman" w:cs="Times New Roman"/>
                <w:sz w:val="24"/>
                <w:szCs w:val="24"/>
                <w:lang w:eastAsia="en-GB"/>
              </w:rPr>
            </w:pPr>
          </w:p>
        </w:tc>
      </w:tr>
      <w:tr w:rsidR="009031EF" w:rsidRPr="009031EF" w14:paraId="2B64016D" w14:textId="77777777" w:rsidTr="009031E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9031EF" w:rsidRPr="009031EF" w14:paraId="34BC68E9" w14:textId="77777777" w:rsidTr="009031EF">
              <w:trPr>
                <w:jc w:val="center"/>
              </w:trPr>
              <w:tc>
                <w:tcPr>
                  <w:tcW w:w="0" w:type="auto"/>
                  <w:tcMar>
                    <w:top w:w="225" w:type="dxa"/>
                    <w:left w:w="225" w:type="dxa"/>
                    <w:bottom w:w="225" w:type="dxa"/>
                    <w:right w:w="225" w:type="dxa"/>
                  </w:tcMar>
                  <w:vAlign w:val="center"/>
                  <w:hideMark/>
                </w:tcPr>
                <w:p w14:paraId="1297C007" w14:textId="77777777" w:rsidR="009031EF" w:rsidRPr="009031EF" w:rsidRDefault="009031EF" w:rsidP="009031EF">
                  <w:pPr>
                    <w:spacing w:after="225" w:line="240" w:lineRule="auto"/>
                    <w:rPr>
                      <w:rFonts w:ascii="Helvetica" w:eastAsia="Times New Roman" w:hAnsi="Helvetica" w:cs="Helvetica"/>
                      <w:sz w:val="23"/>
                      <w:szCs w:val="23"/>
                      <w:lang w:eastAsia="en-GB"/>
                    </w:rPr>
                  </w:pPr>
                  <w:r w:rsidRPr="009031EF">
                    <w:rPr>
                      <w:rFonts w:ascii="Helvetica" w:eastAsia="Times New Roman" w:hAnsi="Helvetica" w:cs="Helvetica"/>
                      <w:b/>
                      <w:bCs/>
                      <w:sz w:val="23"/>
                      <w:szCs w:val="23"/>
                      <w:lang w:eastAsia="en-GB"/>
                    </w:rPr>
                    <w:lastRenderedPageBreak/>
                    <w:t xml:space="preserve">Information for all education settings: Prevent duty guidance has been </w:t>
                  </w:r>
                  <w:proofErr w:type="gramStart"/>
                  <w:r w:rsidRPr="009031EF">
                    <w:rPr>
                      <w:rFonts w:ascii="Helvetica" w:eastAsia="Times New Roman" w:hAnsi="Helvetica" w:cs="Helvetica"/>
                      <w:b/>
                      <w:bCs/>
                      <w:sz w:val="23"/>
                      <w:szCs w:val="23"/>
                      <w:lang w:eastAsia="en-GB"/>
                    </w:rPr>
                    <w:t>updated</w:t>
                  </w:r>
                  <w:proofErr w:type="gramEnd"/>
                </w:p>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380890FB" w14:textId="77777777">
                    <w:trPr>
                      <w:jc w:val="center"/>
                    </w:trPr>
                    <w:tc>
                      <w:tcPr>
                        <w:tcW w:w="5000" w:type="pct"/>
                        <w:vAlign w:val="center"/>
                        <w:hideMark/>
                      </w:tcPr>
                      <w:p w14:paraId="41E2E218" w14:textId="2C886770"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r w:rsidRPr="009031EF">
                          <w:rPr>
                            <w:rFonts w:ascii="Helvetica" w:eastAsia="Times New Roman" w:hAnsi="Helvetica" w:cs="Helvetica"/>
                            <w:sz w:val="23"/>
                            <w:szCs w:val="23"/>
                            <w:lang w:eastAsia="en-GB"/>
                          </w:rPr>
                          <w:t>The </w:t>
                        </w:r>
                        <w:hyperlink r:id="rId21" w:history="1">
                          <w:r w:rsidRPr="009031EF">
                            <w:rPr>
                              <w:rFonts w:ascii="Helvetica" w:eastAsia="Times New Roman" w:hAnsi="Helvetica" w:cs="Helvetica"/>
                              <w:color w:val="1D5782"/>
                              <w:sz w:val="23"/>
                              <w:szCs w:val="23"/>
                              <w:u w:val="single"/>
                              <w:lang w:eastAsia="en-GB"/>
                            </w:rPr>
                            <w:t>Prevent duty guidance</w:t>
                          </w:r>
                        </w:hyperlink>
                        <w:r w:rsidRPr="009031EF">
                          <w:rPr>
                            <w:rFonts w:ascii="Helvetica" w:eastAsia="Times New Roman" w:hAnsi="Helvetica" w:cs="Helvetica"/>
                            <w:sz w:val="23"/>
                            <w:szCs w:val="23"/>
                            <w:lang w:eastAsia="en-GB"/>
                          </w:rPr>
                          <w:t> has been updated to reflect several recommendations of the </w:t>
                        </w:r>
                        <w:hyperlink r:id="rId22" w:history="1">
                          <w:r w:rsidRPr="009031EF">
                            <w:rPr>
                              <w:rFonts w:ascii="Helvetica" w:eastAsia="Times New Roman" w:hAnsi="Helvetica" w:cs="Helvetica"/>
                              <w:color w:val="1D5782"/>
                              <w:sz w:val="23"/>
                              <w:szCs w:val="23"/>
                              <w:u w:val="single"/>
                              <w:lang w:eastAsia="en-GB"/>
                            </w:rPr>
                            <w:t>Independent Review of Prevent</w:t>
                          </w:r>
                        </w:hyperlink>
                        <w:r w:rsidRPr="009031EF">
                          <w:rPr>
                            <w:rFonts w:ascii="Helvetica" w:eastAsia="Times New Roman" w:hAnsi="Helvetica" w:cs="Helvetica"/>
                            <w:sz w:val="23"/>
                            <w:szCs w:val="23"/>
                            <w:lang w:eastAsia="en-GB"/>
                          </w:rPr>
                          <w:t>. This includes changes to the guidance for education settings.</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There are no new legal requirements or responsibilities for education settings and changes are not anticipated to come into effect until 31</w:t>
                        </w:r>
                        <w:r w:rsidRPr="009031EF">
                          <w:rPr>
                            <w:rFonts w:ascii="Helvetica" w:eastAsia="Times New Roman" w:hAnsi="Helvetica" w:cs="Helvetica"/>
                            <w:sz w:val="17"/>
                            <w:szCs w:val="17"/>
                            <w:vertAlign w:val="superscript"/>
                            <w:lang w:eastAsia="en-GB"/>
                          </w:rPr>
                          <w:t>st</w:t>
                        </w:r>
                        <w:r w:rsidRPr="009031EF">
                          <w:rPr>
                            <w:rFonts w:ascii="Helvetica" w:eastAsia="Times New Roman" w:hAnsi="Helvetica" w:cs="Helvetica"/>
                            <w:sz w:val="23"/>
                            <w:szCs w:val="23"/>
                            <w:lang w:eastAsia="en-GB"/>
                          </w:rPr>
                          <w:t> December 2023, at the earliest.</w:t>
                        </w:r>
                        <w:r>
                          <w:rPr>
                            <w:rFonts w:ascii="Helvetica" w:eastAsia="Times New Roman" w:hAnsi="Helvetica" w:cs="Helvetica"/>
                            <w:sz w:val="23"/>
                            <w:szCs w:val="23"/>
                            <w:lang w:eastAsia="en-GB"/>
                          </w:rPr>
                          <w:t xml:space="preserve"> </w:t>
                        </w:r>
                        <w:hyperlink r:id="rId23" w:history="1">
                          <w:r w:rsidRPr="009031EF">
                            <w:rPr>
                              <w:rFonts w:ascii="Helvetica" w:eastAsia="Times New Roman" w:hAnsi="Helvetica" w:cs="Helvetica"/>
                              <w:color w:val="1D5782"/>
                              <w:sz w:val="23"/>
                              <w:szCs w:val="23"/>
                              <w:u w:val="single"/>
                              <w:lang w:eastAsia="en-GB"/>
                            </w:rPr>
                            <w:t>Read more about the key changes, how they affect different phases of education and what support is available</w:t>
                          </w:r>
                        </w:hyperlink>
                        <w:r w:rsidRPr="009031EF">
                          <w:rPr>
                            <w:rFonts w:ascii="Helvetica" w:eastAsia="Times New Roman" w:hAnsi="Helvetica" w:cs="Helvetica"/>
                            <w:sz w:val="23"/>
                            <w:szCs w:val="23"/>
                            <w:lang w:eastAsia="en-GB"/>
                          </w:rPr>
                          <w:t>.</w:t>
                        </w:r>
                      </w:p>
                    </w:tc>
                  </w:tr>
                </w:tbl>
                <w:p w14:paraId="3BAEB3FE" w14:textId="77777777" w:rsidR="009031EF" w:rsidRPr="009031EF" w:rsidRDefault="009031EF" w:rsidP="009031EF">
                  <w:pPr>
                    <w:spacing w:before="240" w:after="225" w:line="240" w:lineRule="auto"/>
                    <w:rPr>
                      <w:rFonts w:ascii="Helvetica" w:eastAsia="Times New Roman" w:hAnsi="Helvetica" w:cs="Helvetica"/>
                      <w:sz w:val="23"/>
                      <w:szCs w:val="23"/>
                      <w:lang w:eastAsia="en-GB"/>
                    </w:rPr>
                  </w:pPr>
                  <w:r w:rsidRPr="009031EF">
                    <w:rPr>
                      <w:rFonts w:ascii="Helvetica" w:eastAsia="Times New Roman" w:hAnsi="Helvetica" w:cs="Helvetica"/>
                      <w:b/>
                      <w:bCs/>
                      <w:sz w:val="23"/>
                      <w:szCs w:val="23"/>
                      <w:lang w:eastAsia="en-GB"/>
                    </w:rPr>
                    <w:t xml:space="preserve">Information for schools: teach the facts about tax with HM Revenue and Customs’ free, interactive </w:t>
                  </w:r>
                  <w:proofErr w:type="gramStart"/>
                  <w:r w:rsidRPr="009031EF">
                    <w:rPr>
                      <w:rFonts w:ascii="Helvetica" w:eastAsia="Times New Roman" w:hAnsi="Helvetica" w:cs="Helvetica"/>
                      <w:b/>
                      <w:bCs/>
                      <w:sz w:val="23"/>
                      <w:szCs w:val="23"/>
                      <w:lang w:eastAsia="en-GB"/>
                    </w:rPr>
                    <w:t>lesson</w:t>
                  </w:r>
                  <w:proofErr w:type="gramEnd"/>
                </w:p>
                <w:tbl>
                  <w:tblPr>
                    <w:tblW w:w="5000" w:type="pct"/>
                    <w:jc w:val="center"/>
                    <w:tblCellMar>
                      <w:left w:w="0" w:type="dxa"/>
                      <w:right w:w="0" w:type="dxa"/>
                    </w:tblCellMar>
                    <w:tblLook w:val="04A0" w:firstRow="1" w:lastRow="0" w:firstColumn="1" w:lastColumn="0" w:noHBand="0" w:noVBand="1"/>
                  </w:tblPr>
                  <w:tblGrid>
                    <w:gridCol w:w="8550"/>
                  </w:tblGrid>
                  <w:tr w:rsidR="009031EF" w:rsidRPr="009031EF" w14:paraId="6EF5FB10" w14:textId="77777777">
                    <w:trPr>
                      <w:jc w:val="center"/>
                    </w:trPr>
                    <w:tc>
                      <w:tcPr>
                        <w:tcW w:w="5000" w:type="pct"/>
                        <w:vAlign w:val="center"/>
                        <w:hideMark/>
                      </w:tcPr>
                      <w:p w14:paraId="0C428506" w14:textId="4A74A938" w:rsidR="009031EF" w:rsidRPr="009031EF" w:rsidRDefault="009031EF" w:rsidP="009031EF">
                        <w:pPr>
                          <w:spacing w:before="240" w:after="240" w:line="240" w:lineRule="auto"/>
                          <w:rPr>
                            <w:rFonts w:ascii="Times New Roman" w:eastAsia="Times New Roman" w:hAnsi="Times New Roman" w:cs="Times New Roman"/>
                            <w:sz w:val="24"/>
                            <w:szCs w:val="24"/>
                            <w:lang w:eastAsia="en-GB"/>
                          </w:rPr>
                        </w:pPr>
                        <w:hyperlink r:id="rId24" w:tgtFrame="_blank" w:tooltip="https://eur03.safelinks.protection.outlook.com/?url=https%3a%2f%2fwww.gov.uk%2fgovernment%2fpublications%2ftax-facts-for-children-and-young-people%2ftax-facts-resources-for-teachers-and-parents%3f%26utm_source%3demail%26utm_medium%3ddfesector%26utm_campai" w:history="1">
                          <w:r w:rsidRPr="009031EF">
                            <w:rPr>
                              <w:rFonts w:ascii="Helvetica" w:eastAsia="Times New Roman" w:hAnsi="Helvetica" w:cs="Helvetica"/>
                              <w:color w:val="1D5782"/>
                              <w:sz w:val="23"/>
                              <w:szCs w:val="23"/>
                              <w:u w:val="single"/>
                              <w:lang w:eastAsia="en-GB"/>
                            </w:rPr>
                            <w:t>Tax Facts</w:t>
                          </w:r>
                        </w:hyperlink>
                        <w:r w:rsidRPr="009031EF">
                          <w:rPr>
                            <w:rFonts w:ascii="Helvetica" w:eastAsia="Times New Roman" w:hAnsi="Helvetica" w:cs="Helvetica"/>
                            <w:sz w:val="23"/>
                            <w:szCs w:val="23"/>
                            <w:lang w:eastAsia="en-GB"/>
                          </w:rPr>
                          <w:t> is an educational programme for schools that introduces students to how the UK tax system works.</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It provides free, interactive, curriculum-linked resources – including a lesson plan, classroom presentation, activity sheets and videos. There’s even the option to invite an HMRC member of staff to deliver the lesson in your school.</w:t>
                        </w:r>
                        <w:r>
                          <w:rPr>
                            <w:rFonts w:ascii="Helvetica" w:eastAsia="Times New Roman" w:hAnsi="Helvetica" w:cs="Helvetica"/>
                            <w:sz w:val="23"/>
                            <w:szCs w:val="23"/>
                            <w:lang w:eastAsia="en-GB"/>
                          </w:rPr>
                          <w:t xml:space="preserve"> </w:t>
                        </w:r>
                        <w:r w:rsidRPr="009031EF">
                          <w:rPr>
                            <w:rFonts w:ascii="Helvetica" w:eastAsia="Times New Roman" w:hAnsi="Helvetica" w:cs="Helvetica"/>
                            <w:sz w:val="23"/>
                            <w:szCs w:val="23"/>
                            <w:lang w:eastAsia="en-GB"/>
                          </w:rPr>
                          <w:t>Find out how Tax Facts helped a school prepare their students for the world of work on our </w:t>
                        </w:r>
                        <w:hyperlink r:id="rId25" w:tgtFrame="_blank" w:tooltip="https://eur03.safelinks.protection.outlook.com/?url=https%3a%2f%2fteaching.blog.gov.uk%2f2023%2f07%2f19%2fteaching-our-students-the-facts-about-tax%2f&amp;data=05%7c01%7cchrista.wild%40hmrc.gov.uk%7c8aaf9b2eaf604211c70d08dbb06d33b4%7cac52f73cfd1a4a9a8e7a4a248" w:history="1">
                          <w:r w:rsidRPr="009031EF">
                            <w:rPr>
                              <w:rFonts w:ascii="Helvetica" w:eastAsia="Times New Roman" w:hAnsi="Helvetica" w:cs="Helvetica"/>
                              <w:color w:val="1D5782"/>
                              <w:sz w:val="23"/>
                              <w:szCs w:val="23"/>
                              <w:u w:val="single"/>
                              <w:lang w:eastAsia="en-GB"/>
                            </w:rPr>
                            <w:t>Teacher Blog.</w:t>
                          </w:r>
                        </w:hyperlink>
                        <w:r w:rsidRPr="009031EF">
                          <w:rPr>
                            <w:rFonts w:ascii="Helvetica" w:eastAsia="Times New Roman" w:hAnsi="Helvetica" w:cs="Helvetica"/>
                            <w:sz w:val="23"/>
                            <w:szCs w:val="23"/>
                            <w:lang w:eastAsia="en-GB"/>
                          </w:rPr>
                          <w:t> </w:t>
                        </w:r>
                      </w:p>
                    </w:tc>
                  </w:tr>
                </w:tbl>
                <w:p w14:paraId="6DAD8461" w14:textId="77777777" w:rsidR="009031EF" w:rsidRPr="009031EF" w:rsidRDefault="009031EF" w:rsidP="009031EF">
                  <w:pPr>
                    <w:spacing w:after="0" w:line="240" w:lineRule="auto"/>
                    <w:rPr>
                      <w:rFonts w:ascii="Times New Roman" w:eastAsia="Times New Roman" w:hAnsi="Times New Roman" w:cs="Times New Roman"/>
                      <w:sz w:val="24"/>
                      <w:szCs w:val="24"/>
                      <w:lang w:eastAsia="en-GB"/>
                    </w:rPr>
                  </w:pPr>
                </w:p>
              </w:tc>
            </w:tr>
          </w:tbl>
          <w:p w14:paraId="3B118D3C" w14:textId="77777777" w:rsidR="009031EF" w:rsidRPr="009031EF" w:rsidRDefault="009031EF" w:rsidP="009031EF">
            <w:pPr>
              <w:spacing w:after="0" w:line="240" w:lineRule="auto"/>
              <w:jc w:val="center"/>
              <w:textAlignment w:val="top"/>
              <w:rPr>
                <w:rFonts w:ascii="Times New Roman" w:eastAsia="Times New Roman" w:hAnsi="Times New Roman" w:cs="Times New Roman"/>
                <w:sz w:val="24"/>
                <w:szCs w:val="24"/>
                <w:lang w:eastAsia="en-GB"/>
              </w:rPr>
            </w:pPr>
          </w:p>
        </w:tc>
      </w:tr>
      <w:tr w:rsidR="009031EF" w:rsidRPr="009031EF" w14:paraId="1BD6956E" w14:textId="77777777" w:rsidTr="009031E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9031EF" w:rsidRPr="009031EF" w14:paraId="1D375AAB" w14:textId="77777777" w:rsidTr="009031EF">
              <w:trPr>
                <w:jc w:val="center"/>
              </w:trPr>
              <w:tc>
                <w:tcPr>
                  <w:tcW w:w="0" w:type="auto"/>
                  <w:tcMar>
                    <w:top w:w="225" w:type="dxa"/>
                    <w:left w:w="225" w:type="dxa"/>
                    <w:bottom w:w="225" w:type="dxa"/>
                    <w:right w:w="225" w:type="dxa"/>
                  </w:tcMar>
                  <w:vAlign w:val="center"/>
                </w:tcPr>
                <w:p w14:paraId="60A46158" w14:textId="497C2FCB" w:rsidR="009031EF" w:rsidRPr="009031EF" w:rsidRDefault="009031EF" w:rsidP="009031EF">
                  <w:pPr>
                    <w:spacing w:after="225" w:line="240" w:lineRule="auto"/>
                    <w:rPr>
                      <w:rFonts w:ascii="Helvetica" w:eastAsia="Times New Roman" w:hAnsi="Helvetica" w:cs="Helvetica"/>
                      <w:sz w:val="23"/>
                      <w:szCs w:val="23"/>
                      <w:lang w:eastAsia="en-GB"/>
                    </w:rPr>
                  </w:pPr>
                </w:p>
              </w:tc>
            </w:tr>
          </w:tbl>
          <w:p w14:paraId="6F9E0299" w14:textId="77777777" w:rsidR="009031EF" w:rsidRPr="009031EF" w:rsidRDefault="009031EF" w:rsidP="009031EF">
            <w:pPr>
              <w:spacing w:after="0" w:line="240" w:lineRule="auto"/>
              <w:jc w:val="center"/>
              <w:textAlignment w:val="top"/>
              <w:rPr>
                <w:rFonts w:ascii="Times New Roman" w:eastAsia="Times New Roman" w:hAnsi="Times New Roman" w:cs="Times New Roman"/>
                <w:sz w:val="24"/>
                <w:szCs w:val="24"/>
                <w:lang w:eastAsia="en-GB"/>
              </w:rPr>
            </w:pPr>
          </w:p>
        </w:tc>
      </w:tr>
    </w:tbl>
    <w:p w14:paraId="28E58896" w14:textId="77777777" w:rsidR="008B0F0A" w:rsidRDefault="008B0F0A" w:rsidP="009031EF"/>
    <w:sectPr w:rsidR="008B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43F0"/>
    <w:multiLevelType w:val="multilevel"/>
    <w:tmpl w:val="07AC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508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EF"/>
    <w:rsid w:val="008B0F0A"/>
    <w:rsid w:val="0090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9F69"/>
  <w15:chartTrackingRefBased/>
  <w15:docId w15:val="{E3CBB5A1-66EE-4588-891B-667B659B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31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1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3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31EF"/>
    <w:rPr>
      <w:b/>
      <w:bCs/>
    </w:rPr>
  </w:style>
  <w:style w:type="character" w:styleId="Hyperlink">
    <w:name w:val="Hyperlink"/>
    <w:basedOn w:val="DefaultParagraphFont"/>
    <w:uiPriority w:val="99"/>
    <w:semiHidden/>
    <w:unhideWhenUsed/>
    <w:rsid w:val="00903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0572">
      <w:bodyDiv w:val="1"/>
      <w:marLeft w:val="0"/>
      <w:marRight w:val="0"/>
      <w:marTop w:val="0"/>
      <w:marBottom w:val="0"/>
      <w:divBdr>
        <w:top w:val="none" w:sz="0" w:space="0" w:color="auto"/>
        <w:left w:val="none" w:sz="0" w:space="0" w:color="auto"/>
        <w:bottom w:val="none" w:sz="0" w:space="0" w:color="auto"/>
        <w:right w:val="none" w:sz="0" w:space="0" w:color="auto"/>
      </w:divBdr>
      <w:divsChild>
        <w:div w:id="1699306352">
          <w:marLeft w:val="0"/>
          <w:marRight w:val="0"/>
          <w:marTop w:val="0"/>
          <w:marBottom w:val="0"/>
          <w:divBdr>
            <w:top w:val="none" w:sz="0" w:space="0" w:color="auto"/>
            <w:left w:val="none" w:sz="0" w:space="0" w:color="auto"/>
            <w:bottom w:val="none" w:sz="0" w:space="0" w:color="auto"/>
            <w:right w:val="none" w:sz="0" w:space="0" w:color="auto"/>
          </w:divBdr>
        </w:div>
        <w:div w:id="984626789">
          <w:marLeft w:val="0"/>
          <w:marRight w:val="0"/>
          <w:marTop w:val="0"/>
          <w:marBottom w:val="0"/>
          <w:divBdr>
            <w:top w:val="none" w:sz="0" w:space="0" w:color="auto"/>
            <w:left w:val="none" w:sz="0" w:space="0" w:color="auto"/>
            <w:bottom w:val="none" w:sz="0" w:space="0" w:color="auto"/>
            <w:right w:val="none" w:sz="0" w:space="0" w:color="auto"/>
          </w:divBdr>
        </w:div>
        <w:div w:id="153618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ahelp.education.gov.uk/hc/en-gb?utm_medium=email&amp;utm_source=govdelivery" TargetMode="External"/><Relationship Id="rId13" Type="http://schemas.openxmlformats.org/officeDocument/2006/relationships/hyperlink" Target="https://forms.office.com/Pages/ResponsePage.aspx?id=yXfS-grGoU2187O4s0qC-XxFHyrXF0lFq-yJec9Q42xUQzM1RTZJMllUOU01MlZDOENUQ0xaNDgzOS4u&amp;utm_medium=email&amp;utm_source=govdelivery" TargetMode="External"/><Relationship Id="rId18" Type="http://schemas.openxmlformats.org/officeDocument/2006/relationships/hyperlink" Target="https://explore-education-statistics.service.gov.uk/find-statistics/pupil-attendance-in-schools/2023-week-29?utm_medium=email&amp;utm_source=govdelive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prevent-duty-guidance?utm_medium=email&amp;utm_source=govdelivery" TargetMode="External"/><Relationship Id="rId7" Type="http://schemas.openxmlformats.org/officeDocument/2006/relationships/hyperlink" Target="https://www.youtube.com/watch?utm_medium=email&amp;utm_source=govdelivery&amp;v=qe9VtWeLH2Q" TargetMode="External"/><Relationship Id="rId12" Type="http://schemas.openxmlformats.org/officeDocument/2006/relationships/hyperlink" Target="https://www.nasuwt.org.uk/news/campaigns/time-for-a-limit.html?utm_medium=email&amp;utm_source=govdelivery" TargetMode="External"/><Relationship Id="rId17" Type="http://schemas.openxmlformats.org/officeDocument/2006/relationships/hyperlink" Target="https://www.gov.uk/guidance/access-your-school-attendance-data?utm_medium=email&amp;utm_source=govdelivery" TargetMode="External"/><Relationship Id="rId25" Type="http://schemas.openxmlformats.org/officeDocument/2006/relationships/hyperlink" Target="https://teaching.blog.gov.uk/2023/07/19/teaching-our-students-the-facts-about-tax/?utm_medium=email&amp;utm_source=govdelivery" TargetMode="External"/><Relationship Id="rId2" Type="http://schemas.openxmlformats.org/officeDocument/2006/relationships/styles" Target="styles.xml"/><Relationship Id="rId16" Type="http://schemas.openxmlformats.org/officeDocument/2006/relationships/hyperlink" Target="https://www.gov.uk/guidance/share-your-daily-school-attendance-data?utm_medium=email&amp;utm_source=govdelivery" TargetMode="External"/><Relationship Id="rId20" Type="http://schemas.openxmlformats.org/officeDocument/2006/relationships/hyperlink" Target="https://www.surveymonkey.co.uk/r/WN87F3F?utm_medium=email&amp;utm_source=govdelivery" TargetMode="External"/><Relationship Id="rId1" Type="http://schemas.openxmlformats.org/officeDocument/2006/relationships/numbering" Target="numbering.xml"/><Relationship Id="rId6" Type="http://schemas.openxmlformats.org/officeDocument/2006/relationships/hyperlink" Target="https://www.gov.uk/government/publications/national-tutoring-programme-ntp-allocations-for-2022-to-2023-academic-year?utm_medium=email&amp;utm_source=govdelivery" TargetMode="External"/><Relationship Id="rId11" Type="http://schemas.openxmlformats.org/officeDocument/2006/relationships/hyperlink" Target="https://www.careersandenterprise.co.uk/fe-skills/provider-access-legislation/?utm_medium=email&amp;utm_source=govdelivery" TargetMode="External"/><Relationship Id="rId24" Type="http://schemas.openxmlformats.org/officeDocument/2006/relationships/hyperlink" Target="https://www.gov.uk/government/publications/tax-facts-for-children-and-young-people/tax-facts-resources-for-teachers-and-parents?utm_campaign=tax_facts&amp;utm_medium=email&amp;utm_source=govdelivery" TargetMode="External"/><Relationship Id="rId5" Type="http://schemas.openxmlformats.org/officeDocument/2006/relationships/hyperlink" Target="https://digital-forms.education.gov.uk/JZPkozb0hZ/NTP-start?utm_medium=email&amp;utm_source=govdelivery" TargetMode="External"/><Relationship Id="rId15" Type="http://schemas.openxmlformats.org/officeDocument/2006/relationships/hyperlink" Target="https://bit.ly/SBPrt?utm_medium=email&amp;utm_source=govdelivery" TargetMode="External"/><Relationship Id="rId23" Type="http://schemas.openxmlformats.org/officeDocument/2006/relationships/hyperlink" Target="https://educationhub.blog.gov.uk/2023/09/07/how-were-safeguarding-students-and-learners-from-radicalisation/?utm_medium=email&amp;utm_source=govdelivery" TargetMode="External"/><Relationship Id="rId10" Type="http://schemas.openxmlformats.org/officeDocument/2006/relationships/hyperlink" Target="https://www.gov.uk/government/publications/careers-guidance-provision-for-young-people-in-schools?utm_medium=email&amp;utm_source=govdelivery" TargetMode="External"/><Relationship Id="rId19" Type="http://schemas.openxmlformats.org/officeDocument/2006/relationships/hyperlink" Target="https://forms.office.com/pages/responsepage.aspx?id=yXfS-grGoU2187O4s0qC-dQrkQUSo7lDklWEd361GJ9UNkhWNTc3QUdTT1k5TU9JRFY4QUc1SjdLRy4u&amp;utm_medium=email&amp;utm_source=govdelivery" TargetMode="External"/><Relationship Id="rId4" Type="http://schemas.openxmlformats.org/officeDocument/2006/relationships/webSettings" Target="webSettings.xml"/><Relationship Id="rId9" Type="http://schemas.openxmlformats.org/officeDocument/2006/relationships/hyperlink" Target="mailto:tutoring.support@service.education.gov.uk" TargetMode="External"/><Relationship Id="rId14" Type="http://schemas.openxmlformats.org/officeDocument/2006/relationships/hyperlink" Target="https://bit.ly/aut23webinars?utm_medium=email&amp;utm_source=govdelivery" TargetMode="External"/><Relationship Id="rId22" Type="http://schemas.openxmlformats.org/officeDocument/2006/relationships/hyperlink" Target="https://www.gov.uk/government/publications/independent-review-of-prevents-report-and-government-response?utm_medium=email&amp;utm_source=govdelive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2023-09-22T09:04:00Z</dcterms:created>
  <dcterms:modified xsi:type="dcterms:W3CDTF">2023-09-22T09:08:00Z</dcterms:modified>
</cp:coreProperties>
</file>