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0DB10" w14:textId="10886C0D" w:rsidR="003D2A51" w:rsidRDefault="003D2A51" w:rsidP="003D2A51">
      <w:pPr>
        <w:pStyle w:val="NormalWeb"/>
        <w:spacing w:before="0" w:beforeAutospacing="0" w:after="0" w:afterAutospacing="0" w:line="315" w:lineRule="atLeast"/>
        <w:textAlignment w:val="center"/>
        <w:rPr>
          <w:rFonts w:ascii="Arial" w:hAnsi="Arial" w:cs="Arial"/>
          <w:color w:val="000000"/>
          <w:position w:val="17"/>
          <w:sz w:val="20"/>
          <w:szCs w:val="20"/>
        </w:rPr>
      </w:pPr>
      <w:r>
        <w:rPr>
          <w:rStyle w:val="Strong"/>
          <w:rFonts w:ascii="Arial" w:hAnsi="Arial" w:cs="Arial"/>
          <w:color w:val="000000"/>
          <w:position w:val="17"/>
          <w:sz w:val="20"/>
          <w:szCs w:val="20"/>
        </w:rPr>
        <w:t>Actions for Early Years update</w:t>
      </w:r>
      <w:r>
        <w:rPr>
          <w:rStyle w:val="Strong"/>
          <w:rFonts w:ascii="Arial" w:hAnsi="Arial" w:cs="Arial"/>
          <w:color w:val="000000"/>
          <w:position w:val="17"/>
          <w:sz w:val="20"/>
          <w:szCs w:val="20"/>
        </w:rPr>
        <w:t xml:space="preserve"> (provided by the Early Years Alliance 22/2/21)</w:t>
      </w:r>
    </w:p>
    <w:p w14:paraId="0500BA33" w14:textId="77777777" w:rsidR="003D2A51" w:rsidRDefault="003D2A51" w:rsidP="003D2A51">
      <w:pPr>
        <w:pStyle w:val="NormalWeb"/>
        <w:spacing w:before="300" w:beforeAutospacing="0" w:after="0" w:afterAutospacing="0" w:line="315" w:lineRule="atLeast"/>
        <w:textAlignment w:val="center"/>
        <w:rPr>
          <w:rFonts w:ascii="Arial" w:hAnsi="Arial" w:cs="Arial"/>
          <w:color w:val="000000"/>
          <w:position w:val="17"/>
          <w:sz w:val="20"/>
          <w:szCs w:val="20"/>
        </w:rPr>
      </w:pPr>
      <w:r>
        <w:rPr>
          <w:rFonts w:ascii="Arial" w:hAnsi="Arial" w:cs="Arial"/>
          <w:color w:val="000000"/>
          <w:position w:val="17"/>
          <w:sz w:val="20"/>
          <w:szCs w:val="20"/>
        </w:rPr>
        <w:t xml:space="preserve">The Department for Education has updated the </w:t>
      </w:r>
      <w:hyperlink r:id="rId5" w:history="1">
        <w:r>
          <w:rPr>
            <w:rStyle w:val="Hyperlink"/>
            <w:rFonts w:ascii="Arial" w:hAnsi="Arial" w:cs="Arial"/>
            <w:color w:val="56569E"/>
            <w:position w:val="17"/>
            <w:sz w:val="20"/>
            <w:szCs w:val="20"/>
          </w:rPr>
          <w:t>Actions for early years and childcare providers during the coronavirus (COVID-19) outbreak</w:t>
        </w:r>
      </w:hyperlink>
      <w:r>
        <w:rPr>
          <w:rFonts w:ascii="Arial" w:hAnsi="Arial" w:cs="Arial"/>
          <w:color w:val="000000"/>
          <w:position w:val="17"/>
          <w:sz w:val="20"/>
          <w:szCs w:val="20"/>
        </w:rPr>
        <w:t> guidance.</w:t>
      </w:r>
    </w:p>
    <w:p w14:paraId="07F3F1A6" w14:textId="77777777" w:rsidR="003D2A51" w:rsidRDefault="003D2A51" w:rsidP="003D2A51">
      <w:pPr>
        <w:pStyle w:val="NormalWeb"/>
        <w:spacing w:before="300" w:beforeAutospacing="0" w:after="0" w:afterAutospacing="0" w:line="315" w:lineRule="atLeast"/>
        <w:textAlignment w:val="center"/>
        <w:rPr>
          <w:rFonts w:ascii="Arial" w:hAnsi="Arial" w:cs="Arial"/>
          <w:color w:val="000000"/>
          <w:position w:val="17"/>
          <w:sz w:val="20"/>
          <w:szCs w:val="20"/>
        </w:rPr>
      </w:pPr>
      <w:r>
        <w:rPr>
          <w:rFonts w:ascii="Arial" w:hAnsi="Arial" w:cs="Arial"/>
          <w:color w:val="000000"/>
          <w:position w:val="17"/>
          <w:sz w:val="20"/>
          <w:szCs w:val="20"/>
        </w:rPr>
        <w:t>The main changes are outlined below:</w:t>
      </w:r>
    </w:p>
    <w:p w14:paraId="348A2CD8" w14:textId="77777777" w:rsidR="003D2A51" w:rsidRDefault="003D2A51" w:rsidP="003D2A51">
      <w:pPr>
        <w:numPr>
          <w:ilvl w:val="0"/>
          <w:numId w:val="1"/>
        </w:numPr>
        <w:spacing w:before="300" w:line="315" w:lineRule="atLeast"/>
        <w:ind w:left="360"/>
        <w:textAlignment w:val="center"/>
        <w:rPr>
          <w:rFonts w:ascii="Arial" w:eastAsia="Times New Roman" w:hAnsi="Arial" w:cs="Arial"/>
          <w:color w:val="000000"/>
          <w:position w:val="17"/>
          <w:sz w:val="20"/>
          <w:szCs w:val="20"/>
        </w:rPr>
      </w:pPr>
      <w:r>
        <w:rPr>
          <w:rStyle w:val="Strong"/>
          <w:rFonts w:ascii="Arial" w:eastAsia="Times New Roman" w:hAnsi="Arial" w:cs="Arial"/>
          <w:color w:val="000000"/>
          <w:position w:val="17"/>
          <w:sz w:val="20"/>
          <w:szCs w:val="20"/>
        </w:rPr>
        <w:t xml:space="preserve">Updating guidance on face coverings: </w:t>
      </w:r>
      <w:r>
        <w:rPr>
          <w:rFonts w:ascii="Arial" w:eastAsia="Times New Roman" w:hAnsi="Arial" w:cs="Arial"/>
          <w:color w:val="000000"/>
          <w:position w:val="17"/>
          <w:sz w:val="20"/>
          <w:szCs w:val="20"/>
        </w:rPr>
        <w:t>The previous version of the guidance stated: </w:t>
      </w:r>
      <w:r>
        <w:rPr>
          <w:rStyle w:val="Emphasis"/>
          <w:rFonts w:ascii="Arial" w:eastAsia="Times New Roman" w:hAnsi="Arial" w:cs="Arial"/>
          <w:color w:val="000000"/>
          <w:position w:val="17"/>
          <w:sz w:val="20"/>
          <w:szCs w:val="20"/>
        </w:rPr>
        <w:t xml:space="preserve">"Settings have the discretion to recommend the use of face coverings for adults on site, for both staff and visitors". </w:t>
      </w:r>
      <w:r>
        <w:rPr>
          <w:rFonts w:ascii="Arial" w:eastAsia="Times New Roman" w:hAnsi="Arial" w:cs="Arial"/>
          <w:color w:val="000000"/>
          <w:position w:val="17"/>
          <w:sz w:val="20"/>
          <w:szCs w:val="20"/>
        </w:rPr>
        <w:br/>
      </w:r>
      <w:r>
        <w:rPr>
          <w:rFonts w:ascii="Arial" w:eastAsia="Times New Roman" w:hAnsi="Arial" w:cs="Arial"/>
          <w:color w:val="000000"/>
          <w:position w:val="17"/>
          <w:sz w:val="20"/>
          <w:szCs w:val="20"/>
        </w:rPr>
        <w:br/>
        <w:t>This has now been strengthened to: </w:t>
      </w:r>
      <w:r>
        <w:rPr>
          <w:rStyle w:val="Emphasis"/>
          <w:rFonts w:ascii="Arial" w:eastAsia="Times New Roman" w:hAnsi="Arial" w:cs="Arial"/>
          <w:color w:val="000000"/>
          <w:position w:val="17"/>
          <w:sz w:val="20"/>
          <w:szCs w:val="20"/>
        </w:rPr>
        <w:t>"We recommend that face coverings should be worn by staff and adult visitors in situations where social distancing between adults is not possible."</w:t>
      </w:r>
      <w:r>
        <w:rPr>
          <w:rFonts w:ascii="Arial" w:eastAsia="Times New Roman" w:hAnsi="Arial" w:cs="Arial"/>
          <w:color w:val="000000"/>
          <w:position w:val="17"/>
          <w:sz w:val="20"/>
          <w:szCs w:val="20"/>
        </w:rPr>
        <w:br/>
        <w:t> </w:t>
      </w:r>
    </w:p>
    <w:p w14:paraId="33E73582" w14:textId="77777777" w:rsidR="003D2A51" w:rsidRDefault="003D2A51" w:rsidP="003D2A51">
      <w:pPr>
        <w:numPr>
          <w:ilvl w:val="0"/>
          <w:numId w:val="1"/>
        </w:numPr>
        <w:spacing w:line="315" w:lineRule="atLeast"/>
        <w:ind w:left="360"/>
        <w:textAlignment w:val="center"/>
        <w:rPr>
          <w:rFonts w:ascii="Arial" w:eastAsia="Times New Roman" w:hAnsi="Arial" w:cs="Arial"/>
          <w:color w:val="000000"/>
          <w:position w:val="17"/>
          <w:sz w:val="20"/>
          <w:szCs w:val="20"/>
        </w:rPr>
      </w:pPr>
      <w:r>
        <w:rPr>
          <w:rFonts w:ascii="Arial" w:eastAsia="Times New Roman" w:hAnsi="Arial" w:cs="Arial"/>
          <w:color w:val="000000"/>
          <w:position w:val="17"/>
          <w:sz w:val="20"/>
          <w:szCs w:val="20"/>
        </w:rPr>
        <w:t>The guidance now includes references to the</w:t>
      </w:r>
      <w:r>
        <w:rPr>
          <w:rStyle w:val="Strong"/>
          <w:rFonts w:ascii="Arial" w:eastAsia="Times New Roman" w:hAnsi="Arial" w:cs="Arial"/>
          <w:color w:val="000000"/>
          <w:position w:val="17"/>
          <w:sz w:val="20"/>
          <w:szCs w:val="20"/>
        </w:rPr>
        <w:t xml:space="preserve"> responsibility of settings to support staff mental health</w:t>
      </w:r>
      <w:r>
        <w:rPr>
          <w:rFonts w:ascii="Arial" w:eastAsia="Times New Roman" w:hAnsi="Arial" w:cs="Arial"/>
          <w:color w:val="000000"/>
          <w:position w:val="17"/>
          <w:sz w:val="20"/>
          <w:szCs w:val="20"/>
        </w:rPr>
        <w:br/>
        <w:t> </w:t>
      </w:r>
    </w:p>
    <w:p w14:paraId="47FC8A4D" w14:textId="77777777" w:rsidR="003D2A51" w:rsidRDefault="003D2A51" w:rsidP="003D2A51">
      <w:pPr>
        <w:numPr>
          <w:ilvl w:val="0"/>
          <w:numId w:val="1"/>
        </w:numPr>
        <w:spacing w:line="315" w:lineRule="atLeast"/>
        <w:ind w:left="360"/>
        <w:textAlignment w:val="center"/>
        <w:rPr>
          <w:rFonts w:ascii="Arial" w:eastAsia="Times New Roman" w:hAnsi="Arial" w:cs="Arial"/>
          <w:color w:val="000000"/>
          <w:position w:val="17"/>
          <w:sz w:val="20"/>
          <w:szCs w:val="20"/>
        </w:rPr>
      </w:pPr>
      <w:r>
        <w:rPr>
          <w:rFonts w:ascii="Arial" w:eastAsia="Times New Roman" w:hAnsi="Arial" w:cs="Arial"/>
          <w:color w:val="000000"/>
          <w:position w:val="17"/>
          <w:sz w:val="20"/>
          <w:szCs w:val="20"/>
        </w:rPr>
        <w:t xml:space="preserve">New guidance on </w:t>
      </w:r>
      <w:r>
        <w:rPr>
          <w:rStyle w:val="Strong"/>
          <w:rFonts w:ascii="Arial" w:eastAsia="Times New Roman" w:hAnsi="Arial" w:cs="Arial"/>
          <w:color w:val="000000"/>
          <w:position w:val="17"/>
          <w:sz w:val="20"/>
          <w:szCs w:val="20"/>
        </w:rPr>
        <w:t>clinically extremely vulnerable staff</w:t>
      </w:r>
      <w:r>
        <w:rPr>
          <w:rFonts w:ascii="Arial" w:eastAsia="Times New Roman" w:hAnsi="Arial" w:cs="Arial"/>
          <w:color w:val="000000"/>
          <w:position w:val="17"/>
          <w:sz w:val="20"/>
          <w:szCs w:val="20"/>
        </w:rPr>
        <w:t>, which states: "Current DHSC guidance, informed by PHE, advises that CEV individuals should continue to shield even after they have been vaccinated. This may change as we get further data on the effects of vaccination."</w:t>
      </w:r>
      <w:r>
        <w:rPr>
          <w:rFonts w:ascii="Arial" w:eastAsia="Times New Roman" w:hAnsi="Arial" w:cs="Arial"/>
          <w:color w:val="000000"/>
          <w:position w:val="17"/>
          <w:sz w:val="20"/>
          <w:szCs w:val="20"/>
        </w:rPr>
        <w:br/>
        <w:t> </w:t>
      </w:r>
    </w:p>
    <w:p w14:paraId="3E529027" w14:textId="77777777" w:rsidR="003D2A51" w:rsidRDefault="003D2A51" w:rsidP="003D2A51">
      <w:pPr>
        <w:numPr>
          <w:ilvl w:val="0"/>
          <w:numId w:val="1"/>
        </w:numPr>
        <w:spacing w:line="315" w:lineRule="atLeast"/>
        <w:ind w:left="360"/>
        <w:textAlignment w:val="center"/>
        <w:rPr>
          <w:rFonts w:ascii="Arial" w:eastAsia="Times New Roman" w:hAnsi="Arial" w:cs="Arial"/>
          <w:color w:val="000000"/>
          <w:position w:val="17"/>
          <w:sz w:val="20"/>
          <w:szCs w:val="20"/>
        </w:rPr>
      </w:pPr>
      <w:r>
        <w:rPr>
          <w:rFonts w:ascii="Arial" w:eastAsia="Times New Roman" w:hAnsi="Arial" w:cs="Arial"/>
          <w:color w:val="000000"/>
          <w:position w:val="17"/>
          <w:sz w:val="20"/>
          <w:szCs w:val="20"/>
        </w:rPr>
        <w:t>New guidance on</w:t>
      </w:r>
      <w:r>
        <w:rPr>
          <w:rStyle w:val="Strong"/>
          <w:rFonts w:ascii="Arial" w:eastAsia="Times New Roman" w:hAnsi="Arial" w:cs="Arial"/>
          <w:color w:val="000000"/>
          <w:position w:val="17"/>
          <w:sz w:val="20"/>
          <w:szCs w:val="20"/>
        </w:rPr>
        <w:t xml:space="preserve"> pregnant staff, </w:t>
      </w:r>
      <w:r>
        <w:rPr>
          <w:rFonts w:ascii="Arial" w:eastAsia="Times New Roman" w:hAnsi="Arial" w:cs="Arial"/>
          <w:color w:val="000000"/>
          <w:position w:val="17"/>
          <w:sz w:val="20"/>
          <w:szCs w:val="20"/>
        </w:rPr>
        <w:t>which states:</w:t>
      </w:r>
      <w:r>
        <w:rPr>
          <w:rStyle w:val="Strong"/>
          <w:rFonts w:ascii="Arial" w:eastAsia="Times New Roman" w:hAnsi="Arial" w:cs="Arial"/>
          <w:color w:val="000000"/>
          <w:position w:val="17"/>
          <w:sz w:val="20"/>
          <w:szCs w:val="20"/>
        </w:rPr>
        <w:t> </w:t>
      </w:r>
      <w:r>
        <w:rPr>
          <w:rFonts w:ascii="Arial" w:eastAsia="Times New Roman" w:hAnsi="Arial" w:cs="Arial"/>
          <w:color w:val="000000"/>
          <w:position w:val="17"/>
          <w:sz w:val="20"/>
          <w:szCs w:val="20"/>
        </w:rPr>
        <w:t xml:space="preserve">"If you are notified that an employee is pregnant, breastfeeding, or has given birth within the last 6 months, you should check the workplace risk assessment to see if any new risks have arisen. An assessment may help identify any additional action that needs to be taken to mitigate risks. Any risks identified at that point, or later during the pregnancy, in the first 6 months after birth, or while the employee is still breastfeeding, must be </w:t>
      </w:r>
      <w:proofErr w:type="gramStart"/>
      <w:r>
        <w:rPr>
          <w:rFonts w:ascii="Arial" w:eastAsia="Times New Roman" w:hAnsi="Arial" w:cs="Arial"/>
          <w:color w:val="000000"/>
          <w:position w:val="17"/>
          <w:sz w:val="20"/>
          <w:szCs w:val="20"/>
        </w:rPr>
        <w:t>included</w:t>
      </w:r>
      <w:proofErr w:type="gramEnd"/>
      <w:r>
        <w:rPr>
          <w:rFonts w:ascii="Arial" w:eastAsia="Times New Roman" w:hAnsi="Arial" w:cs="Arial"/>
          <w:color w:val="000000"/>
          <w:position w:val="17"/>
          <w:sz w:val="20"/>
          <w:szCs w:val="20"/>
        </w:rPr>
        <w:t xml:space="preserve"> and managed as part of the general workplace risk assessment. You must take appropriate sensible action to reduce, remove or control the risks."</w:t>
      </w:r>
      <w:r>
        <w:rPr>
          <w:rFonts w:ascii="Arial" w:eastAsia="Times New Roman" w:hAnsi="Arial" w:cs="Arial"/>
          <w:color w:val="000000"/>
          <w:position w:val="17"/>
          <w:sz w:val="20"/>
          <w:szCs w:val="20"/>
        </w:rPr>
        <w:br/>
        <w:t> </w:t>
      </w:r>
    </w:p>
    <w:p w14:paraId="0070FC64" w14:textId="77777777" w:rsidR="003D2A51" w:rsidRDefault="003D2A51" w:rsidP="003D2A51">
      <w:pPr>
        <w:numPr>
          <w:ilvl w:val="0"/>
          <w:numId w:val="1"/>
        </w:numPr>
        <w:spacing w:line="315" w:lineRule="atLeast"/>
        <w:ind w:left="360"/>
        <w:textAlignment w:val="center"/>
        <w:rPr>
          <w:rFonts w:ascii="Arial" w:eastAsia="Times New Roman" w:hAnsi="Arial" w:cs="Arial"/>
          <w:color w:val="000000"/>
          <w:position w:val="17"/>
          <w:sz w:val="20"/>
          <w:szCs w:val="20"/>
        </w:rPr>
      </w:pPr>
      <w:r>
        <w:rPr>
          <w:rFonts w:ascii="Arial" w:eastAsia="Times New Roman" w:hAnsi="Arial" w:cs="Arial"/>
          <w:color w:val="000000"/>
          <w:position w:val="17"/>
          <w:sz w:val="20"/>
          <w:szCs w:val="20"/>
        </w:rPr>
        <w:t>New guidance on</w:t>
      </w:r>
      <w:r>
        <w:rPr>
          <w:rStyle w:val="Strong"/>
          <w:rFonts w:ascii="Arial" w:eastAsia="Times New Roman" w:hAnsi="Arial" w:cs="Arial"/>
          <w:color w:val="000000"/>
          <w:position w:val="17"/>
          <w:sz w:val="20"/>
          <w:szCs w:val="20"/>
        </w:rPr>
        <w:t xml:space="preserve"> external groups</w:t>
      </w:r>
      <w:r>
        <w:rPr>
          <w:rFonts w:ascii="Arial" w:eastAsia="Times New Roman" w:hAnsi="Arial" w:cs="Arial"/>
          <w:color w:val="000000"/>
          <w:position w:val="17"/>
          <w:sz w:val="20"/>
          <w:szCs w:val="20"/>
        </w:rPr>
        <w:t>, which states: "You can work with external coaches, clubs and organisations for curricular and extra-curricular activities. You must be satisfied that it is safe to do."</w:t>
      </w:r>
      <w:r>
        <w:rPr>
          <w:rFonts w:ascii="Arial" w:eastAsia="Times New Roman" w:hAnsi="Arial" w:cs="Arial"/>
          <w:color w:val="000000"/>
          <w:position w:val="17"/>
          <w:sz w:val="20"/>
          <w:szCs w:val="20"/>
        </w:rPr>
        <w:br/>
        <w:t> </w:t>
      </w:r>
    </w:p>
    <w:p w14:paraId="098F421A" w14:textId="77777777" w:rsidR="003D2A51" w:rsidRDefault="003D2A51" w:rsidP="003D2A51">
      <w:pPr>
        <w:numPr>
          <w:ilvl w:val="0"/>
          <w:numId w:val="1"/>
        </w:numPr>
        <w:spacing w:line="315" w:lineRule="atLeast"/>
        <w:ind w:left="360"/>
        <w:textAlignment w:val="center"/>
        <w:rPr>
          <w:rFonts w:ascii="Arial" w:eastAsia="Times New Roman" w:hAnsi="Arial" w:cs="Arial"/>
          <w:color w:val="000000"/>
          <w:position w:val="17"/>
          <w:sz w:val="20"/>
          <w:szCs w:val="20"/>
        </w:rPr>
      </w:pPr>
      <w:r>
        <w:rPr>
          <w:rFonts w:ascii="Arial" w:eastAsia="Times New Roman" w:hAnsi="Arial" w:cs="Arial"/>
          <w:color w:val="000000"/>
          <w:position w:val="17"/>
          <w:sz w:val="20"/>
          <w:szCs w:val="20"/>
        </w:rPr>
        <w:t>New guidance on</w:t>
      </w:r>
      <w:r>
        <w:rPr>
          <w:rStyle w:val="Strong"/>
          <w:rFonts w:ascii="Arial" w:eastAsia="Times New Roman" w:hAnsi="Arial" w:cs="Arial"/>
          <w:color w:val="000000"/>
          <w:position w:val="17"/>
          <w:sz w:val="20"/>
          <w:szCs w:val="20"/>
        </w:rPr>
        <w:t xml:space="preserve"> volunteers</w:t>
      </w:r>
      <w:r>
        <w:rPr>
          <w:rFonts w:ascii="Arial" w:eastAsia="Times New Roman" w:hAnsi="Arial" w:cs="Arial"/>
          <w:color w:val="000000"/>
          <w:position w:val="17"/>
          <w:sz w:val="20"/>
          <w:szCs w:val="20"/>
        </w:rPr>
        <w:t>, which states that "Mixing of volunteers across groups should be kept to a minimum, and they adhere to the system of controls in place".</w:t>
      </w:r>
      <w:r>
        <w:rPr>
          <w:rFonts w:ascii="Arial" w:eastAsia="Times New Roman" w:hAnsi="Arial" w:cs="Arial"/>
          <w:color w:val="000000"/>
          <w:position w:val="17"/>
          <w:sz w:val="20"/>
          <w:szCs w:val="20"/>
        </w:rPr>
        <w:br/>
        <w:t> </w:t>
      </w:r>
    </w:p>
    <w:p w14:paraId="57E794A5" w14:textId="77777777" w:rsidR="003D2A51" w:rsidRDefault="003D2A51" w:rsidP="003D2A51">
      <w:pPr>
        <w:numPr>
          <w:ilvl w:val="0"/>
          <w:numId w:val="1"/>
        </w:numPr>
        <w:spacing w:line="315" w:lineRule="atLeast"/>
        <w:ind w:left="360"/>
        <w:textAlignment w:val="center"/>
        <w:rPr>
          <w:rFonts w:ascii="Arial" w:eastAsia="Times New Roman" w:hAnsi="Arial" w:cs="Arial"/>
          <w:color w:val="000000"/>
          <w:position w:val="17"/>
          <w:sz w:val="20"/>
          <w:szCs w:val="20"/>
        </w:rPr>
      </w:pPr>
      <w:r>
        <w:rPr>
          <w:rFonts w:ascii="Arial" w:eastAsia="Times New Roman" w:hAnsi="Arial" w:cs="Arial"/>
          <w:color w:val="000000"/>
          <w:position w:val="17"/>
          <w:sz w:val="20"/>
          <w:szCs w:val="20"/>
        </w:rPr>
        <w:t>New guidance on</w:t>
      </w:r>
      <w:r>
        <w:rPr>
          <w:rStyle w:val="Strong"/>
          <w:rFonts w:ascii="Arial" w:eastAsia="Times New Roman" w:hAnsi="Arial" w:cs="Arial"/>
          <w:color w:val="000000"/>
          <w:position w:val="17"/>
          <w:sz w:val="20"/>
          <w:szCs w:val="20"/>
        </w:rPr>
        <w:t xml:space="preserve"> students</w:t>
      </w:r>
      <w:r>
        <w:rPr>
          <w:rFonts w:ascii="Arial" w:eastAsia="Times New Roman" w:hAnsi="Arial" w:cs="Arial"/>
          <w:color w:val="000000"/>
          <w:position w:val="17"/>
          <w:sz w:val="20"/>
          <w:szCs w:val="20"/>
        </w:rPr>
        <w:t>, which states: "Students completing Level 2, Level 3 qualifications, including the T Level in Education and Childcare, and early years initial teacher training (EYITT) trainees, are included in the definition of critical workers. This means that students and trainees can continue to go into their early years setting on placement.”</w:t>
      </w:r>
      <w:r>
        <w:rPr>
          <w:rFonts w:ascii="Arial" w:eastAsia="Times New Roman" w:hAnsi="Arial" w:cs="Arial"/>
          <w:color w:val="000000"/>
          <w:position w:val="17"/>
          <w:sz w:val="20"/>
          <w:szCs w:val="20"/>
        </w:rPr>
        <w:br/>
      </w:r>
      <w:r>
        <w:rPr>
          <w:rFonts w:ascii="Arial" w:eastAsia="Times New Roman" w:hAnsi="Arial" w:cs="Arial"/>
          <w:color w:val="000000"/>
          <w:position w:val="17"/>
          <w:sz w:val="20"/>
          <w:szCs w:val="20"/>
        </w:rPr>
        <w:br/>
        <w:t xml:space="preserve">The guidance also now highlights that the fact that "private, voluntary or independent settings which offer placements may be able to apply for a financial incentive worth £1,000 to help with the </w:t>
      </w:r>
      <w:r>
        <w:rPr>
          <w:rFonts w:ascii="Arial" w:eastAsia="Times New Roman" w:hAnsi="Arial" w:cs="Arial"/>
          <w:color w:val="000000"/>
          <w:position w:val="17"/>
          <w:sz w:val="20"/>
          <w:szCs w:val="20"/>
        </w:rPr>
        <w:lastRenderedPageBreak/>
        <w:t>cost of the placement until 31 July 2021 (this does not include T level placements).”</w:t>
      </w:r>
      <w:r>
        <w:rPr>
          <w:rFonts w:ascii="Arial" w:eastAsia="Times New Roman" w:hAnsi="Arial" w:cs="Arial"/>
          <w:color w:val="000000"/>
          <w:position w:val="17"/>
          <w:sz w:val="20"/>
          <w:szCs w:val="20"/>
        </w:rPr>
        <w:br/>
        <w:t> </w:t>
      </w:r>
    </w:p>
    <w:p w14:paraId="6A3E61EE" w14:textId="77777777" w:rsidR="003D2A51" w:rsidRDefault="003D2A51" w:rsidP="003D2A51">
      <w:pPr>
        <w:numPr>
          <w:ilvl w:val="0"/>
          <w:numId w:val="1"/>
        </w:numPr>
        <w:spacing w:line="315" w:lineRule="atLeast"/>
        <w:ind w:left="360"/>
        <w:textAlignment w:val="center"/>
        <w:rPr>
          <w:rFonts w:ascii="Arial" w:eastAsia="Times New Roman" w:hAnsi="Arial" w:cs="Arial"/>
          <w:color w:val="000000"/>
          <w:position w:val="17"/>
          <w:sz w:val="20"/>
          <w:szCs w:val="20"/>
        </w:rPr>
      </w:pPr>
      <w:r>
        <w:rPr>
          <w:rFonts w:ascii="Arial" w:eastAsia="Times New Roman" w:hAnsi="Arial" w:cs="Arial"/>
          <w:color w:val="000000"/>
          <w:position w:val="17"/>
          <w:sz w:val="20"/>
          <w:szCs w:val="20"/>
        </w:rPr>
        <w:t>New guidance on</w:t>
      </w:r>
      <w:r>
        <w:rPr>
          <w:rStyle w:val="Strong"/>
          <w:rFonts w:ascii="Arial" w:eastAsia="Times New Roman" w:hAnsi="Arial" w:cs="Arial"/>
          <w:color w:val="000000"/>
          <w:position w:val="17"/>
          <w:sz w:val="20"/>
          <w:szCs w:val="20"/>
        </w:rPr>
        <w:t xml:space="preserve"> risk assessments, </w:t>
      </w:r>
      <w:r>
        <w:rPr>
          <w:rFonts w:ascii="Arial" w:eastAsia="Times New Roman" w:hAnsi="Arial" w:cs="Arial"/>
          <w:color w:val="000000"/>
          <w:position w:val="17"/>
          <w:sz w:val="20"/>
          <w:szCs w:val="20"/>
        </w:rPr>
        <w:t>including new information on fire safety.</w:t>
      </w:r>
      <w:r>
        <w:rPr>
          <w:rFonts w:ascii="Arial" w:eastAsia="Times New Roman" w:hAnsi="Arial" w:cs="Arial"/>
          <w:color w:val="000000"/>
          <w:position w:val="17"/>
          <w:sz w:val="20"/>
          <w:szCs w:val="20"/>
        </w:rPr>
        <w:br/>
        <w:t> </w:t>
      </w:r>
    </w:p>
    <w:p w14:paraId="763FE3D7" w14:textId="77777777" w:rsidR="003D2A51" w:rsidRDefault="003D2A51" w:rsidP="003D2A51">
      <w:pPr>
        <w:numPr>
          <w:ilvl w:val="0"/>
          <w:numId w:val="1"/>
        </w:numPr>
        <w:spacing w:line="315" w:lineRule="atLeast"/>
        <w:ind w:left="360"/>
        <w:textAlignment w:val="center"/>
        <w:rPr>
          <w:rFonts w:ascii="Arial" w:eastAsia="Times New Roman" w:hAnsi="Arial" w:cs="Arial"/>
          <w:color w:val="000000"/>
          <w:position w:val="17"/>
          <w:sz w:val="20"/>
          <w:szCs w:val="20"/>
        </w:rPr>
      </w:pPr>
      <w:r>
        <w:rPr>
          <w:rFonts w:ascii="Arial" w:eastAsia="Times New Roman" w:hAnsi="Arial" w:cs="Arial"/>
          <w:color w:val="000000"/>
          <w:position w:val="17"/>
          <w:sz w:val="20"/>
          <w:szCs w:val="20"/>
        </w:rPr>
        <w:t>Additional guidance on</w:t>
      </w:r>
      <w:r>
        <w:rPr>
          <w:rStyle w:val="Strong"/>
          <w:rFonts w:ascii="Arial" w:eastAsia="Times New Roman" w:hAnsi="Arial" w:cs="Arial"/>
          <w:color w:val="000000"/>
          <w:position w:val="17"/>
          <w:sz w:val="20"/>
          <w:szCs w:val="20"/>
        </w:rPr>
        <w:t xml:space="preserve"> organised music and singing activities</w:t>
      </w:r>
      <w:r>
        <w:rPr>
          <w:rFonts w:ascii="Arial" w:eastAsia="Times New Roman" w:hAnsi="Arial" w:cs="Arial"/>
          <w:color w:val="000000"/>
          <w:position w:val="17"/>
          <w:sz w:val="20"/>
          <w:szCs w:val="20"/>
        </w:rPr>
        <w:t>, which states that if staff need to move between groups of children, they should try and keep their distance from other staff as much as they can, ideally 2 metres from other adults.</w:t>
      </w:r>
      <w:r>
        <w:rPr>
          <w:rFonts w:ascii="Arial" w:eastAsia="Times New Roman" w:hAnsi="Arial" w:cs="Arial"/>
          <w:color w:val="000000"/>
          <w:position w:val="17"/>
          <w:sz w:val="20"/>
          <w:szCs w:val="20"/>
        </w:rPr>
        <w:br/>
      </w:r>
      <w:r>
        <w:rPr>
          <w:rFonts w:ascii="Arial" w:eastAsia="Times New Roman" w:hAnsi="Arial" w:cs="Arial"/>
          <w:color w:val="000000"/>
          <w:position w:val="17"/>
          <w:sz w:val="20"/>
          <w:szCs w:val="20"/>
        </w:rPr>
        <w:br/>
        <w:t>A new section on the </w:t>
      </w:r>
      <w:r>
        <w:rPr>
          <w:rStyle w:val="Strong"/>
          <w:rFonts w:ascii="Arial" w:eastAsia="Times New Roman" w:hAnsi="Arial" w:cs="Arial"/>
          <w:color w:val="000000"/>
          <w:position w:val="17"/>
          <w:sz w:val="20"/>
          <w:szCs w:val="20"/>
        </w:rPr>
        <w:t>Absence of vulnerable children </w:t>
      </w:r>
      <w:r>
        <w:rPr>
          <w:rFonts w:ascii="Arial" w:eastAsia="Times New Roman" w:hAnsi="Arial" w:cs="Arial"/>
          <w:color w:val="000000"/>
          <w:position w:val="17"/>
          <w:sz w:val="20"/>
          <w:szCs w:val="20"/>
        </w:rPr>
        <w:t>has been added.</w:t>
      </w:r>
    </w:p>
    <w:p w14:paraId="61804775" w14:textId="77777777" w:rsidR="008E31A4" w:rsidRDefault="008E31A4"/>
    <w:sectPr w:rsidR="008E3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C462E"/>
    <w:multiLevelType w:val="multilevel"/>
    <w:tmpl w:val="19A8C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FF"/>
    <w:rsid w:val="003D2A51"/>
    <w:rsid w:val="004236FF"/>
    <w:rsid w:val="008E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90800"/>
  <w15:chartTrackingRefBased/>
  <w15:docId w15:val="{D4BED769-7A7C-40CB-B7F2-448BC655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5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A51"/>
    <w:rPr>
      <w:color w:val="0000FF"/>
      <w:u w:val="single"/>
    </w:rPr>
  </w:style>
  <w:style w:type="paragraph" w:styleId="NormalWeb">
    <w:name w:val="Normal (Web)"/>
    <w:basedOn w:val="Normal"/>
    <w:uiPriority w:val="99"/>
    <w:semiHidden/>
    <w:unhideWhenUsed/>
    <w:rsid w:val="003D2A51"/>
    <w:pPr>
      <w:spacing w:before="100" w:beforeAutospacing="1" w:after="100" w:afterAutospacing="1"/>
    </w:pPr>
  </w:style>
  <w:style w:type="character" w:styleId="Strong">
    <w:name w:val="Strong"/>
    <w:basedOn w:val="DefaultParagraphFont"/>
    <w:uiPriority w:val="22"/>
    <w:qFormat/>
    <w:rsid w:val="003D2A51"/>
    <w:rPr>
      <w:b/>
      <w:bCs/>
    </w:rPr>
  </w:style>
  <w:style w:type="character" w:styleId="Emphasis">
    <w:name w:val="Emphasis"/>
    <w:basedOn w:val="DefaultParagraphFont"/>
    <w:uiPriority w:val="20"/>
    <w:qFormat/>
    <w:rsid w:val="003D2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lyyearsalliance.cmail20.com/t/d-l-qxkic-yhmntls-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Katie M</dc:creator>
  <cp:keywords/>
  <dc:description/>
  <cp:lastModifiedBy>Clarke, Katie M</cp:lastModifiedBy>
  <cp:revision>2</cp:revision>
  <dcterms:created xsi:type="dcterms:W3CDTF">2021-02-23T12:08:00Z</dcterms:created>
  <dcterms:modified xsi:type="dcterms:W3CDTF">2021-02-23T12:09:00Z</dcterms:modified>
</cp:coreProperties>
</file>