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498" w:rsidRPr="002C7498" w:rsidRDefault="002C7498">
      <w:pPr>
        <w:rPr>
          <w:b/>
        </w:rPr>
      </w:pPr>
      <w:bookmarkStart w:id="0" w:name="_GoBack"/>
      <w:bookmarkEnd w:id="0"/>
      <w:r w:rsidRPr="002C7498">
        <w:rPr>
          <w:b/>
        </w:rPr>
        <w:t>COVID19 Financial Support for Schools</w:t>
      </w:r>
    </w:p>
    <w:tbl>
      <w:tblPr>
        <w:tblW w:w="20691" w:type="dxa"/>
        <w:tblLook w:val="04A0" w:firstRow="1" w:lastRow="0" w:firstColumn="1" w:lastColumn="0" w:noHBand="0" w:noVBand="1"/>
      </w:tblPr>
      <w:tblGrid>
        <w:gridCol w:w="1980"/>
        <w:gridCol w:w="6095"/>
        <w:gridCol w:w="2126"/>
        <w:gridCol w:w="3969"/>
        <w:gridCol w:w="6521"/>
      </w:tblGrid>
      <w:tr w:rsidR="00A80D35" w:rsidRPr="002C7498" w:rsidTr="00617FD8">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498" w:rsidRPr="002C7498" w:rsidRDefault="002C7498" w:rsidP="002C7498">
            <w:pPr>
              <w:spacing w:after="0" w:line="240" w:lineRule="auto"/>
              <w:rPr>
                <w:rFonts w:ascii="Calibri" w:eastAsia="Times New Roman" w:hAnsi="Calibri" w:cs="Calibri"/>
                <w:b/>
                <w:bCs/>
                <w:color w:val="000000"/>
                <w:lang w:eastAsia="en-GB"/>
              </w:rPr>
            </w:pPr>
            <w:r w:rsidRPr="002C7498">
              <w:rPr>
                <w:rFonts w:ascii="Calibri" w:eastAsia="Times New Roman" w:hAnsi="Calibri" w:cs="Calibri"/>
                <w:b/>
                <w:bCs/>
                <w:color w:val="000000"/>
                <w:lang w:eastAsia="en-GB"/>
              </w:rPr>
              <w:t>Grant</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C7498" w:rsidRPr="002C7498" w:rsidRDefault="002C7498" w:rsidP="002C7498">
            <w:pPr>
              <w:spacing w:after="0" w:line="240" w:lineRule="auto"/>
              <w:rPr>
                <w:rFonts w:ascii="Calibri" w:eastAsia="Times New Roman" w:hAnsi="Calibri" w:cs="Calibri"/>
                <w:b/>
                <w:bCs/>
                <w:color w:val="000000"/>
                <w:lang w:eastAsia="en-GB"/>
              </w:rPr>
            </w:pPr>
            <w:r w:rsidRPr="002C7498">
              <w:rPr>
                <w:rFonts w:ascii="Calibri" w:eastAsia="Times New Roman" w:hAnsi="Calibri" w:cs="Calibri"/>
                <w:b/>
                <w:bCs/>
                <w:color w:val="000000"/>
                <w:lang w:eastAsia="en-GB"/>
              </w:rPr>
              <w:t>What's covered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C7498" w:rsidRPr="002C7498" w:rsidRDefault="002C7498" w:rsidP="002C7498">
            <w:pPr>
              <w:spacing w:after="0" w:line="240" w:lineRule="auto"/>
              <w:rPr>
                <w:rFonts w:ascii="Calibri" w:eastAsia="Times New Roman" w:hAnsi="Calibri" w:cs="Calibri"/>
                <w:b/>
                <w:bCs/>
                <w:color w:val="000000"/>
                <w:lang w:eastAsia="en-GB"/>
              </w:rPr>
            </w:pPr>
            <w:r w:rsidRPr="002C7498">
              <w:rPr>
                <w:rFonts w:ascii="Calibri" w:eastAsia="Times New Roman" w:hAnsi="Calibri" w:cs="Calibri"/>
                <w:b/>
                <w:bCs/>
                <w:color w:val="000000"/>
                <w:lang w:eastAsia="en-GB"/>
              </w:rPr>
              <w:t>Period covered</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C7498" w:rsidRPr="002C7498" w:rsidRDefault="00A80D35" w:rsidP="00A80D35">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Funding </w:t>
            </w:r>
            <w:r w:rsidR="001E1D17">
              <w:rPr>
                <w:rFonts w:ascii="Calibri" w:eastAsia="Times New Roman" w:hAnsi="Calibri" w:cs="Calibri"/>
                <w:b/>
                <w:bCs/>
                <w:color w:val="000000"/>
                <w:lang w:eastAsia="en-GB"/>
              </w:rPr>
              <w:t>Amounts/</w:t>
            </w:r>
            <w:r>
              <w:rPr>
                <w:rFonts w:ascii="Calibri" w:eastAsia="Times New Roman" w:hAnsi="Calibri" w:cs="Calibri"/>
                <w:b/>
                <w:bCs/>
                <w:color w:val="000000"/>
                <w:lang w:eastAsia="en-GB"/>
              </w:rPr>
              <w:t>Limits</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rsidR="002C7498" w:rsidRPr="002C7498" w:rsidRDefault="002C7498" w:rsidP="002C7498">
            <w:pPr>
              <w:spacing w:after="0" w:line="240" w:lineRule="auto"/>
              <w:rPr>
                <w:rFonts w:ascii="Calibri" w:eastAsia="Times New Roman" w:hAnsi="Calibri" w:cs="Calibri"/>
                <w:b/>
                <w:bCs/>
                <w:color w:val="000000"/>
                <w:lang w:eastAsia="en-GB"/>
              </w:rPr>
            </w:pPr>
            <w:r w:rsidRPr="002C7498">
              <w:rPr>
                <w:rFonts w:ascii="Calibri" w:eastAsia="Times New Roman" w:hAnsi="Calibri" w:cs="Calibri"/>
                <w:b/>
                <w:bCs/>
                <w:color w:val="000000"/>
                <w:lang w:eastAsia="en-GB"/>
              </w:rPr>
              <w:t>Eligibility Criteria</w:t>
            </w:r>
          </w:p>
        </w:tc>
      </w:tr>
      <w:tr w:rsidR="00A80D35" w:rsidRPr="002C7498" w:rsidTr="00596BDF">
        <w:trPr>
          <w:trHeight w:val="8889"/>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2C7498" w:rsidRPr="002C7498" w:rsidRDefault="002C7498" w:rsidP="002C7498">
            <w:pPr>
              <w:spacing w:after="0" w:line="240" w:lineRule="auto"/>
              <w:rPr>
                <w:rFonts w:ascii="Calibri" w:eastAsia="Times New Roman" w:hAnsi="Calibri" w:cs="Calibri"/>
                <w:color w:val="000000"/>
                <w:lang w:eastAsia="en-GB"/>
              </w:rPr>
            </w:pPr>
            <w:r w:rsidRPr="002C7498">
              <w:rPr>
                <w:rFonts w:ascii="Calibri" w:eastAsia="Times New Roman" w:hAnsi="Calibri" w:cs="Calibri"/>
                <w:color w:val="000000"/>
                <w:lang w:eastAsia="en-GB"/>
              </w:rPr>
              <w:t>Exceptional Costs Fund</w:t>
            </w:r>
          </w:p>
        </w:tc>
        <w:tc>
          <w:tcPr>
            <w:tcW w:w="6095" w:type="dxa"/>
            <w:tcBorders>
              <w:top w:val="nil"/>
              <w:left w:val="nil"/>
              <w:bottom w:val="single" w:sz="4" w:space="0" w:color="auto"/>
              <w:right w:val="single" w:sz="4" w:space="0" w:color="auto"/>
            </w:tcBorders>
            <w:shd w:val="clear" w:color="auto" w:fill="auto"/>
            <w:vAlign w:val="center"/>
            <w:hideMark/>
          </w:tcPr>
          <w:p w:rsidR="00D20CEC" w:rsidRPr="00617FD8" w:rsidRDefault="00D20CEC" w:rsidP="00D20CEC">
            <w:p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T</w:t>
            </w:r>
            <w:r w:rsidRPr="00617FD8">
              <w:rPr>
                <w:rFonts w:ascii="Calibri" w:eastAsia="Times New Roman" w:hAnsi="Calibri" w:cs="Calibri"/>
                <w:bCs/>
                <w:color w:val="000000"/>
                <w:lang w:eastAsia="en-GB"/>
              </w:rPr>
              <w:t>here are 3 specific additional costs covered by the fund which are:</w:t>
            </w:r>
          </w:p>
          <w:p w:rsidR="00D20CEC" w:rsidRPr="00617FD8" w:rsidRDefault="00D20CEC" w:rsidP="00D20CEC">
            <w:pPr>
              <w:pStyle w:val="ListParagraph"/>
              <w:numPr>
                <w:ilvl w:val="0"/>
                <w:numId w:val="7"/>
              </w:numPr>
              <w:spacing w:after="240" w:line="240" w:lineRule="auto"/>
              <w:rPr>
                <w:rFonts w:ascii="Calibri" w:eastAsia="Times New Roman" w:hAnsi="Calibri" w:cs="Calibri"/>
                <w:color w:val="000000"/>
                <w:lang w:eastAsia="en-GB"/>
              </w:rPr>
            </w:pPr>
            <w:r w:rsidRPr="00274543">
              <w:rPr>
                <w:rFonts w:ascii="Calibri" w:eastAsia="Times New Roman" w:hAnsi="Calibri" w:cs="Calibri"/>
                <w:b/>
                <w:color w:val="000000"/>
                <w:lang w:eastAsia="en-GB"/>
              </w:rPr>
              <w:t>increased premises costs</w:t>
            </w:r>
            <w:r>
              <w:rPr>
                <w:rFonts w:ascii="Calibri" w:eastAsia="Times New Roman" w:hAnsi="Calibri" w:cs="Calibri"/>
                <w:color w:val="000000"/>
                <w:lang w:eastAsia="en-GB"/>
              </w:rPr>
              <w:t xml:space="preserve"> </w:t>
            </w:r>
            <w:r>
              <w:rPr>
                <w:lang w:val="en"/>
              </w:rPr>
              <w:t>(including utilities and resources needed to keep the school open, such as hygiene services) associated with keeping schools open during the Easter and/or summer half term holidays, for vulnerable children and the children of critical workers, over and above the costs that schools would have faced in other circumstances</w:t>
            </w:r>
          </w:p>
          <w:p w:rsidR="00D20CEC" w:rsidRPr="00274543" w:rsidRDefault="00D20CEC" w:rsidP="00D20CEC">
            <w:pPr>
              <w:pStyle w:val="ListParagraph"/>
              <w:numPr>
                <w:ilvl w:val="0"/>
                <w:numId w:val="7"/>
              </w:numPr>
              <w:spacing w:after="240" w:line="240" w:lineRule="auto"/>
              <w:rPr>
                <w:rFonts w:ascii="Calibri" w:eastAsia="Times New Roman" w:hAnsi="Calibri" w:cs="Calibri"/>
                <w:b/>
                <w:color w:val="000000"/>
                <w:lang w:eastAsia="en-GB"/>
              </w:rPr>
            </w:pPr>
            <w:r w:rsidRPr="00274543">
              <w:rPr>
                <w:rFonts w:ascii="Calibri" w:eastAsia="Times New Roman" w:hAnsi="Calibri" w:cs="Calibri"/>
                <w:b/>
                <w:color w:val="000000"/>
                <w:lang w:eastAsia="en-GB"/>
              </w:rPr>
              <w:t>support for free school meals for eligible children who are not attending school</w:t>
            </w:r>
            <w:r>
              <w:rPr>
                <w:rFonts w:ascii="Calibri" w:eastAsia="Times New Roman" w:hAnsi="Calibri" w:cs="Calibri"/>
                <w:b/>
                <w:color w:val="000000"/>
                <w:lang w:eastAsia="en-GB"/>
              </w:rPr>
              <w:t xml:space="preserve"> </w:t>
            </w:r>
            <w:r>
              <w:rPr>
                <w:rFonts w:ascii="Calibri" w:eastAsia="Times New Roman" w:hAnsi="Calibri" w:cs="Calibri"/>
                <w:color w:val="000000"/>
                <w:lang w:eastAsia="en-GB"/>
              </w:rPr>
              <w:t>where the costs are not covered by the national voucher scheme or where the national scheme is not appropriate</w:t>
            </w:r>
          </w:p>
          <w:p w:rsidR="00D20CEC" w:rsidRPr="00274543" w:rsidRDefault="00D20CEC" w:rsidP="00D20CEC">
            <w:pPr>
              <w:pStyle w:val="ListParagraph"/>
              <w:numPr>
                <w:ilvl w:val="0"/>
                <w:numId w:val="7"/>
              </w:numPr>
              <w:spacing w:after="240" w:line="240" w:lineRule="auto"/>
              <w:rPr>
                <w:rFonts w:ascii="Calibri" w:eastAsia="Times New Roman" w:hAnsi="Calibri" w:cs="Calibri"/>
                <w:b/>
                <w:color w:val="000000"/>
                <w:lang w:eastAsia="en-GB"/>
              </w:rPr>
            </w:pPr>
            <w:r w:rsidRPr="00274543">
              <w:rPr>
                <w:rFonts w:ascii="Calibri" w:eastAsia="Times New Roman" w:hAnsi="Calibri" w:cs="Calibri"/>
                <w:b/>
                <w:color w:val="000000"/>
                <w:lang w:eastAsia="en-GB"/>
              </w:rPr>
              <w:t>additional cleaning</w:t>
            </w:r>
            <w:r>
              <w:rPr>
                <w:rFonts w:ascii="Calibri" w:eastAsia="Times New Roman" w:hAnsi="Calibri" w:cs="Calibri"/>
                <w:b/>
                <w:color w:val="000000"/>
                <w:lang w:eastAsia="en-GB"/>
              </w:rPr>
              <w:t xml:space="preserve"> </w:t>
            </w:r>
            <w:r>
              <w:rPr>
                <w:lang w:val="en"/>
              </w:rPr>
              <w:t>required due to confirmed or suspected coronavirus (COVID-19) cases</w:t>
            </w:r>
          </w:p>
          <w:p w:rsidR="002C7498" w:rsidRDefault="00D20CEC" w:rsidP="00D20CEC">
            <w:p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 xml:space="preserve">For other extraordinary costs to deliver appropriate support to pupils during the period of partial closure that are not covered by the above 3 categories schools can register the details of these through the </w:t>
            </w:r>
            <w:r>
              <w:rPr>
                <w:rFonts w:ascii="Calibri" w:eastAsia="Times New Roman" w:hAnsi="Calibri" w:cs="Calibri"/>
                <w:color w:val="000000"/>
                <w:lang w:eastAsia="en-GB"/>
              </w:rPr>
              <w:t xml:space="preserve">‘other costs’ category on the </w:t>
            </w:r>
            <w:hyperlink r:id="rId5" w:history="1">
              <w:r w:rsidRPr="00D20CEC">
                <w:rPr>
                  <w:rStyle w:val="Hyperlink"/>
                  <w:rFonts w:ascii="Calibri" w:eastAsia="Times New Roman" w:hAnsi="Calibri" w:cs="Calibri"/>
                  <w:lang w:eastAsia="en-GB"/>
                </w:rPr>
                <w:t>claim form</w:t>
              </w:r>
            </w:hyperlink>
            <w:r w:rsidRPr="00617FD8">
              <w:rPr>
                <w:rFonts w:ascii="Calibri" w:eastAsia="Times New Roman" w:hAnsi="Calibri" w:cs="Calibri"/>
                <w:color w:val="000000"/>
                <w:lang w:eastAsia="en-GB"/>
              </w:rPr>
              <w:t>.</w:t>
            </w:r>
            <w:r w:rsidRPr="00617FD8">
              <w:rPr>
                <w:rFonts w:ascii="Calibri" w:eastAsia="Times New Roman" w:hAnsi="Calibri" w:cs="Calibri"/>
                <w:color w:val="000000"/>
                <w:lang w:eastAsia="en-GB"/>
              </w:rPr>
              <w:br/>
            </w:r>
            <w:r w:rsidRPr="00617FD8">
              <w:rPr>
                <w:rFonts w:ascii="Calibri" w:eastAsia="Times New Roman" w:hAnsi="Calibri" w:cs="Calibri"/>
                <w:color w:val="000000"/>
                <w:lang w:eastAsia="en-GB"/>
              </w:rPr>
              <w:br/>
              <w:t>Schools are not eligible to make claims for any additional costs associated with more pupils returning to school that are not covered by these categories.</w:t>
            </w:r>
          </w:p>
          <w:p w:rsidR="000553D6" w:rsidRDefault="000553D6" w:rsidP="000553D6">
            <w:pPr>
              <w:rPr>
                <w:color w:val="1F497D"/>
              </w:rPr>
            </w:pPr>
            <w:r w:rsidRPr="000553D6">
              <w:t xml:space="preserve">The deadline for submitting claims is </w:t>
            </w:r>
            <w:r w:rsidRPr="000553D6">
              <w:rPr>
                <w:b/>
              </w:rPr>
              <w:t>21</w:t>
            </w:r>
            <w:r w:rsidRPr="000553D6">
              <w:rPr>
                <w:b/>
                <w:vertAlign w:val="superscript"/>
              </w:rPr>
              <w:t>st</w:t>
            </w:r>
            <w:r w:rsidRPr="000553D6">
              <w:rPr>
                <w:b/>
              </w:rPr>
              <w:t xml:space="preserve"> July</w:t>
            </w:r>
            <w:r w:rsidRPr="000553D6">
              <w:t xml:space="preserve"> for actual costs incurred to the time of submission, however, there will be another opportunity in the autumn to claim further costs up to the end of summer term in July.  Further details will be published nearer the time.  For further information please access the </w:t>
            </w:r>
            <w:hyperlink r:id="rId6" w:anchor="how-schools-can-access-funding" w:history="1">
              <w:r>
                <w:rPr>
                  <w:rStyle w:val="Hyperlink"/>
                </w:rPr>
                <w:t>Guidance</w:t>
              </w:r>
            </w:hyperlink>
            <w:r>
              <w:rPr>
                <w:color w:val="1F497D"/>
              </w:rPr>
              <w:t>.</w:t>
            </w:r>
          </w:p>
          <w:p w:rsidR="000553D6" w:rsidRPr="00A80D35" w:rsidRDefault="000553D6" w:rsidP="00D20CEC">
            <w:pPr>
              <w:spacing w:after="240" w:line="240" w:lineRule="auto"/>
              <w:rPr>
                <w:rFonts w:ascii="Calibri" w:eastAsia="Times New Roman" w:hAnsi="Calibri" w:cs="Calibri"/>
                <w:color w:val="000000"/>
                <w:lang w:eastAsia="en-GB"/>
              </w:rPr>
            </w:pPr>
          </w:p>
        </w:tc>
        <w:tc>
          <w:tcPr>
            <w:tcW w:w="2126" w:type="dxa"/>
            <w:tcBorders>
              <w:top w:val="nil"/>
              <w:left w:val="nil"/>
              <w:bottom w:val="single" w:sz="4" w:space="0" w:color="auto"/>
              <w:right w:val="single" w:sz="4" w:space="0" w:color="auto"/>
            </w:tcBorders>
            <w:shd w:val="clear" w:color="auto" w:fill="auto"/>
            <w:noWrap/>
            <w:vAlign w:val="center"/>
            <w:hideMark/>
          </w:tcPr>
          <w:p w:rsidR="002C7498" w:rsidRPr="002C7498" w:rsidRDefault="002C7498" w:rsidP="002C7498">
            <w:pPr>
              <w:spacing w:after="0" w:line="240" w:lineRule="auto"/>
              <w:rPr>
                <w:rFonts w:ascii="Calibri" w:eastAsia="Times New Roman" w:hAnsi="Calibri" w:cs="Calibri"/>
                <w:color w:val="000000"/>
                <w:lang w:eastAsia="en-GB"/>
              </w:rPr>
            </w:pPr>
            <w:r w:rsidRPr="002C7498">
              <w:rPr>
                <w:rFonts w:ascii="Calibri" w:eastAsia="Times New Roman" w:hAnsi="Calibri" w:cs="Calibri"/>
                <w:color w:val="000000"/>
                <w:lang w:eastAsia="en-GB"/>
              </w:rPr>
              <w:t>March to July 2020</w:t>
            </w:r>
            <w:r>
              <w:rPr>
                <w:rFonts w:ascii="Calibri" w:eastAsia="Times New Roman" w:hAnsi="Calibri" w:cs="Calibri"/>
                <w:color w:val="000000"/>
                <w:lang w:eastAsia="en-GB"/>
              </w:rPr>
              <w:t xml:space="preserve"> (end of summer term)</w:t>
            </w:r>
          </w:p>
        </w:tc>
        <w:tc>
          <w:tcPr>
            <w:tcW w:w="3969" w:type="dxa"/>
            <w:tcBorders>
              <w:top w:val="nil"/>
              <w:left w:val="nil"/>
              <w:bottom w:val="single" w:sz="4" w:space="0" w:color="auto"/>
              <w:right w:val="single" w:sz="4" w:space="0" w:color="auto"/>
            </w:tcBorders>
            <w:shd w:val="clear" w:color="auto" w:fill="auto"/>
            <w:noWrap/>
            <w:vAlign w:val="center"/>
            <w:hideMark/>
          </w:tcPr>
          <w:p w:rsidR="002C7498" w:rsidRPr="002C7498" w:rsidRDefault="002C7498" w:rsidP="002C7498">
            <w:pPr>
              <w:spacing w:after="0" w:line="240" w:lineRule="auto"/>
              <w:rPr>
                <w:rFonts w:ascii="Calibri" w:eastAsia="Times New Roman" w:hAnsi="Calibri" w:cs="Calibri"/>
                <w:b/>
                <w:color w:val="000000"/>
                <w:lang w:eastAsia="en-GB"/>
              </w:rPr>
            </w:pPr>
            <w:r w:rsidRPr="002C7498">
              <w:rPr>
                <w:rFonts w:ascii="Calibri" w:eastAsia="Times New Roman" w:hAnsi="Calibri" w:cs="Calibri"/>
                <w:b/>
                <w:color w:val="000000"/>
                <w:lang w:eastAsia="en-GB"/>
              </w:rPr>
              <w:t>Limits for Schools</w:t>
            </w:r>
            <w:r>
              <w:rPr>
                <w:rFonts w:ascii="Calibri" w:eastAsia="Times New Roman" w:hAnsi="Calibri" w:cs="Calibri"/>
                <w:b/>
                <w:color w:val="000000"/>
                <w:lang w:eastAsia="en-GB"/>
              </w:rPr>
              <w:t>:</w:t>
            </w:r>
          </w:p>
          <w:p w:rsidR="002C7498" w:rsidRDefault="002C7498" w:rsidP="002C7498">
            <w:pPr>
              <w:spacing w:after="0" w:line="240" w:lineRule="auto"/>
              <w:rPr>
                <w:rFonts w:ascii="Calibri" w:eastAsia="Times New Roman" w:hAnsi="Calibri" w:cs="Calibri"/>
                <w:color w:val="000000"/>
                <w:lang w:eastAsia="en-GB"/>
              </w:rPr>
            </w:pPr>
          </w:p>
          <w:p w:rsidR="002C7498" w:rsidRPr="00F31C10" w:rsidRDefault="00F31C10" w:rsidP="002C7498">
            <w:pPr>
              <w:spacing w:after="0" w:line="240" w:lineRule="auto"/>
              <w:rPr>
                <w:rFonts w:ascii="Calibri" w:eastAsia="Times New Roman" w:hAnsi="Calibri" w:cs="Calibri"/>
                <w:color w:val="000000"/>
                <w:u w:val="single"/>
                <w:lang w:eastAsia="en-GB"/>
              </w:rPr>
            </w:pPr>
            <w:r w:rsidRPr="00F31C10">
              <w:rPr>
                <w:rFonts w:ascii="Calibri" w:eastAsia="Times New Roman" w:hAnsi="Calibri" w:cs="Calibri"/>
                <w:color w:val="000000"/>
                <w:u w:val="single"/>
                <w:lang w:eastAsia="en-GB"/>
              </w:rPr>
              <w:t>Mainstream Schools</w:t>
            </w:r>
            <w:r>
              <w:rPr>
                <w:rFonts w:ascii="Calibri" w:eastAsia="Times New Roman" w:hAnsi="Calibri" w:cs="Calibri"/>
                <w:color w:val="000000"/>
                <w:lang w:eastAsia="en-GB"/>
              </w:rPr>
              <w:t xml:space="preserve">             </w:t>
            </w:r>
            <w:r w:rsidRPr="00F31C10">
              <w:rPr>
                <w:rFonts w:ascii="Calibri" w:eastAsia="Times New Roman" w:hAnsi="Calibri" w:cs="Calibri"/>
                <w:color w:val="000000"/>
                <w:u w:val="single"/>
                <w:lang w:eastAsia="en-GB"/>
              </w:rPr>
              <w:t>Limit</w:t>
            </w:r>
          </w:p>
          <w:p w:rsidR="002C7498" w:rsidRDefault="002C7498" w:rsidP="002C7498">
            <w:pPr>
              <w:tabs>
                <w:tab w:val="left" w:pos="2441"/>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250 p</w:t>
            </w:r>
            <w:r w:rsidR="00F31C10">
              <w:rPr>
                <w:rFonts w:ascii="Calibri" w:eastAsia="Times New Roman" w:hAnsi="Calibri" w:cs="Calibri"/>
                <w:color w:val="000000"/>
                <w:lang w:eastAsia="en-GB"/>
              </w:rPr>
              <w:t>upils or fewer</w:t>
            </w:r>
            <w:r w:rsidR="00F31C10">
              <w:rPr>
                <w:rFonts w:ascii="Calibri" w:eastAsia="Times New Roman" w:hAnsi="Calibri" w:cs="Calibri"/>
                <w:color w:val="000000"/>
                <w:lang w:eastAsia="en-GB"/>
              </w:rPr>
              <w:tab/>
            </w:r>
            <w:r>
              <w:rPr>
                <w:rFonts w:ascii="Calibri" w:eastAsia="Times New Roman" w:hAnsi="Calibri" w:cs="Calibri"/>
                <w:color w:val="000000"/>
                <w:lang w:eastAsia="en-GB"/>
              </w:rPr>
              <w:t>£25,000</w:t>
            </w:r>
          </w:p>
          <w:p w:rsidR="002C7498" w:rsidRDefault="002C7498" w:rsidP="002C7498">
            <w:pPr>
              <w:tabs>
                <w:tab w:val="left" w:pos="2441"/>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251 to 500 pupils</w:t>
            </w:r>
            <w:r>
              <w:rPr>
                <w:rFonts w:ascii="Calibri" w:eastAsia="Times New Roman" w:hAnsi="Calibri" w:cs="Calibri"/>
                <w:color w:val="000000"/>
                <w:lang w:eastAsia="en-GB"/>
              </w:rPr>
              <w:tab/>
              <w:t>£30,000</w:t>
            </w:r>
          </w:p>
          <w:p w:rsidR="002C7498" w:rsidRDefault="002C7498" w:rsidP="002C7498">
            <w:pPr>
              <w:tabs>
                <w:tab w:val="left" w:pos="2441"/>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501 to 1000 pupils</w:t>
            </w:r>
            <w:r>
              <w:rPr>
                <w:rFonts w:ascii="Calibri" w:eastAsia="Times New Roman" w:hAnsi="Calibri" w:cs="Calibri"/>
                <w:color w:val="000000"/>
                <w:lang w:eastAsia="en-GB"/>
              </w:rPr>
              <w:tab/>
              <w:t>£50,000</w:t>
            </w:r>
          </w:p>
          <w:p w:rsidR="002C7498" w:rsidRDefault="002C7498" w:rsidP="002C7498">
            <w:pPr>
              <w:tabs>
                <w:tab w:val="left" w:pos="2441"/>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Over 1000 pupils</w:t>
            </w:r>
            <w:r>
              <w:rPr>
                <w:rFonts w:ascii="Calibri" w:eastAsia="Times New Roman" w:hAnsi="Calibri" w:cs="Calibri"/>
                <w:color w:val="000000"/>
                <w:lang w:eastAsia="en-GB"/>
              </w:rPr>
              <w:tab/>
              <w:t>£75,000</w:t>
            </w:r>
          </w:p>
          <w:p w:rsidR="002C7498" w:rsidRDefault="002C7498" w:rsidP="002C7498">
            <w:pPr>
              <w:tabs>
                <w:tab w:val="left" w:pos="2441"/>
              </w:tabs>
              <w:spacing w:after="0" w:line="240" w:lineRule="auto"/>
              <w:rPr>
                <w:rFonts w:ascii="Calibri" w:eastAsia="Times New Roman" w:hAnsi="Calibri" w:cs="Calibri"/>
                <w:color w:val="000000"/>
                <w:lang w:eastAsia="en-GB"/>
              </w:rPr>
            </w:pPr>
          </w:p>
          <w:p w:rsidR="00F31C10" w:rsidRDefault="002C7498" w:rsidP="002C7498">
            <w:pPr>
              <w:tabs>
                <w:tab w:val="left" w:pos="2441"/>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Special schools </w:t>
            </w:r>
          </w:p>
          <w:p w:rsidR="002C7498" w:rsidRDefault="002C7498" w:rsidP="002C7498">
            <w:pPr>
              <w:tabs>
                <w:tab w:val="left" w:pos="2441"/>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and alternative provision</w:t>
            </w:r>
            <w:r w:rsidR="00F31C10">
              <w:rPr>
                <w:rFonts w:ascii="Calibri" w:eastAsia="Times New Roman" w:hAnsi="Calibri" w:cs="Calibri"/>
                <w:color w:val="000000"/>
                <w:lang w:eastAsia="en-GB"/>
              </w:rPr>
              <w:tab/>
              <w:t>£50,000</w:t>
            </w:r>
          </w:p>
          <w:p w:rsidR="002C7498" w:rsidRDefault="002C7498" w:rsidP="002C7498">
            <w:pPr>
              <w:tabs>
                <w:tab w:val="left" w:pos="2441"/>
              </w:tabs>
              <w:spacing w:after="0" w:line="240" w:lineRule="auto"/>
              <w:rPr>
                <w:rFonts w:ascii="Calibri" w:eastAsia="Times New Roman" w:hAnsi="Calibri" w:cs="Calibri"/>
                <w:color w:val="000000"/>
                <w:lang w:eastAsia="en-GB"/>
              </w:rPr>
            </w:pPr>
          </w:p>
          <w:p w:rsidR="002C7498" w:rsidRPr="002C7498" w:rsidRDefault="002C7498" w:rsidP="002C7498">
            <w:pPr>
              <w:tabs>
                <w:tab w:val="left" w:pos="2441"/>
              </w:tabs>
              <w:spacing w:after="0" w:line="240" w:lineRule="auto"/>
              <w:rPr>
                <w:rFonts w:ascii="Calibri" w:eastAsia="Times New Roman" w:hAnsi="Calibri" w:cs="Calibri"/>
                <w:color w:val="000000"/>
                <w:lang w:eastAsia="en-GB"/>
              </w:rPr>
            </w:pPr>
          </w:p>
        </w:tc>
        <w:tc>
          <w:tcPr>
            <w:tcW w:w="6521" w:type="dxa"/>
            <w:tcBorders>
              <w:top w:val="nil"/>
              <w:left w:val="nil"/>
              <w:bottom w:val="single" w:sz="4" w:space="0" w:color="auto"/>
              <w:right w:val="single" w:sz="4" w:space="0" w:color="auto"/>
            </w:tcBorders>
            <w:shd w:val="clear" w:color="auto" w:fill="auto"/>
            <w:vAlign w:val="center"/>
            <w:hideMark/>
          </w:tcPr>
          <w:p w:rsidR="00A80D35" w:rsidRPr="00617FD8" w:rsidRDefault="002C7498" w:rsidP="00A80D35">
            <w:pPr>
              <w:spacing w:after="240" w:line="240" w:lineRule="auto"/>
              <w:rPr>
                <w:rFonts w:ascii="Calibri" w:eastAsia="Times New Roman" w:hAnsi="Calibri" w:cs="Calibri"/>
                <w:bCs/>
                <w:color w:val="000000"/>
                <w:lang w:eastAsia="en-GB"/>
              </w:rPr>
            </w:pPr>
            <w:r w:rsidRPr="00617FD8">
              <w:rPr>
                <w:rFonts w:ascii="Calibri" w:eastAsia="Times New Roman" w:hAnsi="Calibri" w:cs="Calibri"/>
                <w:bCs/>
                <w:color w:val="000000"/>
                <w:lang w:eastAsia="en-GB"/>
              </w:rPr>
              <w:t>Funding is available for all state-funded mainstream and special schools and alternative provision, including:</w:t>
            </w:r>
          </w:p>
          <w:p w:rsidR="00A80D35" w:rsidRPr="00617FD8" w:rsidRDefault="00A80D35" w:rsidP="00A80D35">
            <w:pPr>
              <w:pStyle w:val="ListParagraph"/>
              <w:numPr>
                <w:ilvl w:val="0"/>
                <w:numId w:val="5"/>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Primary, Secondary and All-through maintained schools</w:t>
            </w:r>
          </w:p>
          <w:p w:rsidR="00A80D35" w:rsidRPr="00617FD8" w:rsidRDefault="00A80D35" w:rsidP="00A80D35">
            <w:pPr>
              <w:pStyle w:val="ListParagraph"/>
              <w:numPr>
                <w:ilvl w:val="0"/>
                <w:numId w:val="5"/>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Academies and free schools</w:t>
            </w:r>
          </w:p>
          <w:p w:rsidR="00A80D35" w:rsidRPr="00617FD8" w:rsidRDefault="002C7498" w:rsidP="00A80D35">
            <w:pPr>
              <w:pStyle w:val="ListParagraph"/>
              <w:numPr>
                <w:ilvl w:val="0"/>
                <w:numId w:val="5"/>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16 to 19 aca</w:t>
            </w:r>
            <w:r w:rsidR="00A80D35" w:rsidRPr="00617FD8">
              <w:rPr>
                <w:rFonts w:ascii="Calibri" w:eastAsia="Times New Roman" w:hAnsi="Calibri" w:cs="Calibri"/>
                <w:color w:val="000000"/>
                <w:lang w:eastAsia="en-GB"/>
              </w:rPr>
              <w:t>demies and maintained schools</w:t>
            </w:r>
          </w:p>
          <w:p w:rsidR="00A80D35" w:rsidRPr="00617FD8" w:rsidRDefault="00A80D35" w:rsidP="00A80D35">
            <w:pPr>
              <w:pStyle w:val="ListParagraph"/>
              <w:numPr>
                <w:ilvl w:val="0"/>
                <w:numId w:val="5"/>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maintained special schools</w:t>
            </w:r>
          </w:p>
          <w:p w:rsidR="00A80D35" w:rsidRPr="00617FD8" w:rsidRDefault="002C7498" w:rsidP="00A80D35">
            <w:pPr>
              <w:pStyle w:val="ListParagraph"/>
              <w:numPr>
                <w:ilvl w:val="0"/>
                <w:numId w:val="5"/>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n</w:t>
            </w:r>
            <w:r w:rsidR="00A80D35" w:rsidRPr="00617FD8">
              <w:rPr>
                <w:rFonts w:ascii="Calibri" w:eastAsia="Times New Roman" w:hAnsi="Calibri" w:cs="Calibri"/>
                <w:color w:val="000000"/>
                <w:lang w:eastAsia="en-GB"/>
              </w:rPr>
              <w:t>on-maintained special schools</w:t>
            </w:r>
          </w:p>
          <w:p w:rsidR="00A80D35" w:rsidRPr="00617FD8" w:rsidRDefault="002C7498" w:rsidP="00A80D35">
            <w:pPr>
              <w:pStyle w:val="ListParagraph"/>
              <w:numPr>
                <w:ilvl w:val="0"/>
                <w:numId w:val="5"/>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pupil r</w:t>
            </w:r>
            <w:r w:rsidR="00A80D35" w:rsidRPr="00617FD8">
              <w:rPr>
                <w:rFonts w:ascii="Calibri" w:eastAsia="Times New Roman" w:hAnsi="Calibri" w:cs="Calibri"/>
                <w:color w:val="000000"/>
                <w:lang w:eastAsia="en-GB"/>
              </w:rPr>
              <w:t>eferral units</w:t>
            </w:r>
          </w:p>
          <w:p w:rsidR="00A80D35" w:rsidRPr="00617FD8" w:rsidRDefault="002C7498" w:rsidP="00A80D35">
            <w:pPr>
              <w:pStyle w:val="ListParagraph"/>
              <w:numPr>
                <w:ilvl w:val="0"/>
                <w:numId w:val="5"/>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alternative provision academies a</w:t>
            </w:r>
            <w:r w:rsidR="00A80D35" w:rsidRPr="00617FD8">
              <w:rPr>
                <w:rFonts w:ascii="Calibri" w:eastAsia="Times New Roman" w:hAnsi="Calibri" w:cs="Calibri"/>
                <w:color w:val="000000"/>
                <w:lang w:eastAsia="en-GB"/>
              </w:rPr>
              <w:t>nd free schools</w:t>
            </w:r>
          </w:p>
          <w:p w:rsidR="00A80D35" w:rsidRPr="00617FD8" w:rsidRDefault="002C7498" w:rsidP="00A80D35">
            <w:pPr>
              <w:pStyle w:val="ListParagraph"/>
              <w:numPr>
                <w:ilvl w:val="0"/>
                <w:numId w:val="5"/>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maintained hosp</w:t>
            </w:r>
            <w:r w:rsidR="00A80D35" w:rsidRPr="00617FD8">
              <w:rPr>
                <w:rFonts w:ascii="Calibri" w:eastAsia="Times New Roman" w:hAnsi="Calibri" w:cs="Calibri"/>
                <w:color w:val="000000"/>
                <w:lang w:eastAsia="en-GB"/>
              </w:rPr>
              <w:t>ital schools and academies</w:t>
            </w:r>
          </w:p>
          <w:p w:rsidR="00A80D35" w:rsidRPr="00617FD8" w:rsidRDefault="002C7498" w:rsidP="00A80D35">
            <w:pPr>
              <w:spacing w:after="240" w:line="240" w:lineRule="auto"/>
              <w:rPr>
                <w:rFonts w:ascii="Calibri" w:eastAsia="Times New Roman" w:hAnsi="Calibri" w:cs="Calibri"/>
                <w:color w:val="000000"/>
                <w:lang w:eastAsia="en-GB"/>
              </w:rPr>
            </w:pPr>
            <w:r w:rsidRPr="00617FD8">
              <w:rPr>
                <w:rFonts w:ascii="Calibri" w:eastAsia="Times New Roman" w:hAnsi="Calibri" w:cs="Calibri"/>
                <w:bCs/>
                <w:color w:val="000000"/>
                <w:lang w:eastAsia="en-GB"/>
              </w:rPr>
              <w:t>Schools are eligible for reimbursement where the additional costs associated with COVID19 would:</w:t>
            </w:r>
          </w:p>
          <w:p w:rsidR="00A80D35" w:rsidRPr="00617FD8" w:rsidRDefault="002C7498" w:rsidP="00A80D35">
            <w:pPr>
              <w:pStyle w:val="ListParagraph"/>
              <w:numPr>
                <w:ilvl w:val="0"/>
                <w:numId w:val="6"/>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result in a school having to use historic surp</w:t>
            </w:r>
            <w:r w:rsidR="00A80D35" w:rsidRPr="00617FD8">
              <w:rPr>
                <w:rFonts w:ascii="Calibri" w:eastAsia="Times New Roman" w:hAnsi="Calibri" w:cs="Calibri"/>
                <w:color w:val="000000"/>
                <w:lang w:eastAsia="en-GB"/>
              </w:rPr>
              <w:t>luses</w:t>
            </w:r>
          </w:p>
          <w:p w:rsidR="00A80D35" w:rsidRPr="00617FD8" w:rsidRDefault="002C7498" w:rsidP="00A80D35">
            <w:pPr>
              <w:pStyle w:val="ListParagraph"/>
              <w:numPr>
                <w:ilvl w:val="0"/>
                <w:numId w:val="6"/>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increase t</w:t>
            </w:r>
            <w:r w:rsidR="00A80D35" w:rsidRPr="00617FD8">
              <w:rPr>
                <w:rFonts w:ascii="Calibri" w:eastAsia="Times New Roman" w:hAnsi="Calibri" w:cs="Calibri"/>
                <w:color w:val="000000"/>
                <w:lang w:eastAsia="en-GB"/>
              </w:rPr>
              <w:t>he size of a historic deficit</w:t>
            </w:r>
          </w:p>
          <w:p w:rsidR="002C7498" w:rsidRDefault="002C7498" w:rsidP="00F31C10">
            <w:pPr>
              <w:pStyle w:val="ListParagraph"/>
              <w:numPr>
                <w:ilvl w:val="0"/>
                <w:numId w:val="6"/>
              </w:numPr>
              <w:spacing w:after="240" w:line="240" w:lineRule="auto"/>
              <w:rPr>
                <w:rFonts w:ascii="Calibri" w:eastAsia="Times New Roman" w:hAnsi="Calibri" w:cs="Calibri"/>
                <w:color w:val="000000"/>
                <w:lang w:eastAsia="en-GB"/>
              </w:rPr>
            </w:pPr>
            <w:r w:rsidRPr="00617FD8">
              <w:rPr>
                <w:rFonts w:ascii="Calibri" w:eastAsia="Times New Roman" w:hAnsi="Calibri" w:cs="Calibri"/>
                <w:color w:val="000000"/>
                <w:lang w:eastAsia="en-GB"/>
              </w:rPr>
              <w:t xml:space="preserve">prevent the planned </w:t>
            </w:r>
            <w:r w:rsidR="00F31C10">
              <w:rPr>
                <w:rFonts w:ascii="Calibri" w:eastAsia="Times New Roman" w:hAnsi="Calibri" w:cs="Calibri"/>
                <w:color w:val="000000"/>
                <w:lang w:eastAsia="en-GB"/>
              </w:rPr>
              <w:t>repayment</w:t>
            </w:r>
            <w:r w:rsidR="00A80D35" w:rsidRPr="00617FD8">
              <w:rPr>
                <w:rFonts w:ascii="Calibri" w:eastAsia="Times New Roman" w:hAnsi="Calibri" w:cs="Calibri"/>
                <w:color w:val="000000"/>
                <w:lang w:eastAsia="en-GB"/>
              </w:rPr>
              <w:t xml:space="preserve"> of a historic deficit</w:t>
            </w:r>
          </w:p>
          <w:p w:rsidR="000553D6" w:rsidRPr="000553D6" w:rsidRDefault="000553D6" w:rsidP="000553D6">
            <w:pPr>
              <w:spacing w:after="24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Further details about eligibility criteria are available in the </w:t>
            </w:r>
            <w:hyperlink r:id="rId7" w:history="1">
              <w:r w:rsidRPr="000553D6">
                <w:rPr>
                  <w:rStyle w:val="Hyperlink"/>
                  <w:rFonts w:ascii="Calibri" w:eastAsia="Times New Roman" w:hAnsi="Calibri" w:cs="Calibri"/>
                  <w:lang w:eastAsia="en-GB"/>
                </w:rPr>
                <w:t>Guidance</w:t>
              </w:r>
            </w:hyperlink>
            <w:r>
              <w:rPr>
                <w:rFonts w:ascii="Calibri" w:eastAsia="Times New Roman" w:hAnsi="Calibri" w:cs="Calibri"/>
                <w:color w:val="000000"/>
                <w:lang w:eastAsia="en-GB"/>
              </w:rPr>
              <w:t xml:space="preserve">. </w:t>
            </w:r>
          </w:p>
        </w:tc>
      </w:tr>
      <w:tr w:rsidR="00617FD8" w:rsidRPr="002C7498" w:rsidTr="00596BDF">
        <w:trPr>
          <w:trHeight w:val="5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7498" w:rsidRPr="002C7498" w:rsidRDefault="00274543" w:rsidP="002C74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COVID19 Catch Up Grant</w:t>
            </w:r>
          </w:p>
        </w:tc>
        <w:tc>
          <w:tcPr>
            <w:tcW w:w="6095" w:type="dxa"/>
            <w:tcBorders>
              <w:top w:val="nil"/>
              <w:left w:val="nil"/>
              <w:bottom w:val="single" w:sz="4" w:space="0" w:color="auto"/>
              <w:right w:val="single" w:sz="4" w:space="0" w:color="auto"/>
            </w:tcBorders>
            <w:shd w:val="clear" w:color="auto" w:fill="auto"/>
            <w:noWrap/>
            <w:vAlign w:val="center"/>
          </w:tcPr>
          <w:p w:rsidR="00B074E0" w:rsidRDefault="00274543" w:rsidP="000553D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One-off grant to provide extra support to children that have fallen behind while out of school during the pandemic</w:t>
            </w:r>
            <w:r w:rsidR="000553D6">
              <w:rPr>
                <w:rFonts w:ascii="Calibri" w:eastAsia="Times New Roman" w:hAnsi="Calibri" w:cs="Calibri"/>
                <w:color w:val="000000"/>
                <w:lang w:eastAsia="en-GB"/>
              </w:rPr>
              <w:t xml:space="preserve">.  </w:t>
            </w:r>
            <w:r w:rsidR="00B074E0">
              <w:rPr>
                <w:lang w:val="en"/>
              </w:rPr>
              <w:t xml:space="preserve">Schools should use this funding for specific activities to support their pupils to catch up for lost teaching over the previous months, in line with the guidance on </w:t>
            </w:r>
            <w:hyperlink r:id="rId8" w:anchor="section-3-curriculum-behaviour-and-pastoral-support" w:history="1">
              <w:r w:rsidR="00B074E0">
                <w:rPr>
                  <w:rStyle w:val="Hyperlink"/>
                  <w:lang w:val="en"/>
                </w:rPr>
                <w:t>curriculum expectations for the next academic year</w:t>
              </w:r>
            </w:hyperlink>
            <w:r w:rsidR="00B074E0">
              <w:rPr>
                <w:lang w:val="en"/>
              </w:rPr>
              <w:t>.</w:t>
            </w:r>
          </w:p>
          <w:p w:rsidR="00B074E0" w:rsidRDefault="00B074E0" w:rsidP="000553D6">
            <w:pPr>
              <w:spacing w:after="0" w:line="240" w:lineRule="auto"/>
              <w:rPr>
                <w:rFonts w:ascii="Calibri" w:eastAsia="Times New Roman" w:hAnsi="Calibri" w:cs="Calibri"/>
                <w:color w:val="000000"/>
                <w:lang w:eastAsia="en-GB"/>
              </w:rPr>
            </w:pPr>
          </w:p>
          <w:p w:rsidR="002C7498" w:rsidRPr="002C7498" w:rsidRDefault="000553D6" w:rsidP="000553D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For further details see </w:t>
            </w:r>
            <w:hyperlink r:id="rId9" w:history="1">
              <w:r w:rsidRPr="00274543">
                <w:rPr>
                  <w:rStyle w:val="Hyperlink"/>
                  <w:rFonts w:ascii="Calibri" w:eastAsia="Times New Roman" w:hAnsi="Calibri" w:cs="Calibri"/>
                  <w:lang w:eastAsia="en-GB"/>
                </w:rPr>
                <w:t>here</w:t>
              </w:r>
            </w:hyperlink>
            <w:r>
              <w:rPr>
                <w:rFonts w:ascii="Calibri" w:eastAsia="Times New Roman" w:hAnsi="Calibri" w:cs="Calibri"/>
                <w:color w:val="000000"/>
                <w:lang w:eastAsia="en-GB"/>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C7498" w:rsidRPr="002C7498" w:rsidRDefault="00274543" w:rsidP="00617FD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Academic year 2020-21</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2C7498" w:rsidRPr="001E1D17" w:rsidRDefault="001E1D17" w:rsidP="001E1D17">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Funding Amounts:</w:t>
            </w:r>
          </w:p>
          <w:p w:rsidR="001E1D17" w:rsidRDefault="001E1D17" w:rsidP="001E1D17">
            <w:pPr>
              <w:spacing w:after="0" w:line="240" w:lineRule="auto"/>
              <w:rPr>
                <w:rFonts w:ascii="Calibri" w:eastAsia="Times New Roman" w:hAnsi="Calibri" w:cs="Calibri"/>
                <w:color w:val="000000"/>
                <w:lang w:eastAsia="en-GB"/>
              </w:rPr>
            </w:pPr>
          </w:p>
          <w:p w:rsidR="001E1D17" w:rsidRDefault="001E1D17" w:rsidP="001E1D1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School allocations will be calculated on a per pupil basis for each pupil in years reception through to 11:</w:t>
            </w:r>
          </w:p>
          <w:p w:rsidR="001E1D17" w:rsidRDefault="001E1D17" w:rsidP="001E1D17">
            <w:pPr>
              <w:spacing w:after="0" w:line="240" w:lineRule="auto"/>
              <w:rPr>
                <w:rFonts w:ascii="Calibri" w:eastAsia="Times New Roman" w:hAnsi="Calibri" w:cs="Calibri"/>
                <w:color w:val="000000"/>
                <w:lang w:eastAsia="en-GB"/>
              </w:rPr>
            </w:pPr>
          </w:p>
          <w:p w:rsidR="001E1D17" w:rsidRDefault="001E1D17" w:rsidP="001E1D1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Mainstream School</w:t>
            </w:r>
            <w:r>
              <w:rPr>
                <w:rFonts w:ascii="Calibri" w:eastAsia="Times New Roman" w:hAnsi="Calibri" w:cs="Calibri"/>
                <w:color w:val="000000"/>
                <w:lang w:eastAsia="en-GB"/>
              </w:rPr>
              <w:tab/>
            </w:r>
            <w:r>
              <w:rPr>
                <w:rFonts w:ascii="Calibri" w:eastAsia="Times New Roman" w:hAnsi="Calibri" w:cs="Calibri"/>
                <w:color w:val="000000"/>
                <w:lang w:eastAsia="en-GB"/>
              </w:rPr>
              <w:tab/>
              <w:t xml:space="preserve">       £80</w:t>
            </w:r>
          </w:p>
          <w:p w:rsidR="001E1D17" w:rsidRDefault="001E1D17" w:rsidP="001E1D1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 AP and hospital schools</w:t>
            </w:r>
            <w:r>
              <w:rPr>
                <w:rFonts w:ascii="Calibri" w:eastAsia="Times New Roman" w:hAnsi="Calibri" w:cs="Calibri"/>
                <w:color w:val="000000"/>
                <w:lang w:eastAsia="en-GB"/>
              </w:rPr>
              <w:tab/>
              <w:t xml:space="preserve">     £240</w:t>
            </w:r>
          </w:p>
          <w:p w:rsidR="001E1D17" w:rsidRDefault="001E1D17" w:rsidP="001E1D17">
            <w:pPr>
              <w:spacing w:after="0" w:line="240" w:lineRule="auto"/>
              <w:rPr>
                <w:rFonts w:ascii="Calibri" w:eastAsia="Times New Roman" w:hAnsi="Calibri" w:cs="Calibri"/>
                <w:color w:val="000000"/>
                <w:lang w:eastAsia="en-GB"/>
              </w:rPr>
            </w:pPr>
          </w:p>
          <w:p w:rsidR="001E1D17" w:rsidRDefault="001E1D17" w:rsidP="001E1D1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Payment will be made in 3 tranches with the first payment due in Autumn 2020.</w:t>
            </w:r>
          </w:p>
          <w:p w:rsidR="001E1D17" w:rsidRDefault="001E1D17" w:rsidP="001E1D17">
            <w:pPr>
              <w:spacing w:after="0" w:line="240" w:lineRule="auto"/>
              <w:jc w:val="right"/>
              <w:rPr>
                <w:rFonts w:ascii="Calibri" w:eastAsia="Times New Roman" w:hAnsi="Calibri" w:cs="Calibri"/>
                <w:color w:val="000000"/>
                <w:lang w:eastAsia="en-GB"/>
              </w:rPr>
            </w:pPr>
          </w:p>
          <w:p w:rsidR="001E1D17" w:rsidRDefault="001E1D17" w:rsidP="001E1D17">
            <w:pPr>
              <w:spacing w:after="0" w:line="240" w:lineRule="auto"/>
              <w:rPr>
                <w:rFonts w:ascii="Calibri" w:eastAsia="Times New Roman" w:hAnsi="Calibri" w:cs="Calibri"/>
                <w:color w:val="000000"/>
                <w:lang w:eastAsia="en-GB"/>
              </w:rPr>
            </w:pPr>
          </w:p>
          <w:p w:rsidR="001E1D17" w:rsidRPr="002C7498" w:rsidRDefault="001E1D17" w:rsidP="001E1D17">
            <w:pPr>
              <w:spacing w:after="0" w:line="240" w:lineRule="auto"/>
              <w:rPr>
                <w:rFonts w:ascii="Calibri" w:eastAsia="Times New Roman" w:hAnsi="Calibri" w:cs="Calibri"/>
                <w:color w:val="000000"/>
                <w:lang w:eastAsia="en-GB"/>
              </w:rPr>
            </w:pP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1E1D17" w:rsidRPr="00617FD8" w:rsidRDefault="001E1D17" w:rsidP="001E1D17">
            <w:pPr>
              <w:spacing w:after="240" w:line="240" w:lineRule="auto"/>
              <w:rPr>
                <w:rFonts w:ascii="Calibri" w:eastAsia="Times New Roman" w:hAnsi="Calibri" w:cs="Calibri"/>
                <w:bCs/>
                <w:color w:val="000000"/>
                <w:lang w:eastAsia="en-GB"/>
              </w:rPr>
            </w:pPr>
            <w:r w:rsidRPr="00617FD8">
              <w:rPr>
                <w:rFonts w:ascii="Calibri" w:eastAsia="Times New Roman" w:hAnsi="Calibri" w:cs="Calibri"/>
                <w:bCs/>
                <w:color w:val="000000"/>
                <w:lang w:eastAsia="en-GB"/>
              </w:rPr>
              <w:t>Funding is available for all state-funded mainstream and special schools and alternative provision, including:</w:t>
            </w:r>
          </w:p>
          <w:p w:rsidR="001E1D17" w:rsidRPr="001E1D17" w:rsidRDefault="001E1D17" w:rsidP="001E1D17">
            <w:pPr>
              <w:numPr>
                <w:ilvl w:val="0"/>
                <w:numId w:val="9"/>
              </w:numPr>
              <w:spacing w:before="100" w:beforeAutospacing="1" w:after="100" w:afterAutospacing="1" w:line="240" w:lineRule="auto"/>
              <w:rPr>
                <w:rFonts w:eastAsia="Times New Roman" w:cstheme="minorHAnsi"/>
                <w:lang w:val="en" w:eastAsia="en-GB"/>
              </w:rPr>
            </w:pPr>
            <w:r w:rsidRPr="001E1D17">
              <w:rPr>
                <w:rFonts w:eastAsia="Times New Roman" w:cstheme="minorHAnsi"/>
                <w:lang w:val="en" w:eastAsia="en-GB"/>
              </w:rPr>
              <w:t>primary, secondary and all through local authority-maintained schools, academies and free schools</w:t>
            </w:r>
          </w:p>
          <w:p w:rsidR="001E1D17" w:rsidRPr="001E1D17" w:rsidRDefault="001E1D17" w:rsidP="001E1D17">
            <w:pPr>
              <w:numPr>
                <w:ilvl w:val="0"/>
                <w:numId w:val="9"/>
              </w:numPr>
              <w:spacing w:before="100" w:beforeAutospacing="1" w:after="100" w:afterAutospacing="1" w:line="240" w:lineRule="auto"/>
              <w:rPr>
                <w:rFonts w:eastAsia="Times New Roman" w:cstheme="minorHAnsi"/>
                <w:lang w:val="en" w:eastAsia="en-GB"/>
              </w:rPr>
            </w:pPr>
            <w:r w:rsidRPr="001E1D17">
              <w:rPr>
                <w:rFonts w:eastAsia="Times New Roman" w:cstheme="minorHAnsi"/>
                <w:lang w:val="en" w:eastAsia="en-GB"/>
              </w:rPr>
              <w:t>local authority-maintained special schools</w:t>
            </w:r>
          </w:p>
          <w:p w:rsidR="001E1D17" w:rsidRPr="001E1D17" w:rsidRDefault="001E1D17" w:rsidP="001E1D17">
            <w:pPr>
              <w:numPr>
                <w:ilvl w:val="0"/>
                <w:numId w:val="9"/>
              </w:numPr>
              <w:spacing w:before="100" w:beforeAutospacing="1" w:after="100" w:afterAutospacing="1" w:line="240" w:lineRule="auto"/>
              <w:rPr>
                <w:rFonts w:eastAsia="Times New Roman" w:cstheme="minorHAnsi"/>
                <w:lang w:val="en" w:eastAsia="en-GB"/>
              </w:rPr>
            </w:pPr>
            <w:r w:rsidRPr="001E1D17">
              <w:rPr>
                <w:rFonts w:eastAsia="Times New Roman" w:cstheme="minorHAnsi"/>
                <w:lang w:val="en" w:eastAsia="en-GB"/>
              </w:rPr>
              <w:t>special academies and free schools</w:t>
            </w:r>
          </w:p>
          <w:p w:rsidR="001E1D17" w:rsidRPr="001E1D17" w:rsidRDefault="001E1D17" w:rsidP="001E1D17">
            <w:pPr>
              <w:numPr>
                <w:ilvl w:val="0"/>
                <w:numId w:val="9"/>
              </w:numPr>
              <w:spacing w:before="100" w:beforeAutospacing="1" w:after="100" w:afterAutospacing="1" w:line="240" w:lineRule="auto"/>
              <w:rPr>
                <w:rFonts w:eastAsia="Times New Roman" w:cstheme="minorHAnsi"/>
                <w:lang w:val="en" w:eastAsia="en-GB"/>
              </w:rPr>
            </w:pPr>
            <w:r w:rsidRPr="001E1D17">
              <w:rPr>
                <w:rFonts w:eastAsia="Times New Roman" w:cstheme="minorHAnsi"/>
                <w:lang w:val="en" w:eastAsia="en-GB"/>
              </w:rPr>
              <w:t>special schools not maintained by a local authority</w:t>
            </w:r>
          </w:p>
          <w:p w:rsidR="001E1D17" w:rsidRPr="001E1D17" w:rsidRDefault="001E1D17" w:rsidP="001E1D17">
            <w:pPr>
              <w:numPr>
                <w:ilvl w:val="0"/>
                <w:numId w:val="9"/>
              </w:numPr>
              <w:spacing w:before="100" w:beforeAutospacing="1" w:after="100" w:afterAutospacing="1" w:line="240" w:lineRule="auto"/>
              <w:rPr>
                <w:rFonts w:eastAsia="Times New Roman" w:cstheme="minorHAnsi"/>
                <w:lang w:val="en" w:eastAsia="en-GB"/>
              </w:rPr>
            </w:pPr>
            <w:r w:rsidRPr="001E1D17">
              <w:rPr>
                <w:rFonts w:eastAsia="Times New Roman" w:cstheme="minorHAnsi"/>
                <w:lang w:val="en" w:eastAsia="en-GB"/>
              </w:rPr>
              <w:t>pupil referral units</w:t>
            </w:r>
          </w:p>
          <w:p w:rsidR="001E1D17" w:rsidRPr="001E1D17" w:rsidRDefault="001E1D17" w:rsidP="001E1D17">
            <w:pPr>
              <w:numPr>
                <w:ilvl w:val="0"/>
                <w:numId w:val="9"/>
              </w:numPr>
              <w:spacing w:before="100" w:beforeAutospacing="1" w:after="100" w:afterAutospacing="1" w:line="240" w:lineRule="auto"/>
              <w:rPr>
                <w:rFonts w:eastAsia="Times New Roman" w:cstheme="minorHAnsi"/>
                <w:lang w:val="en" w:eastAsia="en-GB"/>
              </w:rPr>
            </w:pPr>
            <w:r w:rsidRPr="001E1D17">
              <w:rPr>
                <w:rFonts w:eastAsia="Times New Roman" w:cstheme="minorHAnsi"/>
                <w:lang w:val="en" w:eastAsia="en-GB"/>
              </w:rPr>
              <w:t>alternative provision (AP) academies and free schools</w:t>
            </w:r>
          </w:p>
          <w:p w:rsidR="001E1D17" w:rsidRPr="001E1D17" w:rsidRDefault="001E1D17" w:rsidP="001E1D17">
            <w:pPr>
              <w:numPr>
                <w:ilvl w:val="0"/>
                <w:numId w:val="9"/>
              </w:numPr>
              <w:spacing w:before="100" w:beforeAutospacing="1" w:after="100" w:afterAutospacing="1" w:line="240" w:lineRule="auto"/>
              <w:rPr>
                <w:rFonts w:eastAsia="Times New Roman" w:cstheme="minorHAnsi"/>
                <w:lang w:val="en" w:eastAsia="en-GB"/>
              </w:rPr>
            </w:pPr>
            <w:r w:rsidRPr="001E1D17">
              <w:rPr>
                <w:rFonts w:eastAsia="Times New Roman" w:cstheme="minorHAnsi"/>
                <w:lang w:val="en" w:eastAsia="en-GB"/>
              </w:rPr>
              <w:t>local authority-maintained hospital schools and academies</w:t>
            </w:r>
          </w:p>
          <w:p w:rsidR="00A80D35" w:rsidRPr="002C7498" w:rsidRDefault="001E1D17" w:rsidP="00596BDF">
            <w:pPr>
              <w:numPr>
                <w:ilvl w:val="0"/>
                <w:numId w:val="9"/>
              </w:numPr>
              <w:spacing w:before="100" w:beforeAutospacing="1" w:after="100" w:afterAutospacing="1" w:line="240" w:lineRule="auto"/>
              <w:rPr>
                <w:rFonts w:ascii="Calibri" w:eastAsia="Times New Roman" w:hAnsi="Calibri" w:cs="Calibri"/>
                <w:color w:val="000000"/>
                <w:lang w:eastAsia="en-GB"/>
              </w:rPr>
            </w:pPr>
            <w:r w:rsidRPr="00596BDF">
              <w:rPr>
                <w:rFonts w:eastAsia="Times New Roman" w:cstheme="minorHAnsi"/>
                <w:lang w:val="en" w:eastAsia="en-GB"/>
              </w:rPr>
              <w:t>independent special schools</w:t>
            </w:r>
          </w:p>
        </w:tc>
      </w:tr>
    </w:tbl>
    <w:p w:rsidR="00596BDF" w:rsidRDefault="00596BDF">
      <w:r>
        <w:br w:type="page"/>
      </w:r>
    </w:p>
    <w:tbl>
      <w:tblPr>
        <w:tblW w:w="20691" w:type="dxa"/>
        <w:tblLook w:val="04A0" w:firstRow="1" w:lastRow="0" w:firstColumn="1" w:lastColumn="0" w:noHBand="0" w:noVBand="1"/>
      </w:tblPr>
      <w:tblGrid>
        <w:gridCol w:w="1980"/>
        <w:gridCol w:w="6095"/>
        <w:gridCol w:w="2126"/>
        <w:gridCol w:w="3969"/>
        <w:gridCol w:w="5470"/>
        <w:gridCol w:w="1051"/>
      </w:tblGrid>
      <w:tr w:rsidR="00596BDF" w:rsidRPr="002C7498" w:rsidTr="00F72C6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BDF" w:rsidRPr="002C7498" w:rsidRDefault="00596BDF" w:rsidP="00F72C6F">
            <w:pPr>
              <w:spacing w:after="0" w:line="240" w:lineRule="auto"/>
              <w:rPr>
                <w:rFonts w:ascii="Calibri" w:eastAsia="Times New Roman" w:hAnsi="Calibri" w:cs="Calibri"/>
                <w:b/>
                <w:bCs/>
                <w:color w:val="000000"/>
                <w:lang w:eastAsia="en-GB"/>
              </w:rPr>
            </w:pPr>
            <w:r w:rsidRPr="002C7498">
              <w:rPr>
                <w:rFonts w:ascii="Calibri" w:eastAsia="Times New Roman" w:hAnsi="Calibri" w:cs="Calibri"/>
                <w:b/>
                <w:bCs/>
                <w:color w:val="000000"/>
                <w:lang w:eastAsia="en-GB"/>
              </w:rPr>
              <w:lastRenderedPageBreak/>
              <w:t>Grant</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96BDF" w:rsidRPr="002C7498" w:rsidRDefault="00596BDF" w:rsidP="00F72C6F">
            <w:pPr>
              <w:spacing w:after="0" w:line="240" w:lineRule="auto"/>
              <w:rPr>
                <w:rFonts w:ascii="Calibri" w:eastAsia="Times New Roman" w:hAnsi="Calibri" w:cs="Calibri"/>
                <w:b/>
                <w:bCs/>
                <w:color w:val="000000"/>
                <w:lang w:eastAsia="en-GB"/>
              </w:rPr>
            </w:pPr>
            <w:r w:rsidRPr="002C7498">
              <w:rPr>
                <w:rFonts w:ascii="Calibri" w:eastAsia="Times New Roman" w:hAnsi="Calibri" w:cs="Calibri"/>
                <w:b/>
                <w:bCs/>
                <w:color w:val="000000"/>
                <w:lang w:eastAsia="en-GB"/>
              </w:rPr>
              <w:t>What's covered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96BDF" w:rsidRPr="002C7498" w:rsidRDefault="00596BDF" w:rsidP="00F72C6F">
            <w:pPr>
              <w:spacing w:after="0" w:line="240" w:lineRule="auto"/>
              <w:rPr>
                <w:rFonts w:ascii="Calibri" w:eastAsia="Times New Roman" w:hAnsi="Calibri" w:cs="Calibri"/>
                <w:b/>
                <w:bCs/>
                <w:color w:val="000000"/>
                <w:lang w:eastAsia="en-GB"/>
              </w:rPr>
            </w:pPr>
            <w:r w:rsidRPr="002C7498">
              <w:rPr>
                <w:rFonts w:ascii="Calibri" w:eastAsia="Times New Roman" w:hAnsi="Calibri" w:cs="Calibri"/>
                <w:b/>
                <w:bCs/>
                <w:color w:val="000000"/>
                <w:lang w:eastAsia="en-GB"/>
              </w:rPr>
              <w:t>Period covered</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596BDF" w:rsidRPr="002C7498" w:rsidRDefault="00596BDF" w:rsidP="00F72C6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Funding Amounts/Limits</w:t>
            </w:r>
          </w:p>
        </w:tc>
        <w:tc>
          <w:tcPr>
            <w:tcW w:w="6521" w:type="dxa"/>
            <w:gridSpan w:val="2"/>
            <w:tcBorders>
              <w:top w:val="single" w:sz="4" w:space="0" w:color="auto"/>
              <w:left w:val="nil"/>
              <w:bottom w:val="single" w:sz="4" w:space="0" w:color="auto"/>
              <w:right w:val="single" w:sz="4" w:space="0" w:color="auto"/>
            </w:tcBorders>
            <w:shd w:val="clear" w:color="auto" w:fill="auto"/>
            <w:noWrap/>
            <w:vAlign w:val="bottom"/>
            <w:hideMark/>
          </w:tcPr>
          <w:p w:rsidR="00596BDF" w:rsidRPr="002C7498" w:rsidRDefault="00596BDF" w:rsidP="00F72C6F">
            <w:pPr>
              <w:spacing w:after="0" w:line="240" w:lineRule="auto"/>
              <w:rPr>
                <w:rFonts w:ascii="Calibri" w:eastAsia="Times New Roman" w:hAnsi="Calibri" w:cs="Calibri"/>
                <w:b/>
                <w:bCs/>
                <w:color w:val="000000"/>
                <w:lang w:eastAsia="en-GB"/>
              </w:rPr>
            </w:pPr>
            <w:r w:rsidRPr="002C7498">
              <w:rPr>
                <w:rFonts w:ascii="Calibri" w:eastAsia="Times New Roman" w:hAnsi="Calibri" w:cs="Calibri"/>
                <w:b/>
                <w:bCs/>
                <w:color w:val="000000"/>
                <w:lang w:eastAsia="en-GB"/>
              </w:rPr>
              <w:t>Eligibility Criteria</w:t>
            </w:r>
          </w:p>
        </w:tc>
      </w:tr>
      <w:tr w:rsidR="00274543" w:rsidRPr="002C7498" w:rsidTr="00596BDF">
        <w:trPr>
          <w:trHeight w:val="155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543" w:rsidRDefault="00274543" w:rsidP="002C74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National Tutoring Programme</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543" w:rsidRDefault="00274543" w:rsidP="00B074E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To provide high quality tuition for the most disadvantaged young people</w:t>
            </w:r>
            <w:r w:rsidR="00B074E0">
              <w:rPr>
                <w:rFonts w:ascii="Calibri" w:eastAsia="Times New Roman" w:hAnsi="Calibri" w:cs="Calibri"/>
                <w:color w:val="000000"/>
                <w:lang w:eastAsia="en-GB"/>
              </w:rPr>
              <w:t xml:space="preserve"> hardest hit by the coronavirus outbreak</w:t>
            </w:r>
            <w:r>
              <w:rPr>
                <w:rFonts w:ascii="Calibri" w:eastAsia="Times New Roman" w:hAnsi="Calibri" w:cs="Calibri"/>
                <w:color w:val="000000"/>
                <w:lang w:eastAsia="en-GB"/>
              </w:rPr>
              <w:t>.</w:t>
            </w:r>
            <w:r w:rsidR="00B074E0">
              <w:rPr>
                <w:rFonts w:ascii="Calibri" w:eastAsia="Times New Roman" w:hAnsi="Calibri" w:cs="Calibri"/>
                <w:color w:val="000000"/>
                <w:lang w:eastAsia="en-GB"/>
              </w:rPr>
              <w:t xml:space="preserve">  </w:t>
            </w:r>
            <w:r w:rsidR="000553D6">
              <w:rPr>
                <w:rFonts w:ascii="Calibri" w:eastAsia="Times New Roman" w:hAnsi="Calibri" w:cs="Calibri"/>
                <w:color w:val="000000"/>
                <w:lang w:eastAsia="en-GB"/>
              </w:rPr>
              <w:t xml:space="preserve">For further details see </w:t>
            </w:r>
            <w:hyperlink r:id="rId10" w:history="1">
              <w:r w:rsidR="000553D6" w:rsidRPr="00274543">
                <w:rPr>
                  <w:rStyle w:val="Hyperlink"/>
                  <w:rFonts w:ascii="Calibri" w:eastAsia="Times New Roman" w:hAnsi="Calibri" w:cs="Calibri"/>
                  <w:lang w:eastAsia="en-GB"/>
                </w:rPr>
                <w:t>here</w:t>
              </w:r>
            </w:hyperlink>
            <w:r w:rsidR="000553D6">
              <w:rPr>
                <w:rFonts w:ascii="Calibri" w:eastAsia="Times New Roman" w:hAnsi="Calibri" w:cs="Calibri"/>
                <w:color w:val="000000"/>
                <w:lang w:eastAsia="en-GB"/>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543" w:rsidRDefault="00274543" w:rsidP="00617FD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Academic year 2020-21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543" w:rsidRDefault="00B074E0" w:rsidP="00B074E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£350m nationally to fund the programme.</w:t>
            </w:r>
          </w:p>
          <w:p w:rsidR="00B074E0" w:rsidRDefault="00B074E0" w:rsidP="00B074E0">
            <w:pPr>
              <w:spacing w:after="0" w:line="240" w:lineRule="auto"/>
              <w:rPr>
                <w:rFonts w:ascii="Calibri" w:eastAsia="Times New Roman" w:hAnsi="Calibri" w:cs="Calibri"/>
                <w:color w:val="000000"/>
                <w:lang w:eastAsia="en-GB"/>
              </w:rPr>
            </w:pPr>
          </w:p>
          <w:p w:rsidR="00B074E0" w:rsidRDefault="00B074E0" w:rsidP="00B074E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Funding is not directly available to schools but they will be able to use their catch-up premium to cover the subsidised cost of the programme.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74543" w:rsidRDefault="00B074E0" w:rsidP="000553D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Schools in all regions will be able to access subsidised tuition from an approved list of tuition partners.  </w:t>
            </w:r>
            <w:r w:rsidR="007268A3">
              <w:rPr>
                <w:lang w:val="en"/>
              </w:rPr>
              <w:t xml:space="preserve">See </w:t>
            </w:r>
            <w:hyperlink r:id="rId11" w:history="1">
              <w:r w:rsidR="007268A3">
                <w:rPr>
                  <w:rStyle w:val="Hyperlink"/>
                  <w:lang w:val="en"/>
                </w:rPr>
                <w:t>Teach First’s website</w:t>
              </w:r>
            </w:hyperlink>
            <w:r w:rsidR="007268A3">
              <w:rPr>
                <w:lang w:val="en"/>
              </w:rPr>
              <w:t xml:space="preserve"> for more details on eligibility.</w:t>
            </w:r>
            <w:r w:rsidR="00274543">
              <w:rPr>
                <w:rFonts w:ascii="Calibri" w:eastAsia="Times New Roman" w:hAnsi="Calibri" w:cs="Calibri"/>
                <w:color w:val="000000"/>
                <w:lang w:eastAsia="en-GB"/>
              </w:rPr>
              <w:t xml:space="preserve">  </w:t>
            </w:r>
          </w:p>
        </w:tc>
      </w:tr>
      <w:tr w:rsidR="00F11299" w:rsidRPr="002C7498" w:rsidTr="00596BDF">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299" w:rsidRDefault="00F11299" w:rsidP="00F1129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Exceptional funding for 18 year olds (sixth form schools</w:t>
            </w:r>
            <w:r w:rsidR="00A73358">
              <w:rPr>
                <w:rFonts w:ascii="Calibri" w:eastAsia="Times New Roman" w:hAnsi="Calibri" w:cs="Calibri"/>
                <w:color w:val="000000"/>
                <w:lang w:eastAsia="en-GB"/>
              </w:rPr>
              <w:t xml:space="preserve"> and colleges</w:t>
            </w:r>
            <w:r>
              <w:rPr>
                <w:rFonts w:ascii="Calibri" w:eastAsia="Times New Roman" w:hAnsi="Calibri" w:cs="Calibri"/>
                <w:color w:val="000000"/>
                <w:lang w:eastAsia="en-GB"/>
              </w:rPr>
              <w:t>) and 19 year olds (AEB learners)</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F11299" w:rsidRDefault="00F11299" w:rsidP="00F1129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One-off exceptional funding for 18 and 19 year olds leaving school or college </w:t>
            </w:r>
            <w:r w:rsidR="00A73358">
              <w:rPr>
                <w:rFonts w:ascii="Calibri" w:eastAsia="Times New Roman" w:hAnsi="Calibri" w:cs="Calibri"/>
                <w:color w:val="000000"/>
                <w:lang w:eastAsia="en-GB"/>
              </w:rPr>
              <w:t xml:space="preserve">this summer </w:t>
            </w:r>
            <w:r>
              <w:rPr>
                <w:rFonts w:ascii="Calibri" w:eastAsia="Times New Roman" w:hAnsi="Calibri" w:cs="Calibri"/>
                <w:color w:val="000000"/>
                <w:lang w:eastAsia="en-GB"/>
              </w:rPr>
              <w:t xml:space="preserve">to encourage and support delivery of selected level 2 and 3 qualifications in specific subjects </w:t>
            </w:r>
            <w:r w:rsidR="00A73358">
              <w:rPr>
                <w:rFonts w:ascii="Calibri" w:eastAsia="Times New Roman" w:hAnsi="Calibri" w:cs="Calibri"/>
                <w:color w:val="000000"/>
                <w:lang w:eastAsia="en-GB"/>
              </w:rPr>
              <w:t>as part of the wider COVID19 skills recovery response.</w:t>
            </w:r>
          </w:p>
          <w:p w:rsidR="00F11299" w:rsidRDefault="00F11299" w:rsidP="00F11299">
            <w:pPr>
              <w:spacing w:after="0" w:line="240" w:lineRule="auto"/>
              <w:rPr>
                <w:rFonts w:ascii="Calibri" w:eastAsia="Times New Roman" w:hAnsi="Calibri" w:cs="Calibri"/>
                <w:color w:val="000000"/>
                <w:lang w:eastAsia="en-GB"/>
              </w:rPr>
            </w:pPr>
          </w:p>
          <w:p w:rsidR="00A73358" w:rsidRDefault="00A73358" w:rsidP="00F11299">
            <w:pPr>
              <w:spacing w:after="0" w:line="240" w:lineRule="auto"/>
              <w:rPr>
                <w:lang w:val="en"/>
              </w:rPr>
            </w:pPr>
            <w:r>
              <w:rPr>
                <w:lang w:val="en"/>
              </w:rPr>
              <w:t>The priority is for young people to find work or a work-based training offer such as an apprenticeship or traineeship. Where these are not available locally, providers can use this funding to deliver extra classroom-based opportunities to young people to prevent them becoming not in employment, education or training (NEET).</w:t>
            </w:r>
          </w:p>
          <w:p w:rsidR="00A73358" w:rsidRDefault="00A73358" w:rsidP="00F11299">
            <w:pPr>
              <w:spacing w:after="0" w:line="240" w:lineRule="auto"/>
              <w:rPr>
                <w:lang w:val="en"/>
              </w:rPr>
            </w:pPr>
          </w:p>
          <w:p w:rsidR="00A73358" w:rsidRDefault="00A73358" w:rsidP="00F11299">
            <w:pPr>
              <w:spacing w:after="0" w:line="240" w:lineRule="auto"/>
              <w:rPr>
                <w:rFonts w:ascii="Calibri" w:eastAsia="Times New Roman" w:hAnsi="Calibri" w:cs="Calibri"/>
                <w:color w:val="000000"/>
                <w:lang w:eastAsia="en-GB"/>
              </w:rPr>
            </w:pPr>
            <w:r>
              <w:rPr>
                <w:lang w:val="en"/>
              </w:rPr>
              <w:t>This is a short-term offer. The ESFA will fund young people aged 18 and 19 for an additional programme of study of high value level 2 and 3 qualifications for up to a year from September 2020 if they cannot find employment or work-based training.</w:t>
            </w:r>
          </w:p>
          <w:p w:rsidR="00A73358" w:rsidRDefault="00A73358" w:rsidP="00F11299">
            <w:pPr>
              <w:spacing w:after="0" w:line="240" w:lineRule="auto"/>
              <w:rPr>
                <w:rFonts w:ascii="Calibri" w:eastAsia="Times New Roman" w:hAnsi="Calibri" w:cs="Calibri"/>
                <w:color w:val="000000"/>
                <w:lang w:eastAsia="en-GB"/>
              </w:rPr>
            </w:pPr>
          </w:p>
          <w:p w:rsidR="00F11299" w:rsidRDefault="00F11299" w:rsidP="00F1129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funding is to cover the costs of putting on additional courses at short notice, recruiting extra students and preparing staffing and facilities</w:t>
            </w:r>
          </w:p>
          <w:p w:rsidR="00A73358" w:rsidRDefault="00A73358" w:rsidP="00F11299">
            <w:pPr>
              <w:spacing w:after="0" w:line="240" w:lineRule="auto"/>
              <w:rPr>
                <w:rFonts w:ascii="Calibri" w:eastAsia="Times New Roman" w:hAnsi="Calibri" w:cs="Calibri"/>
                <w:color w:val="000000"/>
                <w:lang w:eastAsia="en-GB"/>
              </w:rPr>
            </w:pPr>
          </w:p>
          <w:p w:rsidR="00A73358" w:rsidRDefault="00A73358" w:rsidP="00F1129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Further details are available </w:t>
            </w:r>
            <w:hyperlink r:id="rId12" w:anchor="for-18-year-olds" w:history="1">
              <w:r w:rsidRPr="00A73358">
                <w:rPr>
                  <w:rStyle w:val="Hyperlink"/>
                  <w:rFonts w:ascii="Calibri" w:eastAsia="Times New Roman" w:hAnsi="Calibri" w:cs="Calibri"/>
                  <w:lang w:eastAsia="en-GB"/>
                </w:rPr>
                <w:t>here</w:t>
              </w:r>
            </w:hyperlink>
            <w:r>
              <w:rPr>
                <w:rFonts w:ascii="Calibri" w:eastAsia="Times New Roman" w:hAnsi="Calibri" w:cs="Calibri"/>
                <w:color w:val="000000"/>
                <w:lang w:eastAsia="en-GB"/>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11299" w:rsidRDefault="00F11299" w:rsidP="00617FD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Academic year 2020-21</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11299" w:rsidRDefault="00F11299" w:rsidP="00B074E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offer includes:</w:t>
            </w:r>
          </w:p>
          <w:p w:rsidR="00F11299" w:rsidRDefault="00F11299" w:rsidP="00B074E0">
            <w:pPr>
              <w:spacing w:after="0" w:line="240" w:lineRule="auto"/>
              <w:rPr>
                <w:rFonts w:ascii="Calibri" w:eastAsia="Times New Roman" w:hAnsi="Calibri" w:cs="Calibri"/>
                <w:color w:val="000000"/>
                <w:lang w:eastAsia="en-GB"/>
              </w:rPr>
            </w:pPr>
          </w:p>
          <w:p w:rsidR="00F11299" w:rsidRDefault="00F11299" w:rsidP="00F11299">
            <w:pPr>
              <w:pStyle w:val="ListParagraph"/>
              <w:numPr>
                <w:ilvl w:val="0"/>
                <w:numId w:val="11"/>
              </w:numPr>
              <w:spacing w:after="0" w:line="240" w:lineRule="auto"/>
              <w:rPr>
                <w:rFonts w:ascii="Calibri" w:eastAsia="Times New Roman" w:hAnsi="Calibri" w:cs="Calibri"/>
                <w:color w:val="000000"/>
                <w:lang w:eastAsia="en-GB"/>
              </w:rPr>
            </w:pPr>
            <w:r w:rsidRPr="00F11299">
              <w:rPr>
                <w:rFonts w:ascii="Calibri" w:eastAsia="Times New Roman" w:hAnsi="Calibri" w:cs="Calibri"/>
                <w:color w:val="000000"/>
                <w:lang w:eastAsia="en-GB"/>
              </w:rPr>
              <w:t xml:space="preserve">£400 </w:t>
            </w:r>
            <w:r w:rsidR="00A73358">
              <w:rPr>
                <w:rFonts w:ascii="Calibri" w:eastAsia="Times New Roman" w:hAnsi="Calibri" w:cs="Calibri"/>
                <w:color w:val="000000"/>
                <w:lang w:eastAsia="en-GB"/>
              </w:rPr>
              <w:t xml:space="preserve">lump sum </w:t>
            </w:r>
            <w:r w:rsidRPr="00F11299">
              <w:rPr>
                <w:rFonts w:ascii="Calibri" w:eastAsia="Times New Roman" w:hAnsi="Calibri" w:cs="Calibri"/>
                <w:color w:val="000000"/>
                <w:lang w:eastAsia="en-GB"/>
              </w:rPr>
              <w:t>uplift to be paid once per learner</w:t>
            </w:r>
          </w:p>
          <w:p w:rsidR="00F11299" w:rsidRPr="00F11299" w:rsidRDefault="00F11299" w:rsidP="00F11299">
            <w:pPr>
              <w:pStyle w:val="NormalWeb"/>
              <w:numPr>
                <w:ilvl w:val="0"/>
                <w:numId w:val="11"/>
              </w:numPr>
              <w:rPr>
                <w:rFonts w:asciiTheme="minorHAnsi" w:hAnsiTheme="minorHAnsi" w:cstheme="minorHAnsi"/>
                <w:sz w:val="22"/>
                <w:szCs w:val="22"/>
                <w:lang w:val="en"/>
              </w:rPr>
            </w:pPr>
            <w:r w:rsidRPr="00F11299">
              <w:rPr>
                <w:rFonts w:asciiTheme="minorHAnsi" w:hAnsiTheme="minorHAnsi" w:cstheme="minorHAnsi"/>
                <w:sz w:val="22"/>
                <w:szCs w:val="22"/>
                <w:lang w:val="en"/>
              </w:rPr>
              <w:t>adjustments to retention payments (16 to 19 funding) and job outcome payments (ESFA AEB) to compensate where learners leave early and take up employment or an apprenticeship</w:t>
            </w:r>
          </w:p>
          <w:p w:rsidR="00F11299" w:rsidRPr="00F11299" w:rsidRDefault="00F11299" w:rsidP="00F11299">
            <w:pPr>
              <w:pStyle w:val="NormalWeb"/>
              <w:numPr>
                <w:ilvl w:val="0"/>
                <w:numId w:val="11"/>
              </w:numPr>
              <w:rPr>
                <w:rFonts w:asciiTheme="minorHAnsi" w:hAnsiTheme="minorHAnsi" w:cstheme="minorHAnsi"/>
                <w:sz w:val="22"/>
                <w:szCs w:val="22"/>
                <w:lang w:val="en"/>
              </w:rPr>
            </w:pPr>
            <w:r w:rsidRPr="00F11299">
              <w:rPr>
                <w:rFonts w:asciiTheme="minorHAnsi" w:hAnsiTheme="minorHAnsi" w:cstheme="minorHAnsi"/>
                <w:sz w:val="22"/>
                <w:szCs w:val="22"/>
                <w:lang w:val="en"/>
              </w:rPr>
              <w:t>increased rate to fund 18 year olds on larger programmes at the rate for 16 and 17 year olds</w:t>
            </w:r>
          </w:p>
          <w:p w:rsidR="00F11299" w:rsidRPr="00F11299" w:rsidRDefault="00F11299" w:rsidP="00F11299">
            <w:pPr>
              <w:pStyle w:val="ListParagraph"/>
              <w:spacing w:after="0" w:line="240" w:lineRule="auto"/>
              <w:rPr>
                <w:rFonts w:ascii="Calibri" w:eastAsia="Times New Roman" w:hAnsi="Calibri" w:cs="Calibri"/>
                <w:color w:val="000000"/>
                <w:lang w:eastAsia="en-GB"/>
              </w:rPr>
            </w:pPr>
          </w:p>
        </w:tc>
        <w:tc>
          <w:tcPr>
            <w:tcW w:w="6521" w:type="dxa"/>
            <w:gridSpan w:val="2"/>
            <w:tcBorders>
              <w:top w:val="single" w:sz="4" w:space="0" w:color="auto"/>
              <w:left w:val="nil"/>
              <w:bottom w:val="single" w:sz="4" w:space="0" w:color="auto"/>
              <w:right w:val="single" w:sz="4" w:space="0" w:color="auto"/>
            </w:tcBorders>
            <w:shd w:val="clear" w:color="auto" w:fill="auto"/>
            <w:noWrap/>
            <w:vAlign w:val="center"/>
          </w:tcPr>
          <w:p w:rsidR="00F11299" w:rsidRDefault="00F11299" w:rsidP="000553D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Funding is available for learners:</w:t>
            </w:r>
          </w:p>
          <w:p w:rsidR="00F11299" w:rsidRDefault="00F11299" w:rsidP="00F11299">
            <w:pPr>
              <w:numPr>
                <w:ilvl w:val="0"/>
                <w:numId w:val="10"/>
              </w:numPr>
              <w:spacing w:before="100" w:beforeAutospacing="1" w:after="100" w:afterAutospacing="1" w:line="240" w:lineRule="auto"/>
              <w:rPr>
                <w:lang w:val="en"/>
              </w:rPr>
            </w:pPr>
            <w:r>
              <w:rPr>
                <w:lang w:val="en"/>
              </w:rPr>
              <w:t xml:space="preserve">aged 18 </w:t>
            </w:r>
            <w:r w:rsidR="00A73358">
              <w:rPr>
                <w:lang w:val="en"/>
              </w:rPr>
              <w:t>at the start of the 2020 to 2021 academic year</w:t>
            </w:r>
          </w:p>
          <w:p w:rsidR="00A73358" w:rsidRDefault="00A73358" w:rsidP="00F11299">
            <w:pPr>
              <w:numPr>
                <w:ilvl w:val="0"/>
                <w:numId w:val="10"/>
              </w:numPr>
              <w:spacing w:before="100" w:beforeAutospacing="1" w:after="100" w:afterAutospacing="1" w:line="240" w:lineRule="auto"/>
              <w:rPr>
                <w:lang w:val="en"/>
              </w:rPr>
            </w:pPr>
            <w:r>
              <w:rPr>
                <w:lang w:val="en"/>
              </w:rPr>
              <w:t>enrolled on a planned one year qualifying 16 to 19 study programme that starts after 31 August 2020</w:t>
            </w:r>
          </w:p>
          <w:p w:rsidR="00F11299" w:rsidRDefault="00F11299" w:rsidP="00F11299">
            <w:pPr>
              <w:numPr>
                <w:ilvl w:val="0"/>
                <w:numId w:val="10"/>
              </w:numPr>
              <w:spacing w:before="100" w:beforeAutospacing="1" w:after="100" w:afterAutospacing="1" w:line="240" w:lineRule="auto"/>
              <w:rPr>
                <w:lang w:val="en"/>
              </w:rPr>
            </w:pPr>
            <w:r>
              <w:rPr>
                <w:lang w:val="en"/>
              </w:rPr>
              <w:t xml:space="preserve">studying qualifications of between 120 and 540 guided learning hours (GLH) included on </w:t>
            </w:r>
            <w:hyperlink r:id="rId13" w:history="1">
              <w:r>
                <w:rPr>
                  <w:rStyle w:val="Hyperlink"/>
                  <w:lang w:val="en"/>
                </w:rPr>
                <w:t>published list of eligible qualifications</w:t>
              </w:r>
            </w:hyperlink>
            <w:r>
              <w:rPr>
                <w:lang w:val="en"/>
              </w:rPr>
              <w:t xml:space="preserve"> </w:t>
            </w:r>
          </w:p>
          <w:p w:rsidR="00F11299" w:rsidRDefault="00A73358" w:rsidP="000553D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Further details are available </w:t>
            </w:r>
            <w:hyperlink r:id="rId14" w:anchor="for-18-year-olds" w:history="1">
              <w:r w:rsidRPr="00A73358">
                <w:rPr>
                  <w:rStyle w:val="Hyperlink"/>
                  <w:rFonts w:ascii="Calibri" w:eastAsia="Times New Roman" w:hAnsi="Calibri" w:cs="Calibri"/>
                  <w:lang w:eastAsia="en-GB"/>
                </w:rPr>
                <w:t>here</w:t>
              </w:r>
            </w:hyperlink>
          </w:p>
        </w:tc>
      </w:tr>
      <w:tr w:rsidR="00886CD1" w:rsidRPr="002C7498" w:rsidTr="00274543">
        <w:trPr>
          <w:trHeight w:val="29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886CD1" w:rsidRDefault="00886CD1" w:rsidP="00F1129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16 to 19 Tuition Fund</w:t>
            </w:r>
          </w:p>
        </w:tc>
        <w:tc>
          <w:tcPr>
            <w:tcW w:w="6095" w:type="dxa"/>
            <w:tcBorders>
              <w:top w:val="nil"/>
              <w:left w:val="nil"/>
              <w:bottom w:val="single" w:sz="4" w:space="0" w:color="auto"/>
              <w:right w:val="single" w:sz="4" w:space="0" w:color="auto"/>
            </w:tcBorders>
            <w:shd w:val="clear" w:color="auto" w:fill="auto"/>
            <w:noWrap/>
            <w:vAlign w:val="center"/>
          </w:tcPr>
          <w:p w:rsidR="00886CD1" w:rsidRDefault="00886CD1" w:rsidP="00886CD1">
            <w:pPr>
              <w:spacing w:after="0" w:line="240" w:lineRule="auto"/>
              <w:rPr>
                <w:lang w:val="en"/>
              </w:rPr>
            </w:pPr>
            <w:r>
              <w:rPr>
                <w:lang w:val="en"/>
              </w:rPr>
              <w:t>One-off funding ring-fenced to provide support to small group tuition for 16 to 19 students in English, maths and other courses where learning has been disrupted as a result of COVID19.</w:t>
            </w:r>
          </w:p>
          <w:p w:rsidR="00886CD1" w:rsidRDefault="00886CD1" w:rsidP="00886CD1">
            <w:pPr>
              <w:spacing w:after="0" w:line="240" w:lineRule="auto"/>
              <w:rPr>
                <w:lang w:val="en"/>
              </w:rPr>
            </w:pPr>
          </w:p>
          <w:p w:rsidR="00886CD1" w:rsidRDefault="00886CD1" w:rsidP="00886CD1">
            <w:pPr>
              <w:spacing w:after="0" w:line="240" w:lineRule="auto"/>
              <w:rPr>
                <w:lang w:val="en"/>
              </w:rPr>
            </w:pPr>
            <w:r>
              <w:rPr>
                <w:lang w:val="en"/>
              </w:rPr>
              <w:t>The funding should be used to support the tuition activity above and beyond the programmes of education already planned for 2020 to 2021.</w:t>
            </w:r>
          </w:p>
          <w:p w:rsidR="00B40B2D" w:rsidRDefault="00B40B2D" w:rsidP="00886CD1">
            <w:pPr>
              <w:spacing w:after="0" w:line="240" w:lineRule="auto"/>
              <w:rPr>
                <w:lang w:val="en"/>
              </w:rPr>
            </w:pPr>
          </w:p>
          <w:p w:rsidR="00B40B2D" w:rsidRDefault="00B40B2D" w:rsidP="00886CD1">
            <w:pPr>
              <w:spacing w:after="0" w:line="240" w:lineRule="auto"/>
              <w:rPr>
                <w:rFonts w:ascii="Calibri" w:eastAsia="Times New Roman" w:hAnsi="Calibri" w:cs="Calibri"/>
                <w:color w:val="000000"/>
                <w:lang w:eastAsia="en-GB"/>
              </w:rPr>
            </w:pPr>
            <w:r>
              <w:rPr>
                <w:lang w:val="en"/>
              </w:rPr>
              <w:t xml:space="preserve">Further details are available </w:t>
            </w:r>
            <w:hyperlink r:id="rId15" w:history="1">
              <w:r w:rsidRPr="00B40B2D">
                <w:rPr>
                  <w:rStyle w:val="Hyperlink"/>
                  <w:lang w:val="en"/>
                </w:rPr>
                <w:t>here</w:t>
              </w:r>
            </w:hyperlink>
            <w:r>
              <w:rPr>
                <w:lang w:val="en"/>
              </w:rPr>
              <w:t>.</w:t>
            </w:r>
          </w:p>
        </w:tc>
        <w:tc>
          <w:tcPr>
            <w:tcW w:w="2126" w:type="dxa"/>
            <w:tcBorders>
              <w:top w:val="nil"/>
              <w:left w:val="nil"/>
              <w:bottom w:val="single" w:sz="4" w:space="0" w:color="auto"/>
              <w:right w:val="single" w:sz="4" w:space="0" w:color="auto"/>
            </w:tcBorders>
            <w:shd w:val="clear" w:color="auto" w:fill="auto"/>
            <w:noWrap/>
            <w:vAlign w:val="center"/>
          </w:tcPr>
          <w:p w:rsidR="00886CD1" w:rsidRDefault="00886CD1" w:rsidP="00617FD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Academic year 2020-21</w:t>
            </w:r>
          </w:p>
        </w:tc>
        <w:tc>
          <w:tcPr>
            <w:tcW w:w="3969" w:type="dxa"/>
            <w:tcBorders>
              <w:top w:val="nil"/>
              <w:left w:val="nil"/>
              <w:bottom w:val="single" w:sz="4" w:space="0" w:color="auto"/>
              <w:right w:val="single" w:sz="4" w:space="0" w:color="auto"/>
            </w:tcBorders>
            <w:shd w:val="clear" w:color="auto" w:fill="auto"/>
            <w:noWrap/>
            <w:vAlign w:val="center"/>
          </w:tcPr>
          <w:p w:rsidR="00886CD1" w:rsidRDefault="00886CD1" w:rsidP="00B074E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£150 per full time student, pro rata for part time students</w:t>
            </w:r>
          </w:p>
          <w:p w:rsidR="00886CD1" w:rsidRDefault="00886CD1" w:rsidP="00B074E0">
            <w:pPr>
              <w:spacing w:after="0" w:line="240" w:lineRule="auto"/>
              <w:rPr>
                <w:rFonts w:ascii="Calibri" w:eastAsia="Times New Roman" w:hAnsi="Calibri" w:cs="Calibri"/>
                <w:color w:val="000000"/>
                <w:lang w:eastAsia="en-GB"/>
              </w:rPr>
            </w:pPr>
          </w:p>
          <w:p w:rsidR="00886CD1" w:rsidRDefault="00886CD1" w:rsidP="00B074E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Providers will start to receive the extra funding </w:t>
            </w:r>
            <w:r w:rsidR="00B40B2D">
              <w:rPr>
                <w:rFonts w:ascii="Calibri" w:eastAsia="Times New Roman" w:hAnsi="Calibri" w:cs="Calibri"/>
                <w:color w:val="000000"/>
                <w:lang w:eastAsia="en-GB"/>
              </w:rPr>
              <w:t>through the 16 to 19 funding allocations from November 2020</w:t>
            </w:r>
          </w:p>
        </w:tc>
        <w:tc>
          <w:tcPr>
            <w:tcW w:w="6521" w:type="dxa"/>
            <w:gridSpan w:val="2"/>
            <w:tcBorders>
              <w:top w:val="nil"/>
              <w:left w:val="nil"/>
              <w:bottom w:val="single" w:sz="4" w:space="0" w:color="auto"/>
              <w:right w:val="single" w:sz="4" w:space="0" w:color="auto"/>
            </w:tcBorders>
            <w:shd w:val="clear" w:color="auto" w:fill="auto"/>
            <w:noWrap/>
            <w:vAlign w:val="center"/>
          </w:tcPr>
          <w:p w:rsidR="00886CD1" w:rsidRDefault="00886CD1" w:rsidP="000553D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Funding is available for:</w:t>
            </w:r>
          </w:p>
          <w:p w:rsidR="00886CD1" w:rsidRDefault="00886CD1" w:rsidP="000553D6">
            <w:pPr>
              <w:spacing w:after="0" w:line="240" w:lineRule="auto"/>
              <w:rPr>
                <w:rFonts w:ascii="Calibri" w:eastAsia="Times New Roman" w:hAnsi="Calibri" w:cs="Calibri"/>
                <w:color w:val="000000"/>
                <w:lang w:eastAsia="en-GB"/>
              </w:rPr>
            </w:pPr>
          </w:p>
          <w:p w:rsidR="00886CD1" w:rsidRDefault="00886CD1" w:rsidP="00886CD1">
            <w:pPr>
              <w:pStyle w:val="ListParagraph"/>
              <w:numPr>
                <w:ilvl w:val="0"/>
                <w:numId w:val="1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each provider for students without GCSE grade 4 or above in English and/or maths based on the numbers in their current 2020 to 20221 academic year allocation </w:t>
            </w:r>
          </w:p>
          <w:p w:rsidR="00886CD1" w:rsidRDefault="00886CD1" w:rsidP="00886CD1">
            <w:pPr>
              <w:pStyle w:val="ListParagraph"/>
              <w:numPr>
                <w:ilvl w:val="0"/>
                <w:numId w:val="1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Young people with special educati</w:t>
            </w:r>
            <w:r w:rsidR="00B40B2D">
              <w:rPr>
                <w:rFonts w:ascii="Calibri" w:eastAsia="Times New Roman" w:hAnsi="Calibri" w:cs="Calibri"/>
                <w:color w:val="000000"/>
                <w:lang w:eastAsia="en-GB"/>
              </w:rPr>
              <w:t>onal needs and disabilities age</w:t>
            </w:r>
            <w:r>
              <w:rPr>
                <w:rFonts w:ascii="Calibri" w:eastAsia="Times New Roman" w:hAnsi="Calibri" w:cs="Calibri"/>
                <w:color w:val="000000"/>
                <w:lang w:eastAsia="en-GB"/>
              </w:rPr>
              <w:t>d 19 to 24 who have an ECHP will be eligible for support via the 16 to 19 Tuition fund</w:t>
            </w:r>
          </w:p>
          <w:p w:rsidR="00B40B2D" w:rsidRDefault="00B40B2D" w:rsidP="00B40B2D">
            <w:pPr>
              <w:spacing w:after="0" w:line="240" w:lineRule="auto"/>
              <w:rPr>
                <w:rFonts w:ascii="Calibri" w:eastAsia="Times New Roman" w:hAnsi="Calibri" w:cs="Calibri"/>
                <w:color w:val="000000"/>
                <w:lang w:eastAsia="en-GB"/>
              </w:rPr>
            </w:pPr>
          </w:p>
          <w:p w:rsidR="00B40B2D" w:rsidRDefault="00B40B2D" w:rsidP="00B40B2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All providers, as a condition of the funding must:</w:t>
            </w:r>
          </w:p>
          <w:p w:rsidR="00B40B2D" w:rsidRPr="00B40B2D" w:rsidRDefault="00B40B2D" w:rsidP="00B40B2D">
            <w:pPr>
              <w:numPr>
                <w:ilvl w:val="0"/>
                <w:numId w:val="14"/>
              </w:numPr>
              <w:spacing w:before="100" w:beforeAutospacing="1" w:after="100" w:afterAutospacing="1" w:line="240" w:lineRule="auto"/>
              <w:rPr>
                <w:rFonts w:eastAsia="Times New Roman" w:cstheme="minorHAnsi"/>
                <w:lang w:val="en" w:eastAsia="en-GB"/>
              </w:rPr>
            </w:pPr>
            <w:r w:rsidRPr="00B40B2D">
              <w:rPr>
                <w:rFonts w:eastAsia="Times New Roman" w:cstheme="minorHAnsi"/>
                <w:lang w:val="en" w:eastAsia="en-GB"/>
              </w:rPr>
              <w:t>produce a concise statement explaining how they will use this funding in line with our guidance to prioritise support for disadvantaged students</w:t>
            </w:r>
          </w:p>
          <w:p w:rsidR="00B40B2D" w:rsidRPr="00B40B2D" w:rsidRDefault="00B40B2D" w:rsidP="00B40B2D">
            <w:pPr>
              <w:numPr>
                <w:ilvl w:val="0"/>
                <w:numId w:val="14"/>
              </w:numPr>
              <w:spacing w:before="100" w:beforeAutospacing="1" w:after="100" w:afterAutospacing="1" w:line="240" w:lineRule="auto"/>
              <w:rPr>
                <w:rFonts w:eastAsia="Times New Roman" w:cstheme="minorHAnsi"/>
                <w:lang w:val="en" w:eastAsia="en-GB"/>
              </w:rPr>
            </w:pPr>
            <w:r w:rsidRPr="00B40B2D">
              <w:rPr>
                <w:rFonts w:eastAsia="Times New Roman" w:cstheme="minorHAnsi"/>
                <w:lang w:val="en" w:eastAsia="en-GB"/>
              </w:rPr>
              <w:t>publish the statement on their website in the autumn term</w:t>
            </w:r>
          </w:p>
          <w:p w:rsidR="00B40B2D" w:rsidRPr="00B40B2D" w:rsidRDefault="00B40B2D" w:rsidP="00B40B2D">
            <w:pPr>
              <w:numPr>
                <w:ilvl w:val="0"/>
                <w:numId w:val="14"/>
              </w:numPr>
              <w:spacing w:before="100" w:beforeAutospacing="1" w:after="100" w:afterAutospacing="1" w:line="240" w:lineRule="auto"/>
              <w:rPr>
                <w:rFonts w:eastAsia="Times New Roman" w:cstheme="minorHAnsi"/>
                <w:lang w:val="en" w:eastAsia="en-GB"/>
              </w:rPr>
            </w:pPr>
            <w:r w:rsidRPr="00B40B2D">
              <w:rPr>
                <w:rFonts w:eastAsia="Times New Roman" w:cstheme="minorHAnsi"/>
                <w:lang w:val="en" w:eastAsia="en-GB"/>
              </w:rPr>
              <w:t>record the use of the funding, including reference to the individual students that receive the support, the needs of those students, the number of hours of tuition delivered, and retain the necessary evidence of the tuition provided,</w:t>
            </w:r>
          </w:p>
          <w:p w:rsidR="00B40B2D" w:rsidRPr="00B40B2D" w:rsidRDefault="00B40B2D" w:rsidP="00B40B2D">
            <w:pPr>
              <w:numPr>
                <w:ilvl w:val="0"/>
                <w:numId w:val="14"/>
              </w:numPr>
              <w:spacing w:before="100" w:beforeAutospacing="1" w:after="100" w:afterAutospacing="1" w:line="240" w:lineRule="auto"/>
              <w:rPr>
                <w:rFonts w:eastAsia="Times New Roman" w:cstheme="minorHAnsi"/>
                <w:lang w:val="en" w:eastAsia="en-GB"/>
              </w:rPr>
            </w:pPr>
            <w:r w:rsidRPr="00B40B2D">
              <w:rPr>
                <w:rFonts w:eastAsia="Times New Roman" w:cstheme="minorHAnsi"/>
                <w:lang w:val="en" w:eastAsia="en-GB"/>
              </w:rPr>
              <w:t>deliver the extra tuition and spend the associated funding in the 2020 to 2021 academic year</w:t>
            </w:r>
          </w:p>
          <w:p w:rsidR="00B40B2D" w:rsidRPr="00B40B2D" w:rsidRDefault="00B40B2D" w:rsidP="00B40B2D">
            <w:pPr>
              <w:numPr>
                <w:ilvl w:val="0"/>
                <w:numId w:val="14"/>
              </w:numPr>
              <w:spacing w:before="100" w:beforeAutospacing="1" w:after="0" w:afterAutospacing="1" w:line="240" w:lineRule="auto"/>
              <w:rPr>
                <w:rFonts w:ascii="Calibri" w:eastAsia="Times New Roman" w:hAnsi="Calibri" w:cs="Calibri"/>
                <w:color w:val="000000"/>
                <w:lang w:eastAsia="en-GB"/>
              </w:rPr>
            </w:pPr>
            <w:r w:rsidRPr="00B40B2D">
              <w:rPr>
                <w:rFonts w:eastAsia="Times New Roman" w:cstheme="minorHAnsi"/>
                <w:lang w:val="en" w:eastAsia="en-GB"/>
              </w:rPr>
              <w:lastRenderedPageBreak/>
              <w:t>notify ESFA of any unspent funding from this fund for it to be reclaimed</w:t>
            </w:r>
          </w:p>
        </w:tc>
      </w:tr>
      <w:tr w:rsidR="00617FD8" w:rsidRPr="002C7498" w:rsidTr="00617FD8">
        <w:trPr>
          <w:gridAfter w:val="1"/>
          <w:wAfter w:w="1051" w:type="dxa"/>
          <w:trHeight w:val="290"/>
        </w:trPr>
        <w:tc>
          <w:tcPr>
            <w:tcW w:w="1980" w:type="dxa"/>
            <w:tcBorders>
              <w:top w:val="nil"/>
              <w:left w:val="nil"/>
              <w:bottom w:val="nil"/>
              <w:right w:val="nil"/>
            </w:tcBorders>
            <w:shd w:val="clear" w:color="auto" w:fill="auto"/>
            <w:noWrap/>
            <w:vAlign w:val="bottom"/>
            <w:hideMark/>
          </w:tcPr>
          <w:p w:rsidR="002C7498" w:rsidRPr="002C7498" w:rsidRDefault="002C7498" w:rsidP="002C7498">
            <w:pPr>
              <w:spacing w:after="0" w:line="240" w:lineRule="auto"/>
              <w:rPr>
                <w:rFonts w:ascii="Calibri" w:eastAsia="Times New Roman" w:hAnsi="Calibri" w:cs="Calibri"/>
                <w:color w:val="000000"/>
                <w:lang w:eastAsia="en-GB"/>
              </w:rPr>
            </w:pPr>
          </w:p>
        </w:tc>
        <w:tc>
          <w:tcPr>
            <w:tcW w:w="6095" w:type="dxa"/>
            <w:tcBorders>
              <w:top w:val="nil"/>
              <w:left w:val="nil"/>
              <w:bottom w:val="nil"/>
              <w:right w:val="nil"/>
            </w:tcBorders>
            <w:shd w:val="clear" w:color="auto" w:fill="auto"/>
            <w:noWrap/>
            <w:vAlign w:val="bottom"/>
            <w:hideMark/>
          </w:tcPr>
          <w:p w:rsidR="002C7498" w:rsidRPr="002C7498" w:rsidRDefault="002C7498" w:rsidP="002C7498">
            <w:pPr>
              <w:spacing w:after="0" w:line="240" w:lineRule="auto"/>
              <w:rPr>
                <w:rFonts w:ascii="Times New Roman" w:eastAsia="Times New Roman" w:hAnsi="Times New Roman" w:cs="Times New Roman"/>
                <w:sz w:val="20"/>
                <w:szCs w:val="20"/>
                <w:lang w:eastAsia="en-GB"/>
              </w:rPr>
            </w:pPr>
          </w:p>
        </w:tc>
        <w:tc>
          <w:tcPr>
            <w:tcW w:w="2126" w:type="dxa"/>
            <w:tcBorders>
              <w:top w:val="nil"/>
              <w:left w:val="nil"/>
              <w:bottom w:val="nil"/>
              <w:right w:val="nil"/>
            </w:tcBorders>
            <w:shd w:val="clear" w:color="auto" w:fill="auto"/>
            <w:noWrap/>
            <w:vAlign w:val="bottom"/>
            <w:hideMark/>
          </w:tcPr>
          <w:p w:rsidR="002C7498" w:rsidRPr="002C7498" w:rsidRDefault="002C7498" w:rsidP="002C7498">
            <w:pPr>
              <w:spacing w:after="0" w:line="240" w:lineRule="auto"/>
              <w:rPr>
                <w:rFonts w:ascii="Times New Roman" w:eastAsia="Times New Roman" w:hAnsi="Times New Roman" w:cs="Times New Roman"/>
                <w:sz w:val="20"/>
                <w:szCs w:val="20"/>
                <w:lang w:eastAsia="en-GB"/>
              </w:rPr>
            </w:pPr>
          </w:p>
        </w:tc>
        <w:tc>
          <w:tcPr>
            <w:tcW w:w="3969" w:type="dxa"/>
            <w:tcBorders>
              <w:top w:val="nil"/>
              <w:left w:val="nil"/>
              <w:bottom w:val="nil"/>
              <w:right w:val="nil"/>
            </w:tcBorders>
            <w:shd w:val="clear" w:color="auto" w:fill="auto"/>
            <w:noWrap/>
            <w:vAlign w:val="bottom"/>
            <w:hideMark/>
          </w:tcPr>
          <w:p w:rsidR="002C7498" w:rsidRPr="002C7498" w:rsidRDefault="002C7498" w:rsidP="002C7498">
            <w:pPr>
              <w:spacing w:after="0" w:line="240" w:lineRule="auto"/>
              <w:rPr>
                <w:rFonts w:ascii="Times New Roman" w:eastAsia="Times New Roman" w:hAnsi="Times New Roman" w:cs="Times New Roman"/>
                <w:sz w:val="20"/>
                <w:szCs w:val="20"/>
                <w:lang w:eastAsia="en-GB"/>
              </w:rPr>
            </w:pPr>
          </w:p>
        </w:tc>
        <w:tc>
          <w:tcPr>
            <w:tcW w:w="5470" w:type="dxa"/>
            <w:tcBorders>
              <w:top w:val="nil"/>
              <w:left w:val="nil"/>
              <w:bottom w:val="nil"/>
              <w:right w:val="nil"/>
            </w:tcBorders>
            <w:shd w:val="clear" w:color="auto" w:fill="auto"/>
            <w:noWrap/>
            <w:vAlign w:val="bottom"/>
            <w:hideMark/>
          </w:tcPr>
          <w:p w:rsidR="002C7498" w:rsidRPr="002C7498" w:rsidRDefault="002C7498" w:rsidP="002C7498">
            <w:pPr>
              <w:spacing w:after="0" w:line="240" w:lineRule="auto"/>
              <w:rPr>
                <w:rFonts w:ascii="Times New Roman" w:eastAsia="Times New Roman" w:hAnsi="Times New Roman" w:cs="Times New Roman"/>
                <w:sz w:val="20"/>
                <w:szCs w:val="20"/>
                <w:lang w:eastAsia="en-GB"/>
              </w:rPr>
            </w:pPr>
          </w:p>
        </w:tc>
      </w:tr>
    </w:tbl>
    <w:p w:rsidR="00F07C18" w:rsidRDefault="00F07C18"/>
    <w:sectPr w:rsidR="00F07C18" w:rsidSect="00A80D35">
      <w:pgSz w:w="23811" w:h="16838" w:orient="landscape" w:code="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BD7"/>
    <w:multiLevelType w:val="hybridMultilevel"/>
    <w:tmpl w:val="E34C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50066"/>
    <w:multiLevelType w:val="multilevel"/>
    <w:tmpl w:val="074AF00E"/>
    <w:lvl w:ilvl="0">
      <w:start w:val="3"/>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D00A1"/>
    <w:multiLevelType w:val="multilevel"/>
    <w:tmpl w:val="841E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A69BD"/>
    <w:multiLevelType w:val="hybridMultilevel"/>
    <w:tmpl w:val="97728196"/>
    <w:lvl w:ilvl="0" w:tplc="610EDA84">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907482"/>
    <w:multiLevelType w:val="multilevel"/>
    <w:tmpl w:val="F632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D74DD"/>
    <w:multiLevelType w:val="multilevel"/>
    <w:tmpl w:val="2912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70B8C"/>
    <w:multiLevelType w:val="hybridMultilevel"/>
    <w:tmpl w:val="61F2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31EB0"/>
    <w:multiLevelType w:val="hybridMultilevel"/>
    <w:tmpl w:val="0C649B40"/>
    <w:lvl w:ilvl="0" w:tplc="610EDA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32422"/>
    <w:multiLevelType w:val="multilevel"/>
    <w:tmpl w:val="D380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9326B2"/>
    <w:multiLevelType w:val="multilevel"/>
    <w:tmpl w:val="78ACC8C4"/>
    <w:lvl w:ilvl="0">
      <w:start w:val="3"/>
      <w:numFmt w:val="bullet"/>
      <w:lvlText w:val="-"/>
      <w:lvlJc w:val="left"/>
      <w:pPr>
        <w:tabs>
          <w:tab w:val="num" w:pos="360"/>
        </w:tabs>
        <w:ind w:left="360" w:hanging="360"/>
      </w:pPr>
      <w:rPr>
        <w:rFonts w:ascii="Calibri" w:eastAsia="Times New Roman"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F742232"/>
    <w:multiLevelType w:val="multilevel"/>
    <w:tmpl w:val="02DA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75958"/>
    <w:multiLevelType w:val="hybridMultilevel"/>
    <w:tmpl w:val="8DA0D626"/>
    <w:lvl w:ilvl="0" w:tplc="610EDA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07854"/>
    <w:multiLevelType w:val="hybridMultilevel"/>
    <w:tmpl w:val="FE84B698"/>
    <w:lvl w:ilvl="0" w:tplc="610EDA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904668"/>
    <w:multiLevelType w:val="hybridMultilevel"/>
    <w:tmpl w:val="A0B4A5C4"/>
    <w:lvl w:ilvl="0" w:tplc="610EDA84">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9"/>
  </w:num>
  <w:num w:numId="4">
    <w:abstractNumId w:val="3"/>
  </w:num>
  <w:num w:numId="5">
    <w:abstractNumId w:val="11"/>
  </w:num>
  <w:num w:numId="6">
    <w:abstractNumId w:val="12"/>
  </w:num>
  <w:num w:numId="7">
    <w:abstractNumId w:val="7"/>
  </w:num>
  <w:num w:numId="8">
    <w:abstractNumId w:val="5"/>
  </w:num>
  <w:num w:numId="9">
    <w:abstractNumId w:val="1"/>
  </w:num>
  <w:num w:numId="10">
    <w:abstractNumId w:val="8"/>
  </w:num>
  <w:num w:numId="11">
    <w:abstractNumId w:val="0"/>
  </w:num>
  <w:num w:numId="12">
    <w:abstractNumId w:val="4"/>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98"/>
    <w:rsid w:val="000553D6"/>
    <w:rsid w:val="001E1D17"/>
    <w:rsid w:val="00274543"/>
    <w:rsid w:val="002C7498"/>
    <w:rsid w:val="00596BDF"/>
    <w:rsid w:val="00617FD8"/>
    <w:rsid w:val="007268A3"/>
    <w:rsid w:val="00886CD1"/>
    <w:rsid w:val="00A73358"/>
    <w:rsid w:val="00A80D35"/>
    <w:rsid w:val="00AA0393"/>
    <w:rsid w:val="00B074E0"/>
    <w:rsid w:val="00B40B2D"/>
    <w:rsid w:val="00D20CEC"/>
    <w:rsid w:val="00F07C18"/>
    <w:rsid w:val="00F11299"/>
    <w:rsid w:val="00F31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B056"/>
  <w15:chartTrackingRefBased/>
  <w15:docId w15:val="{299044F0-BD5A-46F4-BCC0-3322BB77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498"/>
    <w:pPr>
      <w:ind w:left="720"/>
      <w:contextualSpacing/>
    </w:pPr>
  </w:style>
  <w:style w:type="character" w:styleId="Hyperlink">
    <w:name w:val="Hyperlink"/>
    <w:basedOn w:val="DefaultParagraphFont"/>
    <w:uiPriority w:val="99"/>
    <w:unhideWhenUsed/>
    <w:rsid w:val="00A80D35"/>
    <w:rPr>
      <w:color w:val="0563C1" w:themeColor="hyperlink"/>
      <w:u w:val="single"/>
    </w:rPr>
  </w:style>
  <w:style w:type="paragraph" w:styleId="NormalWeb">
    <w:name w:val="Normal (Web)"/>
    <w:basedOn w:val="Normal"/>
    <w:uiPriority w:val="99"/>
    <w:semiHidden/>
    <w:unhideWhenUsed/>
    <w:rsid w:val="00F112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A0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44223">
      <w:bodyDiv w:val="1"/>
      <w:marLeft w:val="0"/>
      <w:marRight w:val="0"/>
      <w:marTop w:val="0"/>
      <w:marBottom w:val="0"/>
      <w:divBdr>
        <w:top w:val="none" w:sz="0" w:space="0" w:color="auto"/>
        <w:left w:val="none" w:sz="0" w:space="0" w:color="auto"/>
        <w:bottom w:val="none" w:sz="0" w:space="0" w:color="auto"/>
        <w:right w:val="none" w:sz="0" w:space="0" w:color="auto"/>
      </w:divBdr>
      <w:divsChild>
        <w:div w:id="1192105726">
          <w:marLeft w:val="0"/>
          <w:marRight w:val="0"/>
          <w:marTop w:val="0"/>
          <w:marBottom w:val="0"/>
          <w:divBdr>
            <w:top w:val="none" w:sz="0" w:space="0" w:color="auto"/>
            <w:left w:val="none" w:sz="0" w:space="0" w:color="auto"/>
            <w:bottom w:val="none" w:sz="0" w:space="0" w:color="auto"/>
            <w:right w:val="none" w:sz="0" w:space="0" w:color="auto"/>
          </w:divBdr>
          <w:divsChild>
            <w:div w:id="404036718">
              <w:marLeft w:val="0"/>
              <w:marRight w:val="0"/>
              <w:marTop w:val="0"/>
              <w:marBottom w:val="0"/>
              <w:divBdr>
                <w:top w:val="none" w:sz="0" w:space="0" w:color="auto"/>
                <w:left w:val="none" w:sz="0" w:space="0" w:color="auto"/>
                <w:bottom w:val="none" w:sz="0" w:space="0" w:color="auto"/>
                <w:right w:val="none" w:sz="0" w:space="0" w:color="auto"/>
              </w:divBdr>
              <w:divsChild>
                <w:div w:id="587034786">
                  <w:marLeft w:val="0"/>
                  <w:marRight w:val="0"/>
                  <w:marTop w:val="0"/>
                  <w:marBottom w:val="0"/>
                  <w:divBdr>
                    <w:top w:val="none" w:sz="0" w:space="0" w:color="auto"/>
                    <w:left w:val="none" w:sz="0" w:space="0" w:color="auto"/>
                    <w:bottom w:val="none" w:sz="0" w:space="0" w:color="auto"/>
                    <w:right w:val="none" w:sz="0" w:space="0" w:color="auto"/>
                  </w:divBdr>
                  <w:divsChild>
                    <w:div w:id="998923451">
                      <w:marLeft w:val="0"/>
                      <w:marRight w:val="0"/>
                      <w:marTop w:val="0"/>
                      <w:marBottom w:val="0"/>
                      <w:divBdr>
                        <w:top w:val="none" w:sz="0" w:space="0" w:color="auto"/>
                        <w:left w:val="none" w:sz="0" w:space="0" w:color="auto"/>
                        <w:bottom w:val="none" w:sz="0" w:space="0" w:color="auto"/>
                        <w:right w:val="none" w:sz="0" w:space="0" w:color="auto"/>
                      </w:divBdr>
                      <w:divsChild>
                        <w:div w:id="306907161">
                          <w:marLeft w:val="0"/>
                          <w:marRight w:val="0"/>
                          <w:marTop w:val="0"/>
                          <w:marBottom w:val="0"/>
                          <w:divBdr>
                            <w:top w:val="none" w:sz="0" w:space="0" w:color="auto"/>
                            <w:left w:val="none" w:sz="0" w:space="0" w:color="auto"/>
                            <w:bottom w:val="none" w:sz="0" w:space="0" w:color="auto"/>
                            <w:right w:val="none" w:sz="0" w:space="0" w:color="auto"/>
                          </w:divBdr>
                          <w:divsChild>
                            <w:div w:id="7724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3607">
      <w:bodyDiv w:val="1"/>
      <w:marLeft w:val="0"/>
      <w:marRight w:val="0"/>
      <w:marTop w:val="0"/>
      <w:marBottom w:val="0"/>
      <w:divBdr>
        <w:top w:val="none" w:sz="0" w:space="0" w:color="auto"/>
        <w:left w:val="none" w:sz="0" w:space="0" w:color="auto"/>
        <w:bottom w:val="none" w:sz="0" w:space="0" w:color="auto"/>
        <w:right w:val="none" w:sz="0" w:space="0" w:color="auto"/>
      </w:divBdr>
      <w:divsChild>
        <w:div w:id="997269360">
          <w:marLeft w:val="0"/>
          <w:marRight w:val="0"/>
          <w:marTop w:val="0"/>
          <w:marBottom w:val="0"/>
          <w:divBdr>
            <w:top w:val="none" w:sz="0" w:space="0" w:color="auto"/>
            <w:left w:val="none" w:sz="0" w:space="0" w:color="auto"/>
            <w:bottom w:val="none" w:sz="0" w:space="0" w:color="auto"/>
            <w:right w:val="none" w:sz="0" w:space="0" w:color="auto"/>
          </w:divBdr>
          <w:divsChild>
            <w:div w:id="174851914">
              <w:marLeft w:val="0"/>
              <w:marRight w:val="0"/>
              <w:marTop w:val="0"/>
              <w:marBottom w:val="0"/>
              <w:divBdr>
                <w:top w:val="none" w:sz="0" w:space="0" w:color="auto"/>
                <w:left w:val="none" w:sz="0" w:space="0" w:color="auto"/>
                <w:bottom w:val="none" w:sz="0" w:space="0" w:color="auto"/>
                <w:right w:val="none" w:sz="0" w:space="0" w:color="auto"/>
              </w:divBdr>
              <w:divsChild>
                <w:div w:id="1982148108">
                  <w:marLeft w:val="0"/>
                  <w:marRight w:val="0"/>
                  <w:marTop w:val="0"/>
                  <w:marBottom w:val="0"/>
                  <w:divBdr>
                    <w:top w:val="none" w:sz="0" w:space="0" w:color="auto"/>
                    <w:left w:val="none" w:sz="0" w:space="0" w:color="auto"/>
                    <w:bottom w:val="none" w:sz="0" w:space="0" w:color="auto"/>
                    <w:right w:val="none" w:sz="0" w:space="0" w:color="auto"/>
                  </w:divBdr>
                  <w:divsChild>
                    <w:div w:id="405496965">
                      <w:marLeft w:val="0"/>
                      <w:marRight w:val="0"/>
                      <w:marTop w:val="0"/>
                      <w:marBottom w:val="0"/>
                      <w:divBdr>
                        <w:top w:val="none" w:sz="0" w:space="0" w:color="auto"/>
                        <w:left w:val="none" w:sz="0" w:space="0" w:color="auto"/>
                        <w:bottom w:val="none" w:sz="0" w:space="0" w:color="auto"/>
                        <w:right w:val="none" w:sz="0" w:space="0" w:color="auto"/>
                      </w:divBdr>
                      <w:divsChild>
                        <w:div w:id="1320117963">
                          <w:marLeft w:val="0"/>
                          <w:marRight w:val="0"/>
                          <w:marTop w:val="0"/>
                          <w:marBottom w:val="0"/>
                          <w:divBdr>
                            <w:top w:val="none" w:sz="0" w:space="0" w:color="auto"/>
                            <w:left w:val="none" w:sz="0" w:space="0" w:color="auto"/>
                            <w:bottom w:val="none" w:sz="0" w:space="0" w:color="auto"/>
                            <w:right w:val="none" w:sz="0" w:space="0" w:color="auto"/>
                          </w:divBdr>
                          <w:divsChild>
                            <w:div w:id="5562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45637">
      <w:bodyDiv w:val="1"/>
      <w:marLeft w:val="0"/>
      <w:marRight w:val="0"/>
      <w:marTop w:val="0"/>
      <w:marBottom w:val="0"/>
      <w:divBdr>
        <w:top w:val="none" w:sz="0" w:space="0" w:color="auto"/>
        <w:left w:val="none" w:sz="0" w:space="0" w:color="auto"/>
        <w:bottom w:val="none" w:sz="0" w:space="0" w:color="auto"/>
        <w:right w:val="none" w:sz="0" w:space="0" w:color="auto"/>
      </w:divBdr>
    </w:div>
    <w:div w:id="567888351">
      <w:bodyDiv w:val="1"/>
      <w:marLeft w:val="0"/>
      <w:marRight w:val="0"/>
      <w:marTop w:val="0"/>
      <w:marBottom w:val="0"/>
      <w:divBdr>
        <w:top w:val="none" w:sz="0" w:space="0" w:color="auto"/>
        <w:left w:val="none" w:sz="0" w:space="0" w:color="auto"/>
        <w:bottom w:val="none" w:sz="0" w:space="0" w:color="auto"/>
        <w:right w:val="none" w:sz="0" w:space="0" w:color="auto"/>
      </w:divBdr>
    </w:div>
    <w:div w:id="1300694607">
      <w:bodyDiv w:val="1"/>
      <w:marLeft w:val="0"/>
      <w:marRight w:val="0"/>
      <w:marTop w:val="0"/>
      <w:marBottom w:val="0"/>
      <w:divBdr>
        <w:top w:val="none" w:sz="0" w:space="0" w:color="auto"/>
        <w:left w:val="none" w:sz="0" w:space="0" w:color="auto"/>
        <w:bottom w:val="none" w:sz="0" w:space="0" w:color="auto"/>
        <w:right w:val="none" w:sz="0" w:space="0" w:color="auto"/>
      </w:divBdr>
      <w:divsChild>
        <w:div w:id="1635327740">
          <w:marLeft w:val="0"/>
          <w:marRight w:val="0"/>
          <w:marTop w:val="0"/>
          <w:marBottom w:val="0"/>
          <w:divBdr>
            <w:top w:val="none" w:sz="0" w:space="0" w:color="auto"/>
            <w:left w:val="none" w:sz="0" w:space="0" w:color="auto"/>
            <w:bottom w:val="none" w:sz="0" w:space="0" w:color="auto"/>
            <w:right w:val="none" w:sz="0" w:space="0" w:color="auto"/>
          </w:divBdr>
          <w:divsChild>
            <w:div w:id="1518420142">
              <w:marLeft w:val="0"/>
              <w:marRight w:val="0"/>
              <w:marTop w:val="0"/>
              <w:marBottom w:val="0"/>
              <w:divBdr>
                <w:top w:val="none" w:sz="0" w:space="0" w:color="auto"/>
                <w:left w:val="none" w:sz="0" w:space="0" w:color="auto"/>
                <w:bottom w:val="none" w:sz="0" w:space="0" w:color="auto"/>
                <w:right w:val="none" w:sz="0" w:space="0" w:color="auto"/>
              </w:divBdr>
              <w:divsChild>
                <w:div w:id="1965228561">
                  <w:marLeft w:val="0"/>
                  <w:marRight w:val="0"/>
                  <w:marTop w:val="0"/>
                  <w:marBottom w:val="0"/>
                  <w:divBdr>
                    <w:top w:val="none" w:sz="0" w:space="0" w:color="auto"/>
                    <w:left w:val="none" w:sz="0" w:space="0" w:color="auto"/>
                    <w:bottom w:val="none" w:sz="0" w:space="0" w:color="auto"/>
                    <w:right w:val="none" w:sz="0" w:space="0" w:color="auto"/>
                  </w:divBdr>
                  <w:divsChild>
                    <w:div w:id="2126462086">
                      <w:marLeft w:val="0"/>
                      <w:marRight w:val="0"/>
                      <w:marTop w:val="0"/>
                      <w:marBottom w:val="0"/>
                      <w:divBdr>
                        <w:top w:val="none" w:sz="0" w:space="0" w:color="auto"/>
                        <w:left w:val="none" w:sz="0" w:space="0" w:color="auto"/>
                        <w:bottom w:val="none" w:sz="0" w:space="0" w:color="auto"/>
                        <w:right w:val="none" w:sz="0" w:space="0" w:color="auto"/>
                      </w:divBdr>
                      <w:divsChild>
                        <w:div w:id="574240585">
                          <w:marLeft w:val="0"/>
                          <w:marRight w:val="0"/>
                          <w:marTop w:val="0"/>
                          <w:marBottom w:val="0"/>
                          <w:divBdr>
                            <w:top w:val="none" w:sz="0" w:space="0" w:color="auto"/>
                            <w:left w:val="none" w:sz="0" w:space="0" w:color="auto"/>
                            <w:bottom w:val="none" w:sz="0" w:space="0" w:color="auto"/>
                            <w:right w:val="none" w:sz="0" w:space="0" w:color="auto"/>
                          </w:divBdr>
                          <w:divsChild>
                            <w:div w:id="1266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392270">
      <w:bodyDiv w:val="1"/>
      <w:marLeft w:val="0"/>
      <w:marRight w:val="0"/>
      <w:marTop w:val="0"/>
      <w:marBottom w:val="0"/>
      <w:divBdr>
        <w:top w:val="none" w:sz="0" w:space="0" w:color="auto"/>
        <w:left w:val="none" w:sz="0" w:space="0" w:color="auto"/>
        <w:bottom w:val="none" w:sz="0" w:space="0" w:color="auto"/>
        <w:right w:val="none" w:sz="0" w:space="0" w:color="auto"/>
      </w:divBdr>
      <w:divsChild>
        <w:div w:id="196284446">
          <w:marLeft w:val="0"/>
          <w:marRight w:val="0"/>
          <w:marTop w:val="0"/>
          <w:marBottom w:val="0"/>
          <w:divBdr>
            <w:top w:val="none" w:sz="0" w:space="0" w:color="auto"/>
            <w:left w:val="none" w:sz="0" w:space="0" w:color="auto"/>
            <w:bottom w:val="none" w:sz="0" w:space="0" w:color="auto"/>
            <w:right w:val="none" w:sz="0" w:space="0" w:color="auto"/>
          </w:divBdr>
          <w:divsChild>
            <w:div w:id="1178352521">
              <w:marLeft w:val="0"/>
              <w:marRight w:val="0"/>
              <w:marTop w:val="0"/>
              <w:marBottom w:val="0"/>
              <w:divBdr>
                <w:top w:val="none" w:sz="0" w:space="0" w:color="auto"/>
                <w:left w:val="none" w:sz="0" w:space="0" w:color="auto"/>
                <w:bottom w:val="none" w:sz="0" w:space="0" w:color="auto"/>
                <w:right w:val="none" w:sz="0" w:space="0" w:color="auto"/>
              </w:divBdr>
              <w:divsChild>
                <w:div w:id="935748940">
                  <w:marLeft w:val="0"/>
                  <w:marRight w:val="0"/>
                  <w:marTop w:val="0"/>
                  <w:marBottom w:val="0"/>
                  <w:divBdr>
                    <w:top w:val="none" w:sz="0" w:space="0" w:color="auto"/>
                    <w:left w:val="none" w:sz="0" w:space="0" w:color="auto"/>
                    <w:bottom w:val="none" w:sz="0" w:space="0" w:color="auto"/>
                    <w:right w:val="none" w:sz="0" w:space="0" w:color="auto"/>
                  </w:divBdr>
                  <w:divsChild>
                    <w:div w:id="628705914">
                      <w:marLeft w:val="0"/>
                      <w:marRight w:val="0"/>
                      <w:marTop w:val="0"/>
                      <w:marBottom w:val="0"/>
                      <w:divBdr>
                        <w:top w:val="none" w:sz="0" w:space="0" w:color="auto"/>
                        <w:left w:val="none" w:sz="0" w:space="0" w:color="auto"/>
                        <w:bottom w:val="none" w:sz="0" w:space="0" w:color="auto"/>
                        <w:right w:val="none" w:sz="0" w:space="0" w:color="auto"/>
                      </w:divBdr>
                      <w:divsChild>
                        <w:div w:id="526525774">
                          <w:marLeft w:val="0"/>
                          <w:marRight w:val="0"/>
                          <w:marTop w:val="0"/>
                          <w:marBottom w:val="0"/>
                          <w:divBdr>
                            <w:top w:val="none" w:sz="0" w:space="0" w:color="auto"/>
                            <w:left w:val="none" w:sz="0" w:space="0" w:color="auto"/>
                            <w:bottom w:val="none" w:sz="0" w:space="0" w:color="auto"/>
                            <w:right w:val="none" w:sz="0" w:space="0" w:color="auto"/>
                          </w:divBdr>
                          <w:divsChild>
                            <w:div w:id="1678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0771">
      <w:bodyDiv w:val="1"/>
      <w:marLeft w:val="0"/>
      <w:marRight w:val="0"/>
      <w:marTop w:val="0"/>
      <w:marBottom w:val="0"/>
      <w:divBdr>
        <w:top w:val="none" w:sz="0" w:space="0" w:color="auto"/>
        <w:left w:val="none" w:sz="0" w:space="0" w:color="auto"/>
        <w:bottom w:val="none" w:sz="0" w:space="0" w:color="auto"/>
        <w:right w:val="none" w:sz="0" w:space="0" w:color="auto"/>
      </w:divBdr>
      <w:divsChild>
        <w:div w:id="1984387871">
          <w:marLeft w:val="0"/>
          <w:marRight w:val="0"/>
          <w:marTop w:val="0"/>
          <w:marBottom w:val="0"/>
          <w:divBdr>
            <w:top w:val="none" w:sz="0" w:space="0" w:color="auto"/>
            <w:left w:val="none" w:sz="0" w:space="0" w:color="auto"/>
            <w:bottom w:val="none" w:sz="0" w:space="0" w:color="auto"/>
            <w:right w:val="none" w:sz="0" w:space="0" w:color="auto"/>
          </w:divBdr>
          <w:divsChild>
            <w:div w:id="1779569698">
              <w:marLeft w:val="0"/>
              <w:marRight w:val="0"/>
              <w:marTop w:val="0"/>
              <w:marBottom w:val="0"/>
              <w:divBdr>
                <w:top w:val="none" w:sz="0" w:space="0" w:color="auto"/>
                <w:left w:val="none" w:sz="0" w:space="0" w:color="auto"/>
                <w:bottom w:val="none" w:sz="0" w:space="0" w:color="auto"/>
                <w:right w:val="none" w:sz="0" w:space="0" w:color="auto"/>
              </w:divBdr>
              <w:divsChild>
                <w:div w:id="1003237746">
                  <w:marLeft w:val="0"/>
                  <w:marRight w:val="0"/>
                  <w:marTop w:val="0"/>
                  <w:marBottom w:val="0"/>
                  <w:divBdr>
                    <w:top w:val="none" w:sz="0" w:space="0" w:color="auto"/>
                    <w:left w:val="none" w:sz="0" w:space="0" w:color="auto"/>
                    <w:bottom w:val="none" w:sz="0" w:space="0" w:color="auto"/>
                    <w:right w:val="none" w:sz="0" w:space="0" w:color="auto"/>
                  </w:divBdr>
                  <w:divsChild>
                    <w:div w:id="1647205370">
                      <w:marLeft w:val="0"/>
                      <w:marRight w:val="0"/>
                      <w:marTop w:val="0"/>
                      <w:marBottom w:val="0"/>
                      <w:divBdr>
                        <w:top w:val="none" w:sz="0" w:space="0" w:color="auto"/>
                        <w:left w:val="none" w:sz="0" w:space="0" w:color="auto"/>
                        <w:bottom w:val="none" w:sz="0" w:space="0" w:color="auto"/>
                        <w:right w:val="none" w:sz="0" w:space="0" w:color="auto"/>
                      </w:divBdr>
                      <w:divsChild>
                        <w:div w:id="1328442321">
                          <w:marLeft w:val="0"/>
                          <w:marRight w:val="0"/>
                          <w:marTop w:val="0"/>
                          <w:marBottom w:val="0"/>
                          <w:divBdr>
                            <w:top w:val="none" w:sz="0" w:space="0" w:color="auto"/>
                            <w:left w:val="none" w:sz="0" w:space="0" w:color="auto"/>
                            <w:bottom w:val="none" w:sz="0" w:space="0" w:color="auto"/>
                            <w:right w:val="none" w:sz="0" w:space="0" w:color="auto"/>
                          </w:divBdr>
                          <w:divsChild>
                            <w:div w:id="9530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www.gov.uk/government/publications/qualifications-in-covid-19-support-packages" TargetMode="External"/><Relationship Id="rId3" Type="http://schemas.openxmlformats.org/officeDocument/2006/relationships/settings" Target="settings.xml"/><Relationship Id="rId7"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12" Type="http://schemas.openxmlformats.org/officeDocument/2006/relationships/hyperlink" Target="https://www.gov.uk/guidance/high-value-courses-for-school-and-college-leavers-a-one-year-offer-for-18-and-19-year-ol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11" Type="http://schemas.openxmlformats.org/officeDocument/2006/relationships/hyperlink" Target="https://www.teachfirst.org.uk/academic-mentors" TargetMode="External"/><Relationship Id="rId5" Type="http://schemas.openxmlformats.org/officeDocument/2006/relationships/hyperlink" Target="https://form.education.gov.uk/service/coronavirus-schools-fund-claim" TargetMode="External"/><Relationship Id="rId15" Type="http://schemas.openxmlformats.org/officeDocument/2006/relationships/hyperlink" Target="https://www.gov.uk/guidance/16-to-19-funding-16-to-19-tuition-fund" TargetMode="External"/><Relationship Id="rId10" Type="http://schemas.openxmlformats.org/officeDocument/2006/relationships/hyperlink" Target="ttps://www.gov.uk/guidance/coronavirus-covid-19-catch-up-premium" TargetMode="External"/><Relationship Id="rId4" Type="http://schemas.openxmlformats.org/officeDocument/2006/relationships/webSettings" Target="webSettings.xml"/><Relationship Id="rId9" Type="http://schemas.openxmlformats.org/officeDocument/2006/relationships/hyperlink" Target="https://www.gov.uk/guidance/coronavirus-covid-19-catch-up-premium" TargetMode="External"/><Relationship Id="rId14" Type="http://schemas.openxmlformats.org/officeDocument/2006/relationships/hyperlink" Target="https://www.gov.uk/guidance/high-value-courses-for-school-and-college-leavers-a-one-year-offer-for-18-and-19-year-o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Amanda J</dc:creator>
  <cp:keywords/>
  <dc:description/>
  <cp:lastModifiedBy>Chew, Amanda J</cp:lastModifiedBy>
  <cp:revision>7</cp:revision>
  <dcterms:created xsi:type="dcterms:W3CDTF">2020-07-16T11:03:00Z</dcterms:created>
  <dcterms:modified xsi:type="dcterms:W3CDTF">2020-08-04T10:31:00Z</dcterms:modified>
</cp:coreProperties>
</file>