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65" w:type="dxa"/>
        <w:tblInd w:w="-374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65"/>
      </w:tblGrid>
      <w:tr w:rsidR="006029F2" w:rsidRPr="006029F2" w14:paraId="16849368" w14:textId="77777777" w:rsidTr="00C61CCB">
        <w:trPr>
          <w:trHeight w:val="14143"/>
        </w:trPr>
        <w:tc>
          <w:tcPr>
            <w:tcW w:w="10065" w:type="dxa"/>
          </w:tcPr>
          <w:p w14:paraId="5488E470" w14:textId="77777777" w:rsidR="004A1D35" w:rsidRDefault="004A1D35" w:rsidP="00B22189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6CFB9CD9" w14:textId="77777777" w:rsidR="004A1D35" w:rsidRDefault="004A1D35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  <w:p w14:paraId="1E8BFA6A" w14:textId="7D8F4E3C" w:rsidR="004A1D35" w:rsidRDefault="004A1D35" w:rsidP="00B52ACD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</w:t>
            </w:r>
            <w:r w:rsidR="007C7BF8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    </w:t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</w:t>
            </w:r>
            <w:r w:rsidR="0095345F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655DB71A" wp14:editId="73823C1C">
                  <wp:extent cx="1464945" cy="644261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552" cy="646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         </w:t>
            </w:r>
            <w:r w:rsidR="00B52ACD"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8AE7EBF" wp14:editId="0F2944ED">
                  <wp:extent cx="1743075" cy="88392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835" cy="9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b/>
                <w:bCs/>
                <w:noProof/>
                <w:color w:val="000000" w:themeColor="text1"/>
                <w:sz w:val="16"/>
                <w:szCs w:val="16"/>
              </w:rPr>
              <w:t xml:space="preserve">                    </w:t>
            </w:r>
          </w:p>
          <w:p w14:paraId="1100089D" w14:textId="77777777" w:rsidR="004A1D35" w:rsidRPr="00146F12" w:rsidRDefault="004A1D35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34016D08" w14:textId="23603AB9" w:rsidR="007C7BF8" w:rsidRDefault="00536C7F" w:rsidP="007C7BF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Multi-Agency</w:t>
            </w:r>
            <w:r w:rsidR="00A35C35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/Practitioner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Role in the Child Protection Inspection. </w:t>
            </w:r>
          </w:p>
          <w:p w14:paraId="2F4AAF70" w14:textId="77777777" w:rsidR="00536C7F" w:rsidRDefault="00536C7F" w:rsidP="007C7BF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A20945C" w14:textId="77777777" w:rsidR="00536C7F" w:rsidRPr="00A35C35" w:rsidRDefault="00536C7F" w:rsidP="00730C0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531F9EC0" w14:textId="2587DBD4" w:rsidR="00536C7F" w:rsidRPr="00A35C35" w:rsidRDefault="00536C7F" w:rsidP="00D1466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bookmarkStart w:id="0" w:name="_Hlk173319956"/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It is expected that Angus will be subject to a multi-agency inspection focusing on children and young people in need of protection.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he inspection will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focus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o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n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children and young people’s experiences and outcomes, by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looking at the 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services provided for them by health visitors, school nurses, teachers, doctors, social workers, police officers and lots of other people who work with them and their families.</w:t>
            </w:r>
          </w:p>
          <w:bookmarkEnd w:id="0"/>
          <w:p w14:paraId="45C31537" w14:textId="77777777" w:rsidR="00536C7F" w:rsidRPr="00A35C35" w:rsidRDefault="00536C7F" w:rsidP="00D1466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084B803A" w14:textId="7D2F377D" w:rsidR="00536C7F" w:rsidRDefault="00536C7F" w:rsidP="00D1466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In th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 below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session</w:t>
            </w:r>
            <w:r w:rsidR="00925D3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,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we will consider the role of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Angus 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multi-agency services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, 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individual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practitioners,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and the</w:t>
            </w:r>
            <w:r w:rsidR="00A35C35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Protecting People Angus Strategic Committee (</w:t>
            </w:r>
            <w:r w:rsidR="00A35C35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PPASC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) 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during th</w:t>
            </w:r>
            <w:r w:rsidR="00D14660"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e</w:t>
            </w:r>
            <w:r w:rsidRPr="00A35C35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time of inspection. </w:t>
            </w:r>
          </w:p>
          <w:p w14:paraId="285CE928" w14:textId="77777777" w:rsidR="00F549B9" w:rsidRDefault="00F549B9" w:rsidP="00D14660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2518BABC" w14:textId="48C409BA" w:rsidR="00536C7F" w:rsidRPr="00B52ACD" w:rsidRDefault="00F549B9" w:rsidP="00B52ACD">
            <w:pPr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bookmarkStart w:id="1" w:name="_Hlk173319984"/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For </w:t>
            </w:r>
            <w:r w:rsidR="003B066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most this may feel like </w:t>
            </w: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</w:t>
            </w:r>
            <w:r w:rsidR="003B066A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daunting time but please book a space on one of the below events so you can familiarise yourself with the process and gain reassurance that this process is </w:t>
            </w:r>
            <w:r w:rsidR="00BD057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focused on learning and how we might improve service</w:t>
            </w:r>
            <w:r w:rsidR="00925D3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for</w:t>
            </w:r>
            <w:r w:rsidR="00BD057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children and their familie</w:t>
            </w:r>
            <w:r w:rsidR="00925D3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</w:t>
            </w:r>
            <w:r w:rsidR="00BD057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. </w:t>
            </w:r>
          </w:p>
          <w:bookmarkEnd w:id="1"/>
          <w:p w14:paraId="66B5BAA8" w14:textId="77777777" w:rsidR="007C7BF8" w:rsidRPr="007C7BF8" w:rsidRDefault="007C7BF8" w:rsidP="007C7BF8">
            <w:pP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4-Accent5"/>
              <w:tblW w:w="0" w:type="auto"/>
              <w:tblLook w:val="04A0" w:firstRow="1" w:lastRow="0" w:firstColumn="1" w:lastColumn="0" w:noHBand="0" w:noVBand="1"/>
            </w:tblPr>
            <w:tblGrid>
              <w:gridCol w:w="3577"/>
              <w:gridCol w:w="2977"/>
              <w:gridCol w:w="3260"/>
            </w:tblGrid>
            <w:tr w:rsidR="007C7BF8" w:rsidRPr="007C7BF8" w14:paraId="35C4DC87" w14:textId="77777777" w:rsidTr="007C7B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14:paraId="64C69D84" w14:textId="77777777" w:rsidR="007C7BF8" w:rsidRPr="00B52ACD" w:rsidRDefault="007C7BF8" w:rsidP="007C7BF8">
                  <w:pP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bookmarkStart w:id="2" w:name="_Hlk124768602"/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977" w:type="dxa"/>
                </w:tcPr>
                <w:p w14:paraId="3295ACAB" w14:textId="77777777" w:rsidR="007C7BF8" w:rsidRPr="00B52ACD" w:rsidRDefault="007C7BF8" w:rsidP="007C7BF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3260" w:type="dxa"/>
                </w:tcPr>
                <w:p w14:paraId="330DDC30" w14:textId="77777777" w:rsidR="007C7BF8" w:rsidRPr="00B52ACD" w:rsidRDefault="007C7BF8" w:rsidP="007C7BF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Venue</w:t>
                  </w:r>
                </w:p>
              </w:tc>
            </w:tr>
            <w:tr w:rsidR="00A35C35" w:rsidRPr="00B52ACD" w14:paraId="4BA79498" w14:textId="77777777" w:rsidTr="003322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  <w:shd w:val="clear" w:color="auto" w:fill="BFBFBF" w:themeFill="background1" w:themeFillShade="BF"/>
                  <w:vAlign w:val="center"/>
                </w:tcPr>
                <w:p w14:paraId="3B43CA58" w14:textId="0E028C4F" w:rsidR="00A35C35" w:rsidRPr="0033228A" w:rsidRDefault="00A35C35" w:rsidP="007C7BF8">
                  <w:pPr>
                    <w:rPr>
                      <w:rFonts w:ascii="Century Gothic" w:hAnsi="Century Gothic"/>
                      <w:b w:val="0"/>
                      <w:bCs w:val="0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33228A">
                    <w:rPr>
                      <w:rFonts w:ascii="Century Gothic" w:hAnsi="Century Gothic"/>
                      <w:b w:val="0"/>
                      <w:bCs w:val="0"/>
                      <w:strike/>
                      <w:color w:val="000000" w:themeColor="text1"/>
                      <w:sz w:val="24"/>
                      <w:szCs w:val="24"/>
                    </w:rPr>
                    <w:t>27 August 2024</w:t>
                  </w:r>
                </w:p>
              </w:tc>
              <w:tc>
                <w:tcPr>
                  <w:tcW w:w="2977" w:type="dxa"/>
                  <w:shd w:val="clear" w:color="auto" w:fill="BFBFBF" w:themeFill="background1" w:themeFillShade="BF"/>
                  <w:vAlign w:val="center"/>
                </w:tcPr>
                <w:p w14:paraId="32B657CE" w14:textId="01969542" w:rsidR="00A35C35" w:rsidRPr="0033228A" w:rsidRDefault="00A35C35" w:rsidP="007C7B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33228A">
                    <w:rPr>
                      <w:rFonts w:ascii="Century Gothic" w:hAnsi="Century Gothic"/>
                      <w:strike/>
                      <w:color w:val="000000" w:themeColor="text1"/>
                      <w:sz w:val="24"/>
                      <w:szCs w:val="24"/>
                    </w:rPr>
                    <w:t>13:30 – 14:30</w:t>
                  </w: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  <w:vAlign w:val="center"/>
                </w:tcPr>
                <w:p w14:paraId="18533867" w14:textId="2FC6C346" w:rsidR="00A35C35" w:rsidRPr="0033228A" w:rsidRDefault="00A35C35" w:rsidP="007C7BF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33228A">
                    <w:rPr>
                      <w:rFonts w:ascii="Century Gothic" w:hAnsi="Century Gothic"/>
                      <w:strike/>
                      <w:color w:val="000000" w:themeColor="text1"/>
                      <w:sz w:val="24"/>
                      <w:szCs w:val="24"/>
                    </w:rPr>
                    <w:t>MS Teams</w:t>
                  </w:r>
                </w:p>
              </w:tc>
            </w:tr>
            <w:tr w:rsidR="00A35C35" w:rsidRPr="00B52ACD" w14:paraId="7E6775B5" w14:textId="77777777" w:rsidTr="007C7BF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  <w:vAlign w:val="center"/>
                </w:tcPr>
                <w:p w14:paraId="29BAF6BA" w14:textId="465C67ED" w:rsidR="00A35C35" w:rsidRPr="00B52ACD" w:rsidRDefault="00A35C35" w:rsidP="007C7BF8">
                  <w:pP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9 September 2024 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980295" w14:textId="132ECBE5" w:rsidR="00A35C35" w:rsidRPr="00B52ACD" w:rsidRDefault="00A35C35" w:rsidP="007C7B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10:30 – 11:30</w:t>
                  </w:r>
                </w:p>
              </w:tc>
              <w:tc>
                <w:tcPr>
                  <w:tcW w:w="3260" w:type="dxa"/>
                  <w:vAlign w:val="center"/>
                </w:tcPr>
                <w:p w14:paraId="56A7CCC5" w14:textId="4350CC80" w:rsidR="00A35C35" w:rsidRPr="00B52ACD" w:rsidRDefault="00A35C35" w:rsidP="007C7B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MS Teams</w:t>
                  </w:r>
                </w:p>
              </w:tc>
            </w:tr>
            <w:tr w:rsidR="00A9528C" w:rsidRPr="00B52ACD" w14:paraId="5DAC791E" w14:textId="77777777" w:rsidTr="003322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  <w:shd w:val="clear" w:color="auto" w:fill="auto"/>
                  <w:vAlign w:val="center"/>
                </w:tcPr>
                <w:p w14:paraId="0A81E166" w14:textId="791CF160" w:rsidR="00A9528C" w:rsidRPr="00B52ACD" w:rsidRDefault="00A9528C" w:rsidP="00A9528C">
                  <w:pPr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10 </w:t>
                  </w:r>
                  <w: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 xml:space="preserve">September </w:t>
                  </w:r>
                  <w:r w:rsidRPr="00B52ACD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3B0B0FD" w14:textId="520FFC9C" w:rsidR="00A9528C" w:rsidRPr="00B52ACD" w:rsidRDefault="00A9528C" w:rsidP="00A9528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11:30 -12:30 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1C82B6D3" w14:textId="4A5ADA24" w:rsidR="00A9528C" w:rsidRPr="00B52ACD" w:rsidRDefault="00A9528C" w:rsidP="00A9528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 xml:space="preserve">MS Teams </w:t>
                  </w:r>
                </w:p>
              </w:tc>
            </w:tr>
            <w:tr w:rsidR="00A9528C" w:rsidRPr="00B52ACD" w14:paraId="6F1D7DAF" w14:textId="77777777" w:rsidTr="007C7BF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  <w:vAlign w:val="center"/>
                </w:tcPr>
                <w:p w14:paraId="6F225638" w14:textId="4602678D" w:rsidR="00A9528C" w:rsidRPr="00B52ACD" w:rsidRDefault="00A9528C" w:rsidP="00A9528C">
                  <w:pPr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w:t>17 September 2024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528BEC" w14:textId="29B29EF0" w:rsidR="00A9528C" w:rsidRPr="00B52ACD" w:rsidRDefault="00A9528C" w:rsidP="00A9528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16:00 -17:00</w:t>
                  </w:r>
                </w:p>
              </w:tc>
              <w:tc>
                <w:tcPr>
                  <w:tcW w:w="3260" w:type="dxa"/>
                  <w:vAlign w:val="center"/>
                </w:tcPr>
                <w:p w14:paraId="60CE8DA9" w14:textId="60E12DD5" w:rsidR="00A9528C" w:rsidRPr="00B52ACD" w:rsidRDefault="00A9528C" w:rsidP="00A9528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  <w:r w:rsidRPr="00B52ACD"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  <w:t>MS Teams</w:t>
                  </w:r>
                </w:p>
              </w:tc>
            </w:tr>
            <w:bookmarkEnd w:id="2"/>
          </w:tbl>
          <w:p w14:paraId="29B04071" w14:textId="77777777" w:rsidR="00B52ACD" w:rsidRDefault="00B52ACD" w:rsidP="003E4C03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44217AF" w14:textId="5EA98DC2" w:rsidR="00F549B9" w:rsidRPr="00B52ACD" w:rsidRDefault="00B52ACD" w:rsidP="003E4C03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2ACD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Facilitators</w:t>
            </w:r>
          </w:p>
          <w:p w14:paraId="6F5996C4" w14:textId="473D4B3B" w:rsidR="00A35C35" w:rsidRPr="003E4C03" w:rsidRDefault="00B52ACD" w:rsidP="003E4C03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Rebecca McNeil - Planning, Partnerships and Practice</w:t>
            </w:r>
          </w:p>
          <w:p w14:paraId="36360F74" w14:textId="7EE17C4B" w:rsidR="00B52ACD" w:rsidRPr="003E4C03" w:rsidRDefault="00B52ACD" w:rsidP="003E4C0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Laura Winter - Protecting People</w:t>
            </w:r>
          </w:p>
          <w:p w14:paraId="1844A807" w14:textId="487A34B4" w:rsidR="00B52ACD" w:rsidRPr="003E4C03" w:rsidRDefault="00B52ACD" w:rsidP="003E4C03">
            <w:pPr>
              <w:jc w:val="center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Aileen Burness - Protecting People</w:t>
            </w:r>
          </w:p>
          <w:p w14:paraId="4CAE037C" w14:textId="77777777" w:rsidR="00F549B9" w:rsidRPr="003E4C03" w:rsidRDefault="00F549B9" w:rsidP="003E4C03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486E89A3" w14:textId="6F2DBB69" w:rsidR="00A35C35" w:rsidRPr="003E4C03" w:rsidRDefault="00B52ACD" w:rsidP="003E4C0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During this session you will g</w:t>
            </w:r>
            <w:r w:rsidR="00F549B9" w:rsidRPr="003E4C0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ain an understanding of the:</w:t>
            </w:r>
          </w:p>
          <w:p w14:paraId="7657EF99" w14:textId="74DFE6F4" w:rsidR="00F549B9" w:rsidRPr="003E4C03" w:rsidRDefault="00F549B9" w:rsidP="00A35C35">
            <w:pPr>
              <w:pStyle w:val="ListParagraph"/>
              <w:numPr>
                <w:ilvl w:val="0"/>
                <w:numId w:val="6"/>
              </w:num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Overall inspection process</w:t>
            </w:r>
          </w:p>
          <w:p w14:paraId="517CFFD8" w14:textId="7C804D06" w:rsidR="00F549B9" w:rsidRPr="003E4C03" w:rsidRDefault="00F549B9" w:rsidP="00F549B9">
            <w:pPr>
              <w:pStyle w:val="ListParagraph"/>
              <w:numPr>
                <w:ilvl w:val="0"/>
                <w:numId w:val="6"/>
              </w:num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Expectations of practitioners and services</w:t>
            </w:r>
          </w:p>
          <w:p w14:paraId="3065E694" w14:textId="2CA46259" w:rsidR="00A35C35" w:rsidRPr="003E4C03" w:rsidRDefault="00F549B9" w:rsidP="00F549B9">
            <w:pPr>
              <w:pStyle w:val="ListParagraph"/>
              <w:numPr>
                <w:ilvl w:val="0"/>
                <w:numId w:val="6"/>
              </w:num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N</w:t>
            </w:r>
            <w:r w:rsidR="00A35C35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ew PPASC, </w:t>
            </w: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(</w:t>
            </w:r>
            <w:r w:rsidR="00A35C35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which now encompasses the CP committee</w:t>
            </w: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) role within the inspection</w:t>
            </w:r>
            <w:r w:rsidR="00A35C35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.</w:t>
            </w:r>
          </w:p>
          <w:p w14:paraId="6D2DFE51" w14:textId="2B4988A0" w:rsidR="00A35C35" w:rsidRPr="003E4C03" w:rsidRDefault="00A35C35" w:rsidP="00A35C35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3120FD6A" w14:textId="6B73C843" w:rsidR="00881600" w:rsidRPr="003E4C03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1BD6736F" w14:textId="576FEEC6" w:rsidR="0062021B" w:rsidRPr="003E4C03" w:rsidRDefault="007C7BF8" w:rsidP="0062021B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Multi-agency p</w:t>
            </w:r>
            <w:r w:rsidR="00881600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ractitioners</w:t>
            </w:r>
            <w:r w:rsidR="00F549B9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and leads</w:t>
            </w:r>
            <w:r w:rsid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,</w:t>
            </w:r>
            <w:r w:rsidR="00881600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working with people in </w:t>
            </w:r>
            <w:r w:rsidR="00A35C35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 w:rsidR="00881600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areas. </w:t>
            </w:r>
          </w:p>
          <w:p w14:paraId="6DE597BE" w14:textId="77777777" w:rsidR="00881600" w:rsidRPr="003E4C03" w:rsidRDefault="00881600" w:rsidP="0062021B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B2B0E69" w14:textId="77777777" w:rsidR="00724D5E" w:rsidRDefault="000C6E48" w:rsidP="00CB39A5">
            <w:pPr>
              <w:rPr>
                <w:rStyle w:val="Hyperlink"/>
                <w:rFonts w:ascii="Century Gothic" w:eastAsia="Times New Roman" w:hAnsi="Century Gothic"/>
                <w:sz w:val="24"/>
                <w:szCs w:val="24"/>
              </w:rPr>
            </w:pPr>
            <w:r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B107E2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, please use the following link</w:t>
            </w:r>
            <w:r w:rsidR="003C62A2" w:rsidRPr="003E4C03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  <w:r w:rsidR="00CB39A5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="00CB39A5" w:rsidRPr="00CB39A5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https://www.eventbrite.co.uk</w:t>
              </w:r>
            </w:hyperlink>
          </w:p>
          <w:p w14:paraId="2E97F451" w14:textId="09359723" w:rsidR="00C61CCB" w:rsidRPr="00300257" w:rsidRDefault="00C61CCB" w:rsidP="00CB39A5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00A9"/>
    <w:multiLevelType w:val="hybridMultilevel"/>
    <w:tmpl w:val="FB8E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8764789"/>
    <w:multiLevelType w:val="hybridMultilevel"/>
    <w:tmpl w:val="4338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43BB9"/>
    <w:multiLevelType w:val="hybridMultilevel"/>
    <w:tmpl w:val="85ACB6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255CF4"/>
    <w:multiLevelType w:val="hybridMultilevel"/>
    <w:tmpl w:val="9BA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2940">
    <w:abstractNumId w:val="2"/>
  </w:num>
  <w:num w:numId="2" w16cid:durableId="1413358498">
    <w:abstractNumId w:val="0"/>
  </w:num>
  <w:num w:numId="3" w16cid:durableId="528493023">
    <w:abstractNumId w:val="1"/>
  </w:num>
  <w:num w:numId="4" w16cid:durableId="633215882">
    <w:abstractNumId w:val="5"/>
  </w:num>
  <w:num w:numId="5" w16cid:durableId="1367833406">
    <w:abstractNumId w:val="4"/>
  </w:num>
  <w:num w:numId="6" w16cid:durableId="56533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0C7084"/>
    <w:rsid w:val="00116A26"/>
    <w:rsid w:val="00146F12"/>
    <w:rsid w:val="001B2106"/>
    <w:rsid w:val="001C3285"/>
    <w:rsid w:val="001D5554"/>
    <w:rsid w:val="002467EB"/>
    <w:rsid w:val="00253626"/>
    <w:rsid w:val="0027711A"/>
    <w:rsid w:val="002A72F0"/>
    <w:rsid w:val="00300257"/>
    <w:rsid w:val="00303612"/>
    <w:rsid w:val="00316AB7"/>
    <w:rsid w:val="0032021C"/>
    <w:rsid w:val="0033228A"/>
    <w:rsid w:val="0033764B"/>
    <w:rsid w:val="00343C21"/>
    <w:rsid w:val="003B066A"/>
    <w:rsid w:val="003C0896"/>
    <w:rsid w:val="003C62A2"/>
    <w:rsid w:val="003E4C03"/>
    <w:rsid w:val="003E6DD8"/>
    <w:rsid w:val="00424E2F"/>
    <w:rsid w:val="004A1D35"/>
    <w:rsid w:val="004A5568"/>
    <w:rsid w:val="004F56FD"/>
    <w:rsid w:val="00507E70"/>
    <w:rsid w:val="00535D1E"/>
    <w:rsid w:val="00536439"/>
    <w:rsid w:val="00536C7F"/>
    <w:rsid w:val="00540831"/>
    <w:rsid w:val="005A60C1"/>
    <w:rsid w:val="005E256C"/>
    <w:rsid w:val="006029F2"/>
    <w:rsid w:val="0062021B"/>
    <w:rsid w:val="0067386A"/>
    <w:rsid w:val="006B2A66"/>
    <w:rsid w:val="006D3708"/>
    <w:rsid w:val="006F2A09"/>
    <w:rsid w:val="00701638"/>
    <w:rsid w:val="00724D5E"/>
    <w:rsid w:val="00730C06"/>
    <w:rsid w:val="00733E02"/>
    <w:rsid w:val="00734D0A"/>
    <w:rsid w:val="0073708E"/>
    <w:rsid w:val="0074791F"/>
    <w:rsid w:val="00773161"/>
    <w:rsid w:val="007A5F4D"/>
    <w:rsid w:val="007C27EC"/>
    <w:rsid w:val="007C7BF8"/>
    <w:rsid w:val="007E72A0"/>
    <w:rsid w:val="008072F9"/>
    <w:rsid w:val="00881600"/>
    <w:rsid w:val="00892A9F"/>
    <w:rsid w:val="008E1735"/>
    <w:rsid w:val="00915AAC"/>
    <w:rsid w:val="00925D38"/>
    <w:rsid w:val="0093052B"/>
    <w:rsid w:val="009324A4"/>
    <w:rsid w:val="0095345F"/>
    <w:rsid w:val="009C0F9B"/>
    <w:rsid w:val="00A35C35"/>
    <w:rsid w:val="00A756F1"/>
    <w:rsid w:val="00A9528C"/>
    <w:rsid w:val="00AC28ED"/>
    <w:rsid w:val="00AE1BAA"/>
    <w:rsid w:val="00B107E2"/>
    <w:rsid w:val="00B22189"/>
    <w:rsid w:val="00B52ACD"/>
    <w:rsid w:val="00BA2E75"/>
    <w:rsid w:val="00BD057B"/>
    <w:rsid w:val="00C24752"/>
    <w:rsid w:val="00C41901"/>
    <w:rsid w:val="00C61CCB"/>
    <w:rsid w:val="00CA5371"/>
    <w:rsid w:val="00CB39A5"/>
    <w:rsid w:val="00CE0519"/>
    <w:rsid w:val="00D14660"/>
    <w:rsid w:val="00D25D55"/>
    <w:rsid w:val="00DD2DF1"/>
    <w:rsid w:val="00DE6BF6"/>
    <w:rsid w:val="00DF35CC"/>
    <w:rsid w:val="00DF7891"/>
    <w:rsid w:val="00E03ED3"/>
    <w:rsid w:val="00E62812"/>
    <w:rsid w:val="00E67765"/>
    <w:rsid w:val="00E67C87"/>
    <w:rsid w:val="00EC1BD4"/>
    <w:rsid w:val="00EC76FA"/>
    <w:rsid w:val="00F549B9"/>
    <w:rsid w:val="00F73F9E"/>
    <w:rsid w:val="00F9224C"/>
    <w:rsid w:val="00FA03BF"/>
    <w:rsid w:val="00FF4282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7C7B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967654098457?aff=oddtdtcre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5</cp:revision>
  <dcterms:created xsi:type="dcterms:W3CDTF">2024-07-30T09:58:00Z</dcterms:created>
  <dcterms:modified xsi:type="dcterms:W3CDTF">2024-08-20T10:01:00Z</dcterms:modified>
</cp:coreProperties>
</file>