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4F8055EE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37765CF" w14:textId="6A60DA4C" w:rsidR="006029F2" w:rsidRDefault="006029F2" w:rsidP="00791617">
            <w:pPr>
              <w:ind w:left="315"/>
              <w:jc w:val="center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2271E2DA" w:rsidR="00097592" w:rsidRDefault="008440B9" w:rsidP="004C6E43">
            <w:pPr>
              <w:jc w:val="center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045B7655" wp14:editId="3F4F44D6">
                  <wp:extent cx="2777640" cy="1252800"/>
                  <wp:effectExtent l="0" t="0" r="3810" b="5080"/>
                  <wp:docPr id="645538677" name="Picture 2" descr="Purple flower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538677" name="Picture 2" descr="Purple flower with black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640" cy="12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6F39">
              <w:rPr>
                <w:rFonts w:ascii="Century Gothic" w:eastAsia="Times New Roman" w:hAnsi="Century Gothic"/>
                <w:color w:val="7030A0"/>
              </w:rPr>
              <w:t xml:space="preserve">     </w:t>
            </w:r>
            <w:r w:rsidR="005C680E">
              <w:rPr>
                <w:noProof/>
                <w:color w:val="1F497D"/>
                <w:lang w:eastAsia="en-GB"/>
              </w:rPr>
              <w:drawing>
                <wp:inline distT="0" distB="0" distL="0" distR="0" wp14:anchorId="06189200" wp14:editId="7D9F97A1">
                  <wp:extent cx="1381125" cy="962025"/>
                  <wp:effectExtent l="0" t="0" r="0" b="9525"/>
                  <wp:docPr id="4" name="Picture 4" descr="AAPC logo 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PC logo cl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37" cy="97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6ADD" w:rsidRPr="002D6ADD">
              <w:rPr>
                <w:rFonts w:ascii="Century Gothic" w:eastAsia="Times New Roman" w:hAnsi="Century Gothic"/>
                <w:noProof/>
                <w:color w:val="7030A0"/>
              </w:rPr>
              <w:drawing>
                <wp:inline distT="0" distB="0" distL="0" distR="0" wp14:anchorId="0D2D7784" wp14:editId="244EB981">
                  <wp:extent cx="2114659" cy="59693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659" cy="596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C04DD" w14:textId="07EE90DB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6E4F079F" w14:textId="303DE8E4" w:rsidR="00097592" w:rsidRDefault="00791617" w:rsidP="005C34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Adult Protection Day 2022</w:t>
            </w:r>
          </w:p>
          <w:p w14:paraId="0953D23C" w14:textId="0436578A" w:rsidR="005C343E" w:rsidRDefault="002D6ADD" w:rsidP="005C343E">
            <w:pPr>
              <w:spacing w:after="160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David Wilson-Wynne</w:t>
            </w:r>
          </w:p>
          <w:p w14:paraId="61991A3E" w14:textId="7115A71D" w:rsidR="00126F39" w:rsidRPr="005C343E" w:rsidRDefault="00BF48B4" w:rsidP="005C343E">
            <w:pPr>
              <w:spacing w:after="160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ASP, Living Well and </w:t>
            </w:r>
            <w:r w:rsidR="002D6AD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Dementia </w:t>
            </w:r>
          </w:p>
          <w:p w14:paraId="101B18CC" w14:textId="687A552E" w:rsidR="002F1235" w:rsidRDefault="002F1235" w:rsidP="002F1235">
            <w:pPr>
              <w:spacing w:after="16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Friday 23</w:t>
            </w:r>
            <w:r w:rsidRPr="002F123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of February 2024, 09.30-12.30, MS Teams</w:t>
            </w:r>
          </w:p>
          <w:p w14:paraId="7A99B8D7" w14:textId="3822C46A" w:rsidR="004F56FD" w:rsidRPr="002F1235" w:rsidRDefault="002F1235" w:rsidP="002F1235">
            <w:pPr>
              <w:spacing w:after="160"/>
              <w:jc w:val="center"/>
              <w:rPr>
                <w:rFonts w:ascii="Century Gothic" w:hAnsi="Century Gothic" w:cstheme="minorBidi"/>
                <w:b/>
                <w:bCs/>
              </w:rPr>
            </w:pPr>
            <w:r w:rsidRPr="002F123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Tuesday 27</w:t>
            </w:r>
            <w:r w:rsidRPr="002F123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2F123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of February 2024, 09.30-12.30, Angus H</w:t>
            </w:r>
            <w:r w:rsidR="00126F39" w:rsidRPr="002F123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ouse</w:t>
            </w:r>
            <w:r w:rsidRPr="002F123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, Training Suite. </w:t>
            </w:r>
          </w:p>
          <w:p w14:paraId="1369FF54" w14:textId="797BC8B6" w:rsidR="004C6E43" w:rsidRDefault="004C6E43" w:rsidP="004C6E43">
            <w:pPr>
              <w:rPr>
                <w:rFonts w:ascii="Century Gothic" w:hAnsi="Century Gothic"/>
                <w:color w:val="000000" w:themeColor="text1"/>
              </w:rPr>
            </w:pPr>
          </w:p>
          <w:p w14:paraId="4A4C787A" w14:textId="5D67FA0C" w:rsidR="00AF4DB8" w:rsidRDefault="00CA2E81" w:rsidP="00AF4DB8">
            <w:pPr>
              <w:jc w:val="both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>David Wilson-Wynne</w:t>
            </w:r>
            <w:r w:rsidR="00AF4DB8">
              <w:rPr>
                <w:rFonts w:ascii="Century Gothic" w:hAnsi="Century Gothic" w:cstheme="minorBidi"/>
                <w:sz w:val="24"/>
                <w:szCs w:val="24"/>
              </w:rPr>
              <w:t xml:space="preserve"> </w:t>
            </w:r>
            <w:r w:rsidR="00AF4DB8" w:rsidRPr="00AF4DB8">
              <w:rPr>
                <w:rFonts w:ascii="Century Gothic" w:hAnsi="Century Gothic" w:cstheme="minorBidi"/>
                <w:sz w:val="24"/>
                <w:szCs w:val="24"/>
              </w:rPr>
              <w:t>is</w:t>
            </w:r>
            <w:r w:rsidR="00AF4DB8">
              <w:rPr>
                <w:rFonts w:ascii="Century Gothic" w:hAnsi="Century Gothic" w:cstheme="minorBidi"/>
                <w:sz w:val="24"/>
                <w:szCs w:val="24"/>
              </w:rPr>
              <w:t xml:space="preserve"> the</w:t>
            </w:r>
            <w:r w:rsidR="00AF4DB8" w:rsidRPr="00AF4DB8">
              <w:rPr>
                <w:rFonts w:ascii="Century Gothic" w:hAnsi="Century Gothic" w:cstheme="minorBidi"/>
                <w:sz w:val="24"/>
                <w:szCs w:val="24"/>
              </w:rPr>
              <w:t xml:space="preserve"> Senior Dementia Consultant at Dementia Services Development Centre, faculty of social sciences, University of Stirling.</w:t>
            </w:r>
            <w:r w:rsidR="00AF4DB8">
              <w:rPr>
                <w:rFonts w:ascii="Century Gothic" w:hAnsi="Century Gothic" w:cstheme="minorBidi"/>
                <w:sz w:val="24"/>
                <w:szCs w:val="24"/>
              </w:rPr>
              <w:t xml:space="preserve">  He has had </w:t>
            </w:r>
            <w:r w:rsidR="00BF48B4">
              <w:rPr>
                <w:rFonts w:ascii="Century Gothic" w:hAnsi="Century Gothic" w:cstheme="minorBidi"/>
                <w:sz w:val="24"/>
                <w:szCs w:val="24"/>
              </w:rPr>
              <w:t>an</w:t>
            </w:r>
            <w:r w:rsidR="00AF4DB8">
              <w:rPr>
                <w:rFonts w:ascii="Century Gothic" w:hAnsi="Century Gothic" w:cstheme="minorBidi"/>
                <w:sz w:val="24"/>
                <w:szCs w:val="24"/>
              </w:rPr>
              <w:t xml:space="preserve"> interest in Dementia research and working with individuals with a diagnosis of dementia for many years.  </w:t>
            </w:r>
          </w:p>
          <w:p w14:paraId="66CE6B8A" w14:textId="77777777" w:rsidR="00AF4DB8" w:rsidRDefault="00AF4DB8" w:rsidP="00AF4DB8">
            <w:pPr>
              <w:jc w:val="both"/>
              <w:rPr>
                <w:rFonts w:ascii="Century Gothic" w:hAnsi="Century Gothic" w:cstheme="minorBidi"/>
                <w:sz w:val="24"/>
                <w:szCs w:val="24"/>
              </w:rPr>
            </w:pPr>
          </w:p>
          <w:p w14:paraId="69BAA199" w14:textId="76629732" w:rsidR="00B5098A" w:rsidRDefault="00B5098A" w:rsidP="005C343E">
            <w:pPr>
              <w:jc w:val="both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Times New Roman"/>
                <w:sz w:val="24"/>
                <w:szCs w:val="24"/>
                <w:lang w:val="en-US"/>
              </w:rPr>
              <w:t>David will explore the Human Rights</w:t>
            </w:r>
            <w:r w:rsidR="00AF4DB8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 elements of working with services and individuals </w:t>
            </w:r>
            <w:r w:rsidR="00BF48B4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diagnosed</w:t>
            </w:r>
            <w:r w:rsidR="00AF4DB8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 with</w:t>
            </w:r>
            <w:r w:rsidR="008440B9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 a</w:t>
            </w:r>
            <w:r w:rsidR="00AF4DB8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 dementia. </w:t>
            </w:r>
            <w:r w:rsidR="00BF48B4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Using scenario-based work and examining trends will support the learning within the </w:t>
            </w:r>
            <w:r w:rsidR="002F1235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session</w:t>
            </w:r>
            <w:r w:rsidR="00BF48B4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.  </w:t>
            </w:r>
          </w:p>
          <w:p w14:paraId="1C58C746" w14:textId="29FC0327" w:rsidR="00BF48B4" w:rsidRDefault="00BF48B4" w:rsidP="005C343E">
            <w:pPr>
              <w:jc w:val="both"/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David will explore Dementia care and policies, using the biopsychosocial model and examining how we </w:t>
            </w:r>
            <w:r w:rsidR="002F1235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can </w:t>
            </w: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make improvements in practice</w:t>
            </w:r>
            <w:r w:rsidR="002F1235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within the Dementia field</w:t>
            </w: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. </w:t>
            </w:r>
            <w:r w:rsidR="002F1235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In</w:t>
            </w:r>
            <w:r w:rsidR="002F1235" w:rsidRPr="002F1235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</w:t>
            </w:r>
            <w:r w:rsidR="002F1235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studying the shift in communication needs with people with Dementia, there is a drive to be more consistent in the level of support needed, David aims to cover this within this session.   </w:t>
            </w: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</w:t>
            </w:r>
          </w:p>
          <w:p w14:paraId="00B24ACB" w14:textId="77777777" w:rsidR="009839B7" w:rsidRDefault="009839B7" w:rsidP="005C343E">
            <w:pPr>
              <w:jc w:val="both"/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</w:pPr>
          </w:p>
          <w:p w14:paraId="34610E62" w14:textId="77777777" w:rsidR="005C343E" w:rsidRPr="005C343E" w:rsidRDefault="005C343E" w:rsidP="005C343E">
            <w:pPr>
              <w:spacing w:after="160"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 w:rsidRPr="005C343E">
              <w:rPr>
                <w:rFonts w:ascii="Century Gothic" w:hAnsi="Century Gothic" w:cstheme="minorBidi"/>
                <w:sz w:val="24"/>
                <w:szCs w:val="24"/>
              </w:rPr>
              <w:t xml:space="preserve">The session will include an opportunity to ask questions. </w:t>
            </w:r>
          </w:p>
          <w:p w14:paraId="17C268AA" w14:textId="40BD1EE8" w:rsidR="00275EDC" w:rsidRPr="00881F60" w:rsidRDefault="00275EDC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This training is open to all multiagency staff </w:t>
            </w:r>
            <w:r w:rsidR="004C6E43"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working</w:t>
            </w: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in Angus.</w:t>
            </w:r>
          </w:p>
          <w:p w14:paraId="18360B57" w14:textId="77777777" w:rsidR="00275EDC" w:rsidRPr="00881F60" w:rsidRDefault="00275EDC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711F9EE1" w14:textId="64BF5D0D" w:rsidR="005C680E" w:rsidRDefault="005C680E" w:rsidP="005C680E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Please use the link below to book a space:</w:t>
            </w:r>
          </w:p>
          <w:p w14:paraId="651F14A6" w14:textId="77777777" w:rsidR="005C680E" w:rsidRDefault="005C680E" w:rsidP="005C680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4680855" w14:textId="1C61B0D7" w:rsidR="005C680E" w:rsidRPr="005C680E" w:rsidRDefault="005C680E" w:rsidP="005C680E">
            <w:pPr>
              <w:pStyle w:val="ListParagraph"/>
              <w:numPr>
                <w:ilvl w:val="0"/>
                <w:numId w:val="3"/>
              </w:num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5C680E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23 February </w:t>
            </w:r>
            <w:proofErr w:type="gramStart"/>
            <w:r w:rsidRPr="005C680E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2024 :</w:t>
            </w:r>
            <w:proofErr w:type="gramEnd"/>
            <w:r w:rsidRPr="005C680E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r w:rsidRPr="005C680E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hyperlink r:id="rId9" w:history="1">
              <w:r w:rsidRPr="005C680E">
                <w:rPr>
                  <w:rStyle w:val="Hyperlink"/>
                  <w:rFonts w:ascii="Century Gothic" w:eastAsia="Times New Roman" w:hAnsi="Century Gothic"/>
                  <w:b/>
                  <w:bCs/>
                </w:rPr>
                <w:t>L</w:t>
              </w:r>
              <w:r w:rsidRPr="005C680E">
                <w:rPr>
                  <w:rStyle w:val="Hyperlink"/>
                  <w:b/>
                  <w:bCs/>
                </w:rPr>
                <w:t>ink</w:t>
              </w:r>
            </w:hyperlink>
          </w:p>
          <w:p w14:paraId="56149186" w14:textId="77777777" w:rsidR="005C680E" w:rsidRPr="005C680E" w:rsidRDefault="005C680E" w:rsidP="005C680E">
            <w:pPr>
              <w:pStyle w:val="ListParagraph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E1FAA34" w14:textId="6AC9D7E8" w:rsidR="005C680E" w:rsidRPr="00293D97" w:rsidRDefault="005C680E" w:rsidP="005C680E">
            <w:pPr>
              <w:pStyle w:val="ListParagraph"/>
              <w:numPr>
                <w:ilvl w:val="0"/>
                <w:numId w:val="3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5C680E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27 February </w:t>
            </w:r>
            <w:proofErr w:type="gramStart"/>
            <w:r w:rsidRPr="005C680E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2024</w:t>
            </w:r>
            <w:r w:rsidRPr="00293D97">
              <w:rPr>
                <w:rFonts w:ascii="Century Gothic" w:eastAsia="Times New Roman" w:hAnsi="Century Gothic"/>
                <w:color w:val="000000" w:themeColor="text1"/>
              </w:rPr>
              <w:t xml:space="preserve"> :</w:t>
            </w:r>
            <w:proofErr w:type="gramEnd"/>
            <w:r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r w:rsidRPr="00293D97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hyperlink r:id="rId10" w:history="1">
              <w:r w:rsidRPr="005C680E">
                <w:rPr>
                  <w:rStyle w:val="Hyperlink"/>
                  <w:rFonts w:ascii="Century Gothic" w:eastAsia="Times New Roman" w:hAnsi="Century Gothic"/>
                  <w:b/>
                  <w:bCs/>
                </w:rPr>
                <w:t>L</w:t>
              </w:r>
              <w:r w:rsidRPr="005C680E">
                <w:rPr>
                  <w:rStyle w:val="Hyperlink"/>
                  <w:b/>
                  <w:bCs/>
                </w:rPr>
                <w:t>ink</w:t>
              </w:r>
            </w:hyperlink>
          </w:p>
          <w:p w14:paraId="2E97F451" w14:textId="5E749492" w:rsidR="00350836" w:rsidRPr="007C27EC" w:rsidRDefault="00350836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5C680E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5C680E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8267EA3"/>
    <w:multiLevelType w:val="hybridMultilevel"/>
    <w:tmpl w:val="0060E16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8C2642"/>
    <w:multiLevelType w:val="hybridMultilevel"/>
    <w:tmpl w:val="DB167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127184">
    <w:abstractNumId w:val="0"/>
  </w:num>
  <w:num w:numId="2" w16cid:durableId="1533229337">
    <w:abstractNumId w:val="1"/>
  </w:num>
  <w:num w:numId="3" w16cid:durableId="246428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0E13DD"/>
    <w:rsid w:val="00126F39"/>
    <w:rsid w:val="001D5554"/>
    <w:rsid w:val="001E13F0"/>
    <w:rsid w:val="00275EDC"/>
    <w:rsid w:val="0027711A"/>
    <w:rsid w:val="002D0DC4"/>
    <w:rsid w:val="002D6ADD"/>
    <w:rsid w:val="002F1235"/>
    <w:rsid w:val="00303612"/>
    <w:rsid w:val="0033764B"/>
    <w:rsid w:val="00350836"/>
    <w:rsid w:val="003E6DD8"/>
    <w:rsid w:val="00424E2F"/>
    <w:rsid w:val="00436B55"/>
    <w:rsid w:val="004C6E43"/>
    <w:rsid w:val="004D71AE"/>
    <w:rsid w:val="004E7971"/>
    <w:rsid w:val="004F56FD"/>
    <w:rsid w:val="00507E70"/>
    <w:rsid w:val="00520461"/>
    <w:rsid w:val="00551426"/>
    <w:rsid w:val="005744FA"/>
    <w:rsid w:val="005C343E"/>
    <w:rsid w:val="005C680E"/>
    <w:rsid w:val="006029F2"/>
    <w:rsid w:val="006D3445"/>
    <w:rsid w:val="006F476A"/>
    <w:rsid w:val="0073708E"/>
    <w:rsid w:val="0076728C"/>
    <w:rsid w:val="00791617"/>
    <w:rsid w:val="007A5F4D"/>
    <w:rsid w:val="007C27EC"/>
    <w:rsid w:val="008259CE"/>
    <w:rsid w:val="008440B9"/>
    <w:rsid w:val="00881F60"/>
    <w:rsid w:val="009839B7"/>
    <w:rsid w:val="009C0F9B"/>
    <w:rsid w:val="00A756F1"/>
    <w:rsid w:val="00AC28ED"/>
    <w:rsid w:val="00AE2F5A"/>
    <w:rsid w:val="00AF4DB8"/>
    <w:rsid w:val="00B5098A"/>
    <w:rsid w:val="00BF48B4"/>
    <w:rsid w:val="00CA2E81"/>
    <w:rsid w:val="00CE0519"/>
    <w:rsid w:val="00DF35CC"/>
    <w:rsid w:val="00E8104E"/>
    <w:rsid w:val="00F2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2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3.jpg@01D7F104.4AC386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uytickets.at/anguscouncil2/1103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ytickets.at/anguscouncil2/1103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Denise Old</cp:lastModifiedBy>
  <cp:revision>2</cp:revision>
  <dcterms:created xsi:type="dcterms:W3CDTF">2023-12-28T14:16:00Z</dcterms:created>
  <dcterms:modified xsi:type="dcterms:W3CDTF">2023-12-28T14:16:00Z</dcterms:modified>
</cp:coreProperties>
</file>