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37765CF" w14:textId="4138C89D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5F183898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0B6D9906">
                  <wp:extent cx="1295400" cy="951230"/>
                  <wp:effectExtent l="0" t="0" r="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16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6F39">
              <w:rPr>
                <w:rFonts w:ascii="Century Gothic" w:eastAsia="Times New Roman" w:hAnsi="Century Gothic"/>
                <w:color w:val="7030A0"/>
              </w:rPr>
              <w:t xml:space="preserve">     </w:t>
            </w:r>
            <w:r w:rsidR="00843E66">
              <w:rPr>
                <w:rFonts w:ascii="Segoe UI" w:hAnsi="Segoe UI" w:cs="Segoe UI"/>
                <w:noProof/>
                <w:color w:val="6610F2"/>
                <w:lang w:val="en"/>
              </w:rPr>
              <w:drawing>
                <wp:inline distT="0" distB="0" distL="0" distR="0" wp14:anchorId="3F4011A2" wp14:editId="17F15BB4">
                  <wp:extent cx="2372400" cy="673200"/>
                  <wp:effectExtent l="0" t="0" r="8890" b="0"/>
                  <wp:docPr id="33" name="Picture 33" descr="AHSCP Logo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HSCP Logo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6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07EE90DB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DF7FF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75BA2A48" w:rsidR="00097592" w:rsidRDefault="00791617" w:rsidP="00DF7FF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Adult Protection Day </w:t>
            </w:r>
            <w:r w:rsidR="00457CE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2023</w:t>
            </w:r>
          </w:p>
          <w:p w14:paraId="01F507A4" w14:textId="77777777" w:rsidR="00DC6A0E" w:rsidRDefault="00DC6A0E" w:rsidP="00DF7FF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30D6BD0" w14:textId="2E84FC2B" w:rsidR="00DF7FF1" w:rsidRPr="00DC6A0E" w:rsidRDefault="00DF7FF1" w:rsidP="00DF7FF1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6048911"/>
            <w:r w:rsidRPr="00DC6A0E">
              <w:rPr>
                <w:rStyle w:val="ui-provider"/>
                <w:rFonts w:ascii="Century Gothic" w:hAnsi="Century Gothic"/>
                <w:b/>
                <w:bCs/>
                <w:sz w:val="28"/>
                <w:szCs w:val="28"/>
              </w:rPr>
              <w:t>Safeguarding Adults at Risk: A Case Study from Angus Community Mental Health service</w:t>
            </w:r>
          </w:p>
          <w:p w14:paraId="3751F734" w14:textId="620BB20B" w:rsidR="005C343E" w:rsidRDefault="00126F39" w:rsidP="00DF7FF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F7FF1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15 February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2023</w:t>
            </w:r>
            <w:r w:rsidR="00843E66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C6A0E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2.30pm – 3.30pm</w:t>
            </w:r>
          </w:p>
          <w:p w14:paraId="62A3EC6D" w14:textId="31C9C534" w:rsidR="00C0055D" w:rsidRDefault="00DC6A0E" w:rsidP="00DF7FF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</w:t>
            </w:r>
            <w:r w:rsidR="00C0055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MS Teams</w:t>
            </w:r>
            <w:bookmarkEnd w:id="0"/>
          </w:p>
          <w:p w14:paraId="1369FF54" w14:textId="797BC8B6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3444B2B3" w14:textId="7C44ACB4" w:rsidR="00AF78FE" w:rsidRDefault="00AF78FE" w:rsidP="00A35CCF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>The session</w:t>
            </w:r>
            <w:r w:rsidR="00457CE6">
              <w:rPr>
                <w:rFonts w:ascii="Century Gothic" w:hAnsi="Century Gothic" w:cstheme="minorBidi"/>
                <w:sz w:val="24"/>
                <w:szCs w:val="24"/>
              </w:rPr>
              <w:t xml:space="preserve"> will be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 delivered </w:t>
            </w:r>
            <w:r w:rsidR="00457CE6">
              <w:rPr>
                <w:rFonts w:ascii="Century Gothic" w:hAnsi="Century Gothic" w:cstheme="minorBidi"/>
                <w:sz w:val="24"/>
                <w:szCs w:val="24"/>
              </w:rPr>
              <w:t>by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 social work staff from the Community Mental Health Services in Angus.  This session will look at the interplay of different </w:t>
            </w:r>
            <w:r w:rsidR="00F176EB">
              <w:rPr>
                <w:rFonts w:ascii="Century Gothic" w:hAnsi="Century Gothic" w:cstheme="minorBidi"/>
                <w:sz w:val="24"/>
                <w:szCs w:val="24"/>
              </w:rPr>
              <w:t xml:space="preserve">services to address issues raised under </w:t>
            </w:r>
            <w:r>
              <w:rPr>
                <w:rFonts w:ascii="Century Gothic" w:hAnsi="Century Gothic" w:cstheme="minorBidi"/>
                <w:sz w:val="24"/>
                <w:szCs w:val="24"/>
              </w:rPr>
              <w:t>Adult Support and Protection Legislation to safeguard a vulnerable individual</w:t>
            </w:r>
            <w:r w:rsidR="002C58E4">
              <w:rPr>
                <w:rFonts w:ascii="Century Gothic" w:hAnsi="Century Gothic" w:cstheme="minorBidi"/>
                <w:sz w:val="24"/>
                <w:szCs w:val="24"/>
              </w:rPr>
              <w:t xml:space="preserve">.  During this session we hope to </w:t>
            </w:r>
            <w:r w:rsidR="004A43D7">
              <w:rPr>
                <w:rFonts w:ascii="Century Gothic" w:hAnsi="Century Gothic" w:cstheme="minorBidi"/>
                <w:sz w:val="24"/>
                <w:szCs w:val="24"/>
              </w:rPr>
              <w:t>encompass</w:t>
            </w:r>
            <w:r w:rsidR="00245451">
              <w:rPr>
                <w:rFonts w:ascii="Century Gothic" w:hAnsi="Century Gothic" w:cstheme="minorBidi"/>
                <w:sz w:val="24"/>
                <w:szCs w:val="24"/>
              </w:rPr>
              <w:t xml:space="preserve"> the complexities of this case and the decision-making process that was implemented </w:t>
            </w:r>
            <w:r w:rsidR="002C58E4">
              <w:rPr>
                <w:rFonts w:ascii="Century Gothic" w:hAnsi="Century Gothic" w:cstheme="minorBidi"/>
                <w:sz w:val="24"/>
                <w:szCs w:val="24"/>
              </w:rPr>
              <w:t xml:space="preserve">in </w:t>
            </w:r>
            <w:r w:rsidR="00245451">
              <w:rPr>
                <w:rFonts w:ascii="Century Gothic" w:hAnsi="Century Gothic" w:cstheme="minorBidi"/>
                <w:sz w:val="24"/>
                <w:szCs w:val="24"/>
              </w:rPr>
              <w:t xml:space="preserve">safeguard this individual.  </w:t>
            </w:r>
          </w:p>
          <w:p w14:paraId="27147FAE" w14:textId="58730D6D" w:rsidR="00245451" w:rsidRDefault="00245451" w:rsidP="00A35CCF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50D6F8EC" w14:textId="613E9BD1" w:rsidR="00245451" w:rsidRDefault="00245451" w:rsidP="00A35CCF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Please note this is not a session regarding mental health specifically but is looking at the intricacies of a case with </w:t>
            </w:r>
            <w:r w:rsidR="002C58E4">
              <w:rPr>
                <w:rFonts w:ascii="Century Gothic" w:hAnsi="Century Gothic" w:cstheme="minorBidi"/>
                <w:sz w:val="24"/>
                <w:szCs w:val="24"/>
              </w:rPr>
              <w:t xml:space="preserve">various concerns and potentially multiple types of abuse.  The case will be anonymised for the purpose of this session. </w:t>
            </w:r>
          </w:p>
          <w:p w14:paraId="39EC9CEF" w14:textId="28308D5B" w:rsidR="002C58E4" w:rsidRDefault="002C58E4" w:rsidP="00A35CCF">
            <w:p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</w:p>
          <w:p w14:paraId="7638463B" w14:textId="71A26EFF" w:rsidR="00471F6D" w:rsidRDefault="00471F6D" w:rsidP="00471F6D">
            <w:p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This session aims to: </w:t>
            </w:r>
          </w:p>
          <w:p w14:paraId="67EB3F31" w14:textId="3D7F75C9" w:rsidR="00471F6D" w:rsidRDefault="00471F6D" w:rsidP="00471F6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Highlight and </w:t>
            </w:r>
            <w:r w:rsidRPr="00184003">
              <w:rPr>
                <w:rFonts w:ascii="Century Gothic" w:hAnsi="Century Gothic" w:cstheme="minorBidi"/>
                <w:sz w:val="24"/>
                <w:szCs w:val="24"/>
              </w:rPr>
              <w:t>discuss the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 different competing factors in engaging adults with ASP legislation. </w:t>
            </w:r>
          </w:p>
          <w:p w14:paraId="46E41B15" w14:textId="56EF82B2" w:rsidR="00471F6D" w:rsidRDefault="00471F6D" w:rsidP="00471F6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>Undertake a c</w:t>
            </w:r>
            <w:r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ase </w:t>
            </w:r>
            <w:r>
              <w:rPr>
                <w:rFonts w:ascii="Century Gothic" w:hAnsi="Century Gothic" w:cstheme="minorBidi"/>
                <w:sz w:val="24"/>
                <w:szCs w:val="24"/>
              </w:rPr>
              <w:t xml:space="preserve">study from the CMHS </w:t>
            </w:r>
            <w:r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perspective and </w:t>
            </w:r>
          </w:p>
          <w:p w14:paraId="69AB9321" w14:textId="60F82C13" w:rsidR="00471F6D" w:rsidRPr="00471F6D" w:rsidRDefault="00471F6D" w:rsidP="00471F6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highlight </w:t>
            </w:r>
            <w:r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issues that are apparent in adults engaged with </w:t>
            </w:r>
            <w:r>
              <w:rPr>
                <w:rFonts w:ascii="Century Gothic" w:hAnsi="Century Gothic" w:cstheme="minorBidi"/>
                <w:sz w:val="24"/>
                <w:szCs w:val="24"/>
              </w:rPr>
              <w:t>CMHS and the impact this has on safeguarding them</w:t>
            </w:r>
            <w:r w:rsidRPr="00184003">
              <w:rPr>
                <w:rFonts w:ascii="Century Gothic" w:hAnsi="Century Gothic" w:cstheme="minorBidi"/>
                <w:sz w:val="24"/>
                <w:szCs w:val="24"/>
              </w:rPr>
              <w:t xml:space="preserve">.    </w:t>
            </w:r>
          </w:p>
          <w:p w14:paraId="4E672C02" w14:textId="155D60D1" w:rsidR="002C58E4" w:rsidRPr="002C58E4" w:rsidRDefault="002C58E4" w:rsidP="002C58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Highlight the role of legislation in the safeguarding of vulnerable adults </w:t>
            </w:r>
          </w:p>
          <w:p w14:paraId="02E954AB" w14:textId="77777777" w:rsidR="00AF78FE" w:rsidRDefault="00AF78FE" w:rsidP="00A35CCF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</w:p>
          <w:p w14:paraId="34610E62" w14:textId="77777777" w:rsidR="005C343E" w:rsidRPr="005C343E" w:rsidRDefault="005C343E" w:rsidP="00A35CCF">
            <w:pPr>
              <w:spacing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The session will include an opportunity to ask questions. </w:t>
            </w:r>
          </w:p>
          <w:p w14:paraId="01B8A238" w14:textId="77777777" w:rsidR="00184003" w:rsidRDefault="00184003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7C268AA" w14:textId="28DB5780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training is open to all multiagency staff </w:t>
            </w:r>
            <w:r w:rsidR="004C6E43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working</w:t>
            </w: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in Angus.</w:t>
            </w:r>
          </w:p>
          <w:p w14:paraId="397490DD" w14:textId="01565158" w:rsidR="00303612" w:rsidRDefault="005C343E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Ple</w:t>
            </w:r>
            <w:r w:rsidR="00471F6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ase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use the link below to book a space</w:t>
            </w:r>
            <w:r w:rsidR="00542BB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677B4820" w14:textId="7F8AE570" w:rsidR="00542BB0" w:rsidRDefault="00542BB0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E97F451" w14:textId="3032DF3E" w:rsidR="00350836" w:rsidRPr="007C27EC" w:rsidRDefault="00DC6A0E" w:rsidP="00DC6A0E">
            <w:pPr>
              <w:rPr>
                <w:rFonts w:ascii="Century Gothic" w:eastAsia="Times New Roman" w:hAnsi="Century Gothic"/>
                <w:color w:val="000000" w:themeColor="text1"/>
              </w:rPr>
            </w:pPr>
            <w:hyperlink r:id="rId9" w:history="1">
              <w:r w:rsidR="00542BB0" w:rsidRPr="005F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</w:t>
              </w:r>
              <w:r w:rsidR="00542BB0" w:rsidRPr="005F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t</w:t>
              </w:r>
              <w:r w:rsidR="00542BB0" w:rsidRPr="005F2238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brite.co.uk/e/safeguarding-adults-at-risk-a-case-study-from-acmhs-tickets-528497067957</w:t>
              </w:r>
            </w:hyperlink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2A83E39"/>
    <w:multiLevelType w:val="hybridMultilevel"/>
    <w:tmpl w:val="915A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2DE"/>
    <w:multiLevelType w:val="hybridMultilevel"/>
    <w:tmpl w:val="792C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0F2A30"/>
    <w:multiLevelType w:val="hybridMultilevel"/>
    <w:tmpl w:val="6A64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38794">
    <w:abstractNumId w:val="0"/>
  </w:num>
  <w:num w:numId="2" w16cid:durableId="1753233961">
    <w:abstractNumId w:val="3"/>
  </w:num>
  <w:num w:numId="3" w16cid:durableId="1506704284">
    <w:abstractNumId w:val="1"/>
  </w:num>
  <w:num w:numId="4" w16cid:durableId="491721694">
    <w:abstractNumId w:val="2"/>
  </w:num>
  <w:num w:numId="5" w16cid:durableId="1221290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26F39"/>
    <w:rsid w:val="00184003"/>
    <w:rsid w:val="001D5554"/>
    <w:rsid w:val="001E13F0"/>
    <w:rsid w:val="00245451"/>
    <w:rsid w:val="00275EDC"/>
    <w:rsid w:val="0027711A"/>
    <w:rsid w:val="002C58E4"/>
    <w:rsid w:val="002D0DC4"/>
    <w:rsid w:val="00303612"/>
    <w:rsid w:val="0033764B"/>
    <w:rsid w:val="00350836"/>
    <w:rsid w:val="003E6DD8"/>
    <w:rsid w:val="00424E2F"/>
    <w:rsid w:val="00436B55"/>
    <w:rsid w:val="00457CE6"/>
    <w:rsid w:val="00471F6D"/>
    <w:rsid w:val="004A43D7"/>
    <w:rsid w:val="004C6E43"/>
    <w:rsid w:val="004D71AE"/>
    <w:rsid w:val="004E7971"/>
    <w:rsid w:val="004F56FD"/>
    <w:rsid w:val="00507E70"/>
    <w:rsid w:val="00520461"/>
    <w:rsid w:val="00542BB0"/>
    <w:rsid w:val="00551426"/>
    <w:rsid w:val="005744FA"/>
    <w:rsid w:val="005C343E"/>
    <w:rsid w:val="006029F2"/>
    <w:rsid w:val="006D3445"/>
    <w:rsid w:val="006F476A"/>
    <w:rsid w:val="0073708E"/>
    <w:rsid w:val="0076728C"/>
    <w:rsid w:val="00791617"/>
    <w:rsid w:val="007A5F4D"/>
    <w:rsid w:val="007C27EC"/>
    <w:rsid w:val="008259CE"/>
    <w:rsid w:val="00843E66"/>
    <w:rsid w:val="00881F60"/>
    <w:rsid w:val="008B50BD"/>
    <w:rsid w:val="009804B5"/>
    <w:rsid w:val="009839B7"/>
    <w:rsid w:val="009C0F9B"/>
    <w:rsid w:val="00A35CCF"/>
    <w:rsid w:val="00A756F1"/>
    <w:rsid w:val="00AC28ED"/>
    <w:rsid w:val="00AF78FE"/>
    <w:rsid w:val="00BB02BC"/>
    <w:rsid w:val="00C0055D"/>
    <w:rsid w:val="00CE0519"/>
    <w:rsid w:val="00DC6A0E"/>
    <w:rsid w:val="00DF35CC"/>
    <w:rsid w:val="00DF7FF1"/>
    <w:rsid w:val="00E8104E"/>
    <w:rsid w:val="00F176EB"/>
    <w:rsid w:val="00F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5CCF"/>
    <w:pPr>
      <w:ind w:left="720"/>
      <w:contextualSpacing/>
    </w:pPr>
  </w:style>
  <w:style w:type="character" w:customStyle="1" w:styleId="ui-provider">
    <w:name w:val="ui-provider"/>
    <w:basedOn w:val="DefaultParagraphFont"/>
    <w:rsid w:val="00DF7FF1"/>
  </w:style>
  <w:style w:type="character" w:styleId="FollowedHyperlink">
    <w:name w:val="FollowedHyperlink"/>
    <w:basedOn w:val="DefaultParagraphFont"/>
    <w:uiPriority w:val="99"/>
    <w:semiHidden/>
    <w:unhideWhenUsed/>
    <w:rsid w:val="00DC6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ngushscp.sc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104.4AC386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safeguarding-adults-at-risk-a-case-study-from-acmhs-tickets-5284970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2023-01-31T09:18:00Z</dcterms:created>
  <dcterms:modified xsi:type="dcterms:W3CDTF">2023-01-31T09:18:00Z</dcterms:modified>
</cp:coreProperties>
</file>