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D79E" w14:textId="71ABC218" w:rsidR="006029F2" w:rsidRDefault="006029F2" w:rsidP="009C0F9B">
      <w:pPr>
        <w:rPr>
          <w:rFonts w:ascii="Century Gothic" w:eastAsia="Times New Roman" w:hAnsi="Century Gothic"/>
          <w:color w:val="800080"/>
        </w:rPr>
      </w:pPr>
    </w:p>
    <w:tbl>
      <w:tblPr>
        <w:tblW w:w="9765" w:type="dxa"/>
        <w:tblInd w:w="-320" w:type="dxa"/>
        <w:tblBorders>
          <w:top w:val="thinThickThinLargeGap" w:sz="24" w:space="0" w:color="7030A0"/>
          <w:left w:val="thinThickThinLargeGap" w:sz="24" w:space="0" w:color="7030A0"/>
          <w:bottom w:val="thinThickThinLargeGap" w:sz="24" w:space="0" w:color="7030A0"/>
          <w:right w:val="thinThickThinLargeGap" w:sz="24" w:space="0" w:color="7030A0"/>
          <w:insideH w:val="thinThickThinLargeGap" w:sz="24" w:space="0" w:color="7030A0"/>
          <w:insideV w:val="thinThickThinLargeGap" w:sz="24" w:space="0" w:color="7030A0"/>
        </w:tblBorders>
        <w:tblLook w:val="0000" w:firstRow="0" w:lastRow="0" w:firstColumn="0" w:lastColumn="0" w:noHBand="0" w:noVBand="0"/>
      </w:tblPr>
      <w:tblGrid>
        <w:gridCol w:w="9765"/>
      </w:tblGrid>
      <w:tr w:rsidR="006029F2" w:rsidRPr="006029F2" w14:paraId="16849368" w14:textId="77777777" w:rsidTr="006029F2">
        <w:trPr>
          <w:trHeight w:val="12825"/>
        </w:trPr>
        <w:tc>
          <w:tcPr>
            <w:tcW w:w="9765" w:type="dxa"/>
          </w:tcPr>
          <w:p w14:paraId="037765CF" w14:textId="5669D462" w:rsidR="006029F2" w:rsidRDefault="006029F2" w:rsidP="00791617">
            <w:pPr>
              <w:ind w:left="315"/>
              <w:jc w:val="center"/>
              <w:rPr>
                <w:rFonts w:ascii="Century Gothic" w:eastAsia="Times New Roman" w:hAnsi="Century Gothic"/>
                <w:color w:val="7030A0"/>
              </w:rPr>
            </w:pPr>
          </w:p>
          <w:p w14:paraId="53639772" w14:textId="60C0B225" w:rsidR="00097592" w:rsidRDefault="0076728C" w:rsidP="004C6E43">
            <w:pPr>
              <w:jc w:val="center"/>
              <w:rPr>
                <w:rFonts w:ascii="Century Gothic" w:eastAsia="Times New Roman" w:hAnsi="Century Gothic"/>
                <w:color w:val="7030A0"/>
              </w:rPr>
            </w:pPr>
            <w:r>
              <w:rPr>
                <w:noProof/>
                <w:color w:val="1F497D"/>
                <w:lang w:eastAsia="en-GB"/>
              </w:rPr>
              <w:drawing>
                <wp:inline distT="0" distB="0" distL="0" distR="0" wp14:anchorId="3297C4B2" wp14:editId="4825287C">
                  <wp:extent cx="1174750" cy="951450"/>
                  <wp:effectExtent l="0" t="0" r="6350" b="1270"/>
                  <wp:docPr id="4" name="Picture 4" descr="AAPC logo 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PC logo clea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85282" cy="959980"/>
                          </a:xfrm>
                          <a:prstGeom prst="rect">
                            <a:avLst/>
                          </a:prstGeom>
                          <a:noFill/>
                          <a:ln>
                            <a:noFill/>
                          </a:ln>
                        </pic:spPr>
                      </pic:pic>
                    </a:graphicData>
                  </a:graphic>
                </wp:inline>
              </w:drawing>
            </w:r>
          </w:p>
          <w:p w14:paraId="4E8C04DD" w14:textId="77777777" w:rsidR="00DF35CC" w:rsidRPr="006029F2" w:rsidRDefault="00DF35CC" w:rsidP="00DF35CC">
            <w:pPr>
              <w:rPr>
                <w:rFonts w:ascii="Century Gothic" w:eastAsia="Times New Roman" w:hAnsi="Century Gothic"/>
                <w:color w:val="7030A0"/>
              </w:rPr>
            </w:pPr>
          </w:p>
          <w:p w14:paraId="1689719F" w14:textId="77777777" w:rsidR="006029F2" w:rsidRPr="006029F2" w:rsidRDefault="006029F2" w:rsidP="006029F2">
            <w:pPr>
              <w:ind w:left="315"/>
              <w:rPr>
                <w:rFonts w:ascii="Century Gothic" w:eastAsia="Times New Roman" w:hAnsi="Century Gothic"/>
                <w:color w:val="7030A0"/>
              </w:rPr>
            </w:pPr>
          </w:p>
          <w:p w14:paraId="04AAB271" w14:textId="77777777" w:rsidR="00791617" w:rsidRDefault="00791617" w:rsidP="005C343E">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Angus Adult Protection Committee</w:t>
            </w:r>
          </w:p>
          <w:p w14:paraId="6E4F079F" w14:textId="41E5521E" w:rsidR="00097592" w:rsidRDefault="00791617" w:rsidP="005C343E">
            <w:pPr>
              <w:ind w:left="315"/>
              <w:jc w:val="center"/>
              <w:rPr>
                <w:rFonts w:ascii="Century Gothic" w:eastAsia="Times New Roman" w:hAnsi="Century Gothic"/>
                <w:b/>
                <w:bCs/>
                <w:color w:val="000000" w:themeColor="text1"/>
                <w:sz w:val="28"/>
                <w:szCs w:val="28"/>
              </w:rPr>
            </w:pPr>
            <w:r>
              <w:rPr>
                <w:rFonts w:ascii="Century Gothic" w:eastAsia="Times New Roman" w:hAnsi="Century Gothic"/>
                <w:b/>
                <w:bCs/>
                <w:color w:val="000000" w:themeColor="text1"/>
                <w:sz w:val="28"/>
                <w:szCs w:val="28"/>
              </w:rPr>
              <w:t>Adult Protection Day 202</w:t>
            </w:r>
            <w:r w:rsidR="00FB3638">
              <w:rPr>
                <w:rFonts w:ascii="Century Gothic" w:eastAsia="Times New Roman" w:hAnsi="Century Gothic"/>
                <w:b/>
                <w:bCs/>
                <w:color w:val="000000" w:themeColor="text1"/>
                <w:sz w:val="28"/>
                <w:szCs w:val="28"/>
              </w:rPr>
              <w:t>3</w:t>
            </w:r>
          </w:p>
          <w:p w14:paraId="0953D23C" w14:textId="77777777" w:rsidR="005C343E" w:rsidRPr="005C343E" w:rsidRDefault="005C343E" w:rsidP="005C343E">
            <w:pPr>
              <w:spacing w:after="160"/>
              <w:jc w:val="center"/>
              <w:rPr>
                <w:rFonts w:ascii="Century Gothic" w:eastAsia="Times New Roman" w:hAnsi="Century Gothic"/>
                <w:b/>
                <w:bCs/>
                <w:color w:val="000000" w:themeColor="text1"/>
                <w:sz w:val="28"/>
                <w:szCs w:val="28"/>
              </w:rPr>
            </w:pPr>
            <w:r w:rsidRPr="005C343E">
              <w:rPr>
                <w:rFonts w:ascii="Century Gothic" w:eastAsia="Times New Roman" w:hAnsi="Century Gothic"/>
                <w:b/>
                <w:bCs/>
                <w:color w:val="000000" w:themeColor="text1"/>
                <w:sz w:val="28"/>
                <w:szCs w:val="28"/>
              </w:rPr>
              <w:t>Financial Harm and Angus FAST (Financial Abuse Support Team)</w:t>
            </w:r>
          </w:p>
          <w:p w14:paraId="469727C7" w14:textId="589AEB59" w:rsidR="002D0DC4" w:rsidRPr="005C343E" w:rsidRDefault="005C343E" w:rsidP="005C343E">
            <w:pPr>
              <w:spacing w:after="160"/>
              <w:jc w:val="center"/>
              <w:rPr>
                <w:rFonts w:ascii="Century Gothic" w:hAnsi="Century Gothic" w:cstheme="minorBidi"/>
                <w:b/>
                <w:bCs/>
                <w:sz w:val="24"/>
                <w:szCs w:val="24"/>
              </w:rPr>
            </w:pPr>
            <w:r>
              <w:rPr>
                <w:rFonts w:ascii="Century Gothic" w:hAnsi="Century Gothic"/>
                <w:b/>
                <w:bCs/>
                <w:color w:val="000000" w:themeColor="text1"/>
                <w:sz w:val="28"/>
                <w:szCs w:val="28"/>
              </w:rPr>
              <w:t>Monday 20</w:t>
            </w:r>
            <w:r w:rsidR="002D0DC4" w:rsidRPr="002D0DC4">
              <w:rPr>
                <w:rFonts w:ascii="Century Gothic" w:hAnsi="Century Gothic"/>
                <w:b/>
                <w:bCs/>
                <w:color w:val="000000" w:themeColor="text1"/>
                <w:sz w:val="28"/>
                <w:szCs w:val="28"/>
              </w:rPr>
              <w:t xml:space="preserve"> February 202</w:t>
            </w:r>
            <w:r>
              <w:rPr>
                <w:rFonts w:ascii="Century Gothic" w:hAnsi="Century Gothic"/>
                <w:b/>
                <w:bCs/>
                <w:color w:val="000000" w:themeColor="text1"/>
                <w:sz w:val="28"/>
                <w:szCs w:val="28"/>
              </w:rPr>
              <w:t>3</w:t>
            </w:r>
          </w:p>
          <w:p w14:paraId="3751F734" w14:textId="7C7F9151" w:rsidR="005C343E" w:rsidRDefault="005C343E" w:rsidP="005C343E">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10.30</w:t>
            </w:r>
            <w:r w:rsidR="008F38B6">
              <w:rPr>
                <w:rFonts w:ascii="Century Gothic" w:hAnsi="Century Gothic"/>
                <w:b/>
                <w:bCs/>
                <w:color w:val="000000" w:themeColor="text1"/>
                <w:sz w:val="28"/>
                <w:szCs w:val="28"/>
              </w:rPr>
              <w:t>am</w:t>
            </w:r>
            <w:r>
              <w:rPr>
                <w:rFonts w:ascii="Century Gothic" w:hAnsi="Century Gothic"/>
                <w:b/>
                <w:bCs/>
                <w:color w:val="000000" w:themeColor="text1"/>
                <w:sz w:val="28"/>
                <w:szCs w:val="28"/>
              </w:rPr>
              <w:t xml:space="preserve"> -12</w:t>
            </w:r>
            <w:r w:rsidR="008F38B6">
              <w:rPr>
                <w:rFonts w:ascii="Century Gothic" w:hAnsi="Century Gothic"/>
                <w:b/>
                <w:bCs/>
                <w:color w:val="000000" w:themeColor="text1"/>
                <w:sz w:val="28"/>
                <w:szCs w:val="28"/>
              </w:rPr>
              <w:t>pm</w:t>
            </w:r>
          </w:p>
          <w:p w14:paraId="7A99B8D7" w14:textId="540BF92A" w:rsidR="004F56FD" w:rsidRDefault="005C343E" w:rsidP="005C343E">
            <w:pPr>
              <w:ind w:left="315"/>
              <w:jc w:val="center"/>
              <w:rPr>
                <w:rFonts w:ascii="Century Gothic" w:hAnsi="Century Gothic"/>
                <w:b/>
                <w:bCs/>
                <w:color w:val="000000" w:themeColor="text1"/>
                <w:sz w:val="28"/>
                <w:szCs w:val="28"/>
              </w:rPr>
            </w:pPr>
            <w:r>
              <w:rPr>
                <w:rFonts w:ascii="Century Gothic" w:hAnsi="Century Gothic"/>
                <w:b/>
                <w:bCs/>
                <w:color w:val="000000" w:themeColor="text1"/>
                <w:sz w:val="28"/>
                <w:szCs w:val="28"/>
              </w:rPr>
              <w:t>Angus House</w:t>
            </w:r>
            <w:r w:rsidR="008F38B6">
              <w:rPr>
                <w:rFonts w:ascii="Century Gothic" w:hAnsi="Century Gothic"/>
                <w:b/>
                <w:bCs/>
                <w:color w:val="000000" w:themeColor="text1"/>
                <w:sz w:val="28"/>
                <w:szCs w:val="28"/>
              </w:rPr>
              <w:t>, Forfar</w:t>
            </w:r>
          </w:p>
          <w:p w14:paraId="1369FF54" w14:textId="647501D2" w:rsidR="004C6E43" w:rsidRDefault="004C6E43" w:rsidP="004C6E43">
            <w:pPr>
              <w:rPr>
                <w:rFonts w:ascii="Century Gothic" w:hAnsi="Century Gothic"/>
                <w:color w:val="000000" w:themeColor="text1"/>
              </w:rPr>
            </w:pPr>
          </w:p>
          <w:p w14:paraId="2CA9A3F0" w14:textId="5B7F2010" w:rsidR="003E6DD8" w:rsidRDefault="003E6DD8" w:rsidP="003E6DD8">
            <w:pPr>
              <w:rPr>
                <w:rFonts w:ascii="Century Gothic" w:eastAsia="Times New Roman" w:hAnsi="Century Gothic"/>
                <w:color w:val="000000" w:themeColor="text1"/>
              </w:rPr>
            </w:pPr>
          </w:p>
          <w:p w14:paraId="028A936B" w14:textId="77777777" w:rsidR="005C343E" w:rsidRPr="005C343E" w:rsidRDefault="005C343E" w:rsidP="005C343E">
            <w:pPr>
              <w:spacing w:after="160" w:line="259" w:lineRule="auto"/>
              <w:rPr>
                <w:rFonts w:ascii="Century Gothic" w:hAnsi="Century Gothic" w:cstheme="minorBidi"/>
                <w:sz w:val="24"/>
                <w:szCs w:val="24"/>
              </w:rPr>
            </w:pPr>
            <w:r w:rsidRPr="005C343E">
              <w:rPr>
                <w:rFonts w:ascii="Century Gothic" w:hAnsi="Century Gothic" w:cstheme="minorBidi"/>
                <w:sz w:val="24"/>
                <w:szCs w:val="24"/>
              </w:rPr>
              <w:t xml:space="preserve">Mark Hodgkinson, Review Officer – Adult Protection with Angus Health and Social Care partnership, will outline the current approaches to tackling financial harm in Angus. </w:t>
            </w:r>
          </w:p>
          <w:p w14:paraId="19463256" w14:textId="77777777" w:rsidR="005C343E" w:rsidRPr="005C343E" w:rsidRDefault="005C343E" w:rsidP="005C343E">
            <w:pPr>
              <w:spacing w:after="160" w:line="259" w:lineRule="auto"/>
              <w:rPr>
                <w:rFonts w:ascii="Century Gothic" w:hAnsi="Century Gothic" w:cstheme="minorBidi"/>
                <w:sz w:val="24"/>
                <w:szCs w:val="24"/>
              </w:rPr>
            </w:pPr>
            <w:r w:rsidRPr="005C343E">
              <w:rPr>
                <w:rFonts w:ascii="Century Gothic" w:hAnsi="Century Gothic" w:cstheme="minorBidi"/>
                <w:sz w:val="24"/>
                <w:szCs w:val="24"/>
              </w:rPr>
              <w:t xml:space="preserve">In 2020-21, financial harm was the leading cause of harm in adults at risk in Angus. </w:t>
            </w:r>
          </w:p>
          <w:p w14:paraId="3505C524" w14:textId="77777777" w:rsidR="005C343E" w:rsidRPr="005C343E" w:rsidRDefault="005C343E" w:rsidP="005C343E">
            <w:pPr>
              <w:spacing w:after="160" w:line="259" w:lineRule="auto"/>
              <w:rPr>
                <w:rFonts w:ascii="Century Gothic" w:hAnsi="Century Gothic" w:cstheme="minorBidi"/>
                <w:sz w:val="24"/>
                <w:szCs w:val="24"/>
              </w:rPr>
            </w:pPr>
            <w:r w:rsidRPr="005C343E">
              <w:rPr>
                <w:rFonts w:ascii="Century Gothic" w:hAnsi="Century Gothic" w:cstheme="minorBidi"/>
                <w:sz w:val="24"/>
                <w:szCs w:val="24"/>
              </w:rPr>
              <w:t xml:space="preserve">The aims of the Angus Adult Protection Committee- Financial Harm Subgroup are: </w:t>
            </w:r>
          </w:p>
          <w:p w14:paraId="3968D3E4" w14:textId="77777777" w:rsidR="005C343E" w:rsidRPr="005C343E" w:rsidRDefault="005C343E" w:rsidP="005C343E">
            <w:pPr>
              <w:numPr>
                <w:ilvl w:val="0"/>
                <w:numId w:val="2"/>
              </w:numPr>
              <w:autoSpaceDE w:val="0"/>
              <w:autoSpaceDN w:val="0"/>
              <w:spacing w:after="160" w:line="259" w:lineRule="auto"/>
              <w:jc w:val="both"/>
              <w:rPr>
                <w:rFonts w:ascii="Century Gothic" w:eastAsia="Calibri" w:hAnsi="Century Gothic" w:cs="Times New Roman"/>
                <w:sz w:val="24"/>
                <w:szCs w:val="24"/>
                <w:lang w:val="en-US"/>
              </w:rPr>
            </w:pPr>
            <w:r w:rsidRPr="005C343E">
              <w:rPr>
                <w:rFonts w:ascii="Century Gothic" w:eastAsia="Calibri" w:hAnsi="Century Gothic" w:cs="Times New Roman"/>
                <w:sz w:val="24"/>
                <w:szCs w:val="24"/>
                <w:lang w:val="en-US"/>
              </w:rPr>
              <w:t>Raising awareness of the different types of frauds and scams</w:t>
            </w:r>
          </w:p>
          <w:p w14:paraId="05959531" w14:textId="77777777" w:rsidR="005C343E" w:rsidRPr="005C343E" w:rsidRDefault="005C343E" w:rsidP="005C343E">
            <w:pPr>
              <w:numPr>
                <w:ilvl w:val="0"/>
                <w:numId w:val="2"/>
              </w:numPr>
              <w:autoSpaceDE w:val="0"/>
              <w:autoSpaceDN w:val="0"/>
              <w:spacing w:after="160" w:line="259" w:lineRule="auto"/>
              <w:jc w:val="both"/>
              <w:rPr>
                <w:rFonts w:ascii="Century Gothic" w:eastAsia="Calibri" w:hAnsi="Century Gothic" w:cs="Times New Roman"/>
                <w:sz w:val="24"/>
                <w:szCs w:val="24"/>
                <w:lang w:val="en-US"/>
              </w:rPr>
            </w:pPr>
            <w:r w:rsidRPr="005C343E">
              <w:rPr>
                <w:rFonts w:ascii="Century Gothic" w:eastAsia="Calibri" w:hAnsi="Century Gothic" w:cs="Times New Roman"/>
                <w:sz w:val="24"/>
                <w:szCs w:val="24"/>
                <w:lang w:val="en-US"/>
              </w:rPr>
              <w:t>Supporting victims of financial harm and those deemed at risk of ﬁnancial harm</w:t>
            </w:r>
          </w:p>
          <w:p w14:paraId="56893797" w14:textId="77777777" w:rsidR="005C343E" w:rsidRPr="005C343E" w:rsidRDefault="005C343E" w:rsidP="005C343E">
            <w:pPr>
              <w:numPr>
                <w:ilvl w:val="0"/>
                <w:numId w:val="2"/>
              </w:numPr>
              <w:autoSpaceDE w:val="0"/>
              <w:autoSpaceDN w:val="0"/>
              <w:spacing w:after="160" w:line="259" w:lineRule="auto"/>
              <w:jc w:val="both"/>
              <w:rPr>
                <w:rFonts w:ascii="Century Gothic" w:eastAsia="Calibri" w:hAnsi="Century Gothic" w:cs="Times New Roman"/>
                <w:sz w:val="24"/>
                <w:szCs w:val="24"/>
                <w:lang w:val="en-US"/>
              </w:rPr>
            </w:pPr>
            <w:r w:rsidRPr="005C343E">
              <w:rPr>
                <w:rFonts w:ascii="Century Gothic" w:eastAsia="Calibri" w:hAnsi="Century Gothic" w:cs="Times New Roman"/>
                <w:sz w:val="24"/>
                <w:szCs w:val="24"/>
                <w:lang w:val="en-US"/>
              </w:rPr>
              <w:t>Empowering Angus people to protect themselves from ﬁnancial harm</w:t>
            </w:r>
          </w:p>
          <w:p w14:paraId="04BA311D" w14:textId="77777777" w:rsidR="005C343E" w:rsidRPr="005C343E" w:rsidRDefault="005C343E" w:rsidP="005C343E">
            <w:pPr>
              <w:jc w:val="both"/>
              <w:rPr>
                <w:rFonts w:ascii="Century Gothic" w:eastAsia="Times New Roman" w:hAnsi="Century Gothic" w:cs="Times New Roman"/>
                <w:sz w:val="24"/>
                <w:szCs w:val="24"/>
                <w:lang w:eastAsia="en-GB"/>
              </w:rPr>
            </w:pPr>
            <w:r w:rsidRPr="005C343E">
              <w:rPr>
                <w:rFonts w:ascii="Century Gothic" w:eastAsia="Times New Roman" w:hAnsi="Century Gothic" w:cs="Times New Roman"/>
                <w:sz w:val="24"/>
                <w:szCs w:val="24"/>
                <w:lang w:eastAsia="en-GB"/>
              </w:rPr>
              <w:t xml:space="preserve">The Angus FAST is thought to be unique in Scotland and previous work on evaluation of its effectiveness demonstrated significant financial benefit brough by the team to hundreds of Angus residents as well as the consequent financial benefit to the local community. The FAST meetings are attended by police, trading standards, banking and adult protection professionals. </w:t>
            </w:r>
          </w:p>
          <w:p w14:paraId="75FADF9A" w14:textId="77777777" w:rsidR="005C343E" w:rsidRPr="005C343E" w:rsidRDefault="005C343E" w:rsidP="005C343E">
            <w:pPr>
              <w:spacing w:after="160" w:line="259" w:lineRule="auto"/>
              <w:rPr>
                <w:rFonts w:ascii="Century Gothic" w:hAnsi="Century Gothic" w:cstheme="minorBidi"/>
                <w:sz w:val="24"/>
                <w:szCs w:val="24"/>
              </w:rPr>
            </w:pPr>
          </w:p>
          <w:p w14:paraId="34610E62" w14:textId="77777777" w:rsidR="005C343E" w:rsidRPr="005C343E" w:rsidRDefault="005C343E" w:rsidP="005C343E">
            <w:pPr>
              <w:spacing w:after="160" w:line="259" w:lineRule="auto"/>
              <w:rPr>
                <w:rFonts w:ascii="Century Gothic" w:hAnsi="Century Gothic" w:cstheme="minorBidi"/>
                <w:sz w:val="24"/>
                <w:szCs w:val="24"/>
              </w:rPr>
            </w:pPr>
            <w:r w:rsidRPr="005C343E">
              <w:rPr>
                <w:rFonts w:ascii="Century Gothic" w:hAnsi="Century Gothic" w:cstheme="minorBidi"/>
                <w:sz w:val="24"/>
                <w:szCs w:val="24"/>
              </w:rPr>
              <w:t xml:space="preserve">The session will include an opportunity to ask questions. </w:t>
            </w:r>
          </w:p>
          <w:p w14:paraId="17C268AA" w14:textId="40BD1EE8" w:rsidR="00275EDC" w:rsidRPr="00881F60" w:rsidRDefault="00275EDC" w:rsidP="00275EDC">
            <w:pPr>
              <w:rPr>
                <w:rFonts w:ascii="Century Gothic" w:eastAsia="Times New Roman" w:hAnsi="Century Gothic"/>
                <w:color w:val="000000" w:themeColor="text1"/>
                <w:sz w:val="24"/>
                <w:szCs w:val="24"/>
              </w:rPr>
            </w:pPr>
            <w:r w:rsidRPr="00881F60">
              <w:rPr>
                <w:rFonts w:ascii="Century Gothic" w:eastAsia="Times New Roman" w:hAnsi="Century Gothic"/>
                <w:color w:val="000000" w:themeColor="text1"/>
                <w:sz w:val="24"/>
                <w:szCs w:val="24"/>
              </w:rPr>
              <w:t xml:space="preserve">This training is open to all multiagency staff </w:t>
            </w:r>
            <w:r w:rsidR="004C6E43" w:rsidRPr="00881F60">
              <w:rPr>
                <w:rFonts w:ascii="Century Gothic" w:eastAsia="Times New Roman" w:hAnsi="Century Gothic"/>
                <w:color w:val="000000" w:themeColor="text1"/>
                <w:sz w:val="24"/>
                <w:szCs w:val="24"/>
              </w:rPr>
              <w:t>working</w:t>
            </w:r>
            <w:r w:rsidRPr="00881F60">
              <w:rPr>
                <w:rFonts w:ascii="Century Gothic" w:eastAsia="Times New Roman" w:hAnsi="Century Gothic"/>
                <w:color w:val="000000" w:themeColor="text1"/>
                <w:sz w:val="24"/>
                <w:szCs w:val="24"/>
              </w:rPr>
              <w:t xml:space="preserve"> in Angus.</w:t>
            </w:r>
          </w:p>
          <w:p w14:paraId="18360B57" w14:textId="77777777" w:rsidR="00275EDC" w:rsidRPr="00881F60" w:rsidRDefault="00275EDC" w:rsidP="00275EDC">
            <w:pPr>
              <w:rPr>
                <w:rFonts w:ascii="Century Gothic" w:eastAsia="Times New Roman" w:hAnsi="Century Gothic"/>
                <w:color w:val="000000" w:themeColor="text1"/>
                <w:sz w:val="24"/>
                <w:szCs w:val="24"/>
              </w:rPr>
            </w:pPr>
          </w:p>
          <w:p w14:paraId="397490DD" w14:textId="604CD60C" w:rsidR="00303612" w:rsidRDefault="005C343E" w:rsidP="00303612">
            <w:pPr>
              <w:rPr>
                <w:rFonts w:ascii="Century Gothic" w:eastAsia="Times New Roman" w:hAnsi="Century Gothic"/>
                <w:color w:val="000000" w:themeColor="text1"/>
                <w:sz w:val="24"/>
                <w:szCs w:val="24"/>
              </w:rPr>
            </w:pPr>
            <w:r>
              <w:rPr>
                <w:rFonts w:ascii="Century Gothic" w:eastAsia="Times New Roman" w:hAnsi="Century Gothic"/>
                <w:color w:val="000000" w:themeColor="text1"/>
                <w:sz w:val="24"/>
                <w:szCs w:val="24"/>
              </w:rPr>
              <w:t>Pleasure use the link below to book a space</w:t>
            </w:r>
          </w:p>
          <w:p w14:paraId="5C18D933" w14:textId="77777777" w:rsidR="00350836" w:rsidRDefault="008F38B6" w:rsidP="00E669C3">
            <w:pPr>
              <w:rPr>
                <w:rStyle w:val="Hyperlink"/>
                <w:rFonts w:ascii="Century Gothic" w:hAnsi="Century Gothic"/>
                <w:sz w:val="24"/>
                <w:szCs w:val="24"/>
              </w:rPr>
            </w:pPr>
            <w:hyperlink r:id="rId7" w:history="1">
              <w:r w:rsidR="00633DAB" w:rsidRPr="00CD1CAA">
                <w:rPr>
                  <w:rStyle w:val="Hyperlink"/>
                  <w:rFonts w:ascii="Century Gothic" w:hAnsi="Century Gothic"/>
                  <w:sz w:val="24"/>
                  <w:szCs w:val="24"/>
                </w:rPr>
                <w:t>https://www.eventbrite.c</w:t>
              </w:r>
              <w:r w:rsidR="00633DAB" w:rsidRPr="00CD1CAA">
                <w:rPr>
                  <w:rStyle w:val="Hyperlink"/>
                  <w:rFonts w:ascii="Century Gothic" w:hAnsi="Century Gothic"/>
                  <w:sz w:val="24"/>
                  <w:szCs w:val="24"/>
                </w:rPr>
                <w:t>o</w:t>
              </w:r>
              <w:r w:rsidR="00633DAB" w:rsidRPr="00CD1CAA">
                <w:rPr>
                  <w:rStyle w:val="Hyperlink"/>
                  <w:rFonts w:ascii="Century Gothic" w:hAnsi="Century Gothic"/>
                  <w:sz w:val="24"/>
                  <w:szCs w:val="24"/>
                </w:rPr>
                <w:t>.uk/e/adult-protection-day-2022-financial-harm-and-angus-fast-tickets-517704236307</w:t>
              </w:r>
            </w:hyperlink>
          </w:p>
          <w:p w14:paraId="2E97F451" w14:textId="3C59CCF6" w:rsidR="00971AE3" w:rsidRPr="007C27EC" w:rsidRDefault="00971AE3" w:rsidP="00E669C3">
            <w:pPr>
              <w:rPr>
                <w:rFonts w:ascii="Century Gothic" w:eastAsia="Times New Roman" w:hAnsi="Century Gothic"/>
                <w:color w:val="000000" w:themeColor="text1"/>
              </w:rPr>
            </w:pPr>
          </w:p>
        </w:tc>
      </w:tr>
    </w:tbl>
    <w:p w14:paraId="66CC6D9B" w14:textId="77777777" w:rsidR="009C0F9B" w:rsidRPr="009C0F9B" w:rsidRDefault="009C0F9B" w:rsidP="006029F2">
      <w:pPr>
        <w:spacing w:after="160" w:line="259" w:lineRule="auto"/>
        <w:rPr>
          <w:rFonts w:ascii="Century Gothic" w:eastAsia="Times New Roman" w:hAnsi="Century Gothic"/>
          <w:color w:val="800080"/>
        </w:rPr>
      </w:pPr>
    </w:p>
    <w:sectPr w:rsidR="009C0F9B" w:rsidRPr="009C0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6052F"/>
    <w:multiLevelType w:val="hybridMultilevel"/>
    <w:tmpl w:val="306C13F6"/>
    <w:lvl w:ilvl="0" w:tplc="05E2E750">
      <w:start w:val="1"/>
      <w:numFmt w:val="bullet"/>
      <w:lvlText w:val=""/>
      <w:lvlJc w:val="left"/>
      <w:pPr>
        <w:tabs>
          <w:tab w:val="num" w:pos="720"/>
        </w:tabs>
        <w:ind w:left="720" w:hanging="360"/>
      </w:pPr>
      <w:rPr>
        <w:rFonts w:ascii="Wingdings 3" w:hAnsi="Wingdings 3" w:hint="default"/>
      </w:rPr>
    </w:lvl>
    <w:lvl w:ilvl="1" w:tplc="A544CF16">
      <w:start w:val="1"/>
      <w:numFmt w:val="bullet"/>
      <w:lvlText w:val=""/>
      <w:lvlJc w:val="left"/>
      <w:pPr>
        <w:tabs>
          <w:tab w:val="num" w:pos="1440"/>
        </w:tabs>
        <w:ind w:left="1440" w:hanging="360"/>
      </w:pPr>
      <w:rPr>
        <w:rFonts w:ascii="Wingdings 3" w:hAnsi="Wingdings 3" w:hint="default"/>
      </w:rPr>
    </w:lvl>
    <w:lvl w:ilvl="2" w:tplc="02666948">
      <w:start w:val="1"/>
      <w:numFmt w:val="bullet"/>
      <w:lvlText w:val=""/>
      <w:lvlJc w:val="left"/>
      <w:pPr>
        <w:tabs>
          <w:tab w:val="num" w:pos="2160"/>
        </w:tabs>
        <w:ind w:left="2160" w:hanging="360"/>
      </w:pPr>
      <w:rPr>
        <w:rFonts w:ascii="Wingdings 3" w:hAnsi="Wingdings 3" w:hint="default"/>
      </w:rPr>
    </w:lvl>
    <w:lvl w:ilvl="3" w:tplc="598A9D64">
      <w:start w:val="1"/>
      <w:numFmt w:val="bullet"/>
      <w:lvlText w:val=""/>
      <w:lvlJc w:val="left"/>
      <w:pPr>
        <w:tabs>
          <w:tab w:val="num" w:pos="2880"/>
        </w:tabs>
        <w:ind w:left="2880" w:hanging="360"/>
      </w:pPr>
      <w:rPr>
        <w:rFonts w:ascii="Wingdings 3" w:hAnsi="Wingdings 3" w:hint="default"/>
      </w:rPr>
    </w:lvl>
    <w:lvl w:ilvl="4" w:tplc="6EC05294">
      <w:start w:val="1"/>
      <w:numFmt w:val="bullet"/>
      <w:lvlText w:val=""/>
      <w:lvlJc w:val="left"/>
      <w:pPr>
        <w:tabs>
          <w:tab w:val="num" w:pos="3600"/>
        </w:tabs>
        <w:ind w:left="3600" w:hanging="360"/>
      </w:pPr>
      <w:rPr>
        <w:rFonts w:ascii="Wingdings 3" w:hAnsi="Wingdings 3" w:hint="default"/>
      </w:rPr>
    </w:lvl>
    <w:lvl w:ilvl="5" w:tplc="6C16E786">
      <w:start w:val="1"/>
      <w:numFmt w:val="bullet"/>
      <w:lvlText w:val=""/>
      <w:lvlJc w:val="left"/>
      <w:pPr>
        <w:tabs>
          <w:tab w:val="num" w:pos="4320"/>
        </w:tabs>
        <w:ind w:left="4320" w:hanging="360"/>
      </w:pPr>
      <w:rPr>
        <w:rFonts w:ascii="Wingdings 3" w:hAnsi="Wingdings 3" w:hint="default"/>
      </w:rPr>
    </w:lvl>
    <w:lvl w:ilvl="6" w:tplc="C40456CA">
      <w:start w:val="1"/>
      <w:numFmt w:val="bullet"/>
      <w:lvlText w:val=""/>
      <w:lvlJc w:val="left"/>
      <w:pPr>
        <w:tabs>
          <w:tab w:val="num" w:pos="5040"/>
        </w:tabs>
        <w:ind w:left="5040" w:hanging="360"/>
      </w:pPr>
      <w:rPr>
        <w:rFonts w:ascii="Wingdings 3" w:hAnsi="Wingdings 3" w:hint="default"/>
      </w:rPr>
    </w:lvl>
    <w:lvl w:ilvl="7" w:tplc="07BC0822">
      <w:start w:val="1"/>
      <w:numFmt w:val="bullet"/>
      <w:lvlText w:val=""/>
      <w:lvlJc w:val="left"/>
      <w:pPr>
        <w:tabs>
          <w:tab w:val="num" w:pos="5760"/>
        </w:tabs>
        <w:ind w:left="5760" w:hanging="360"/>
      </w:pPr>
      <w:rPr>
        <w:rFonts w:ascii="Wingdings 3" w:hAnsi="Wingdings 3" w:hint="default"/>
      </w:rPr>
    </w:lvl>
    <w:lvl w:ilvl="8" w:tplc="4ECC549E">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58267EA3"/>
    <w:multiLevelType w:val="hybridMultilevel"/>
    <w:tmpl w:val="0060E166"/>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1A"/>
    <w:rsid w:val="00097592"/>
    <w:rsid w:val="000C194C"/>
    <w:rsid w:val="000E13DD"/>
    <w:rsid w:val="001D5554"/>
    <w:rsid w:val="00275EDC"/>
    <w:rsid w:val="0027711A"/>
    <w:rsid w:val="002D0DC4"/>
    <w:rsid w:val="00303612"/>
    <w:rsid w:val="0033764B"/>
    <w:rsid w:val="00350836"/>
    <w:rsid w:val="003E6DD8"/>
    <w:rsid w:val="00424E2F"/>
    <w:rsid w:val="004C6E43"/>
    <w:rsid w:val="004D71AE"/>
    <w:rsid w:val="004E7971"/>
    <w:rsid w:val="004F56FD"/>
    <w:rsid w:val="00507E70"/>
    <w:rsid w:val="00520461"/>
    <w:rsid w:val="00551426"/>
    <w:rsid w:val="005744FA"/>
    <w:rsid w:val="005C343E"/>
    <w:rsid w:val="006029F2"/>
    <w:rsid w:val="00633DAB"/>
    <w:rsid w:val="0073708E"/>
    <w:rsid w:val="0076728C"/>
    <w:rsid w:val="00791617"/>
    <w:rsid w:val="007A5F4D"/>
    <w:rsid w:val="007C27EC"/>
    <w:rsid w:val="008259CE"/>
    <w:rsid w:val="00881F60"/>
    <w:rsid w:val="008F38B6"/>
    <w:rsid w:val="00971AE3"/>
    <w:rsid w:val="009C0F9B"/>
    <w:rsid w:val="00A756F1"/>
    <w:rsid w:val="00AC28ED"/>
    <w:rsid w:val="00CE0519"/>
    <w:rsid w:val="00DF35CC"/>
    <w:rsid w:val="00E669C3"/>
    <w:rsid w:val="00F24C53"/>
    <w:rsid w:val="00FB3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2]"/>
    </o:shapedefaults>
    <o:shapelayout v:ext="edit">
      <o:idmap v:ext="edit" data="1"/>
    </o:shapelayout>
  </w:shapeDefaults>
  <w:decimalSymbol w:val="."/>
  <w:listSeparator w:val=","/>
  <w14:docId w14:val="51C127EE"/>
  <w15:chartTrackingRefBased/>
  <w15:docId w15:val="{BF281DDF-1ED3-4998-8E82-71226E76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7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6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612"/>
    <w:rPr>
      <w:rFonts w:ascii="Segoe UI" w:hAnsi="Segoe UI" w:cs="Segoe UI"/>
      <w:sz w:val="18"/>
      <w:szCs w:val="18"/>
    </w:rPr>
  </w:style>
  <w:style w:type="character" w:styleId="Hyperlink">
    <w:name w:val="Hyperlink"/>
    <w:basedOn w:val="DefaultParagraphFont"/>
    <w:uiPriority w:val="99"/>
    <w:unhideWhenUsed/>
    <w:rsid w:val="00275EDC"/>
    <w:rPr>
      <w:color w:val="0563C1" w:themeColor="hyperlink"/>
      <w:u w:val="single"/>
    </w:rPr>
  </w:style>
  <w:style w:type="character" w:styleId="UnresolvedMention">
    <w:name w:val="Unresolved Mention"/>
    <w:basedOn w:val="DefaultParagraphFont"/>
    <w:uiPriority w:val="99"/>
    <w:semiHidden/>
    <w:unhideWhenUsed/>
    <w:rsid w:val="0076728C"/>
    <w:rPr>
      <w:color w:val="605E5C"/>
      <w:shd w:val="clear" w:color="auto" w:fill="E1DFDD"/>
    </w:rPr>
  </w:style>
  <w:style w:type="character" w:styleId="FollowedHyperlink">
    <w:name w:val="FollowedHyperlink"/>
    <w:basedOn w:val="DefaultParagraphFont"/>
    <w:uiPriority w:val="99"/>
    <w:semiHidden/>
    <w:unhideWhenUsed/>
    <w:rsid w:val="008F3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8479">
      <w:bodyDiv w:val="1"/>
      <w:marLeft w:val="0"/>
      <w:marRight w:val="0"/>
      <w:marTop w:val="0"/>
      <w:marBottom w:val="0"/>
      <w:divBdr>
        <w:top w:val="none" w:sz="0" w:space="0" w:color="auto"/>
        <w:left w:val="none" w:sz="0" w:space="0" w:color="auto"/>
        <w:bottom w:val="none" w:sz="0" w:space="0" w:color="auto"/>
        <w:right w:val="none" w:sz="0" w:space="0" w:color="auto"/>
      </w:divBdr>
    </w:div>
    <w:div w:id="835807761">
      <w:bodyDiv w:val="1"/>
      <w:marLeft w:val="0"/>
      <w:marRight w:val="0"/>
      <w:marTop w:val="0"/>
      <w:marBottom w:val="0"/>
      <w:divBdr>
        <w:top w:val="none" w:sz="0" w:space="0" w:color="auto"/>
        <w:left w:val="none" w:sz="0" w:space="0" w:color="auto"/>
        <w:bottom w:val="none" w:sz="0" w:space="0" w:color="auto"/>
        <w:right w:val="none" w:sz="0" w:space="0" w:color="auto"/>
      </w:divBdr>
    </w:div>
    <w:div w:id="173338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ventbrite.co.uk/e/adult-protection-day-2022-financial-harm-and-angus-fast-tickets-5177042363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7F104.4AC3861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dc:creator>
  <cp:keywords/>
  <dc:description/>
  <cp:lastModifiedBy>Beverley M Murray</cp:lastModifiedBy>
  <cp:revision>8</cp:revision>
  <dcterms:created xsi:type="dcterms:W3CDTF">2023-01-13T16:29:00Z</dcterms:created>
  <dcterms:modified xsi:type="dcterms:W3CDTF">2023-01-20T11:47:00Z</dcterms:modified>
</cp:coreProperties>
</file>