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6E4F079F" w14:textId="051571ED" w:rsidR="00097592" w:rsidRPr="00B431D9" w:rsidRDefault="00853F88" w:rsidP="00853F88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431D9">
              <w:rPr>
                <w:rFonts w:ascii="Century Gothic" w:eastAsia="Times New Roman" w:hAnsi="Century Gothic"/>
                <w:noProof/>
                <w:color w:val="7030A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368C03D" wp14:editId="242902DE">
                  <wp:simplePos x="0" y="0"/>
                  <wp:positionH relativeFrom="column">
                    <wp:posOffset>5252720</wp:posOffset>
                  </wp:positionH>
                  <wp:positionV relativeFrom="paragraph">
                    <wp:posOffset>12065</wp:posOffset>
                  </wp:positionV>
                  <wp:extent cx="799465" cy="844550"/>
                  <wp:effectExtent l="0" t="0" r="635" b="0"/>
                  <wp:wrapTopAndBottom/>
                  <wp:docPr id="3" name="Picture 3" descr="C:\Users\Catriona McDougall\AppData\Local\Microsoft\Windows\INetCache\Content.Outlook\S05A9PVJ\People First Logo - with n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riona McDougall\AppData\Local\Microsoft\Windows\INetCache\Content.Outlook\S05A9PVJ\People First Logo - with na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F35CC" w:rsidRPr="00B431D9">
              <w:rPr>
                <w:rFonts w:ascii="Century Gothic" w:hAnsi="Century Gothic"/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121726E" wp14:editId="57E27381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 w:rsidRPr="00B431D9">
              <w:rPr>
                <w:rFonts w:ascii="Century Gothic" w:hAnsi="Century Gothic"/>
                <w:b/>
                <w:iCs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9F2" w:rsidRPr="00B431D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097592" w:rsidRPr="00B431D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ngus Violence Against Women (AVAWP)</w:t>
            </w:r>
            <w:r w:rsidR="005B2572" w:rsidRPr="00B431D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7592" w:rsidRPr="00B431D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6029F2" w:rsidRPr="00B431D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raining event</w:t>
            </w:r>
          </w:p>
          <w:p w14:paraId="45A042BB" w14:textId="77777777" w:rsidR="00680D18" w:rsidRPr="00B431D9" w:rsidRDefault="00680D18" w:rsidP="00680D18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431D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Thursday 24 March 10:30-12:00</w:t>
            </w:r>
          </w:p>
          <w:p w14:paraId="61C464C0" w14:textId="77777777" w:rsidR="00680D18" w:rsidRPr="00B431D9" w:rsidRDefault="00680D18" w:rsidP="00680D18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431D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Thursday 31 March 10:30-12:00</w:t>
            </w:r>
          </w:p>
          <w:p w14:paraId="5CF8171D" w14:textId="47346763" w:rsidR="006029F2" w:rsidRPr="00B431D9" w:rsidRDefault="006029F2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431D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via MS Teams</w:t>
            </w:r>
          </w:p>
          <w:p w14:paraId="406F0D04" w14:textId="77777777" w:rsidR="00C22D22" w:rsidRPr="00D2589A" w:rsidRDefault="00C22D22" w:rsidP="00C22D22">
            <w:pPr>
              <w:ind w:left="315"/>
              <w:rPr>
                <w:rFonts w:ascii="Century Gothic" w:hAnsi="Century Gothic"/>
                <w:b/>
                <w:bCs/>
                <w:color w:val="000000" w:themeColor="text1"/>
                <w:sz w:val="12"/>
                <w:szCs w:val="12"/>
              </w:rPr>
            </w:pPr>
          </w:p>
          <w:p w14:paraId="00304A52" w14:textId="7E4394F5" w:rsidR="00C22D22" w:rsidRPr="00D2589A" w:rsidRDefault="00C22D22" w:rsidP="00C22D2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2589A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The experience of gender based</w:t>
            </w:r>
          </w:p>
          <w:p w14:paraId="679520E7" w14:textId="65CEBCF8" w:rsidR="00FA03BF" w:rsidRPr="00D2589A" w:rsidRDefault="00C22D22" w:rsidP="00C22D2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2589A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violence for women with a learning disability</w:t>
            </w:r>
          </w:p>
          <w:p w14:paraId="1E002D48" w14:textId="3B183035" w:rsidR="00FA03BF" w:rsidRPr="007A347B" w:rsidRDefault="00FA03BF" w:rsidP="007A347B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A347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5DD3307" w:rsidR="003E6DD8" w:rsidRDefault="00FA03BF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522AFCB" wp14:editId="01FB5A6E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28575</wp:posOffset>
                  </wp:positionV>
                  <wp:extent cx="1752600" cy="8763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B7285B" w14:textId="67E84F42" w:rsidR="003E6DD8" w:rsidRPr="00424E2F" w:rsidRDefault="003E6DD8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49BA979" w14:textId="672CBD83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4F4495C" w14:textId="11F75AE6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8908FC" w14:textId="06E7D672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CA9A3F0" w14:textId="61BA685F" w:rsidR="003E6DD8" w:rsidRPr="00A709AB" w:rsidRDefault="003E6DD8" w:rsidP="003E6DD8">
            <w:pPr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  <w:p w14:paraId="2819ED35" w14:textId="2C0DC147" w:rsidR="00680D18" w:rsidRDefault="00680D18" w:rsidP="00680D18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680D1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People First (Scotland) works for the human rights of people who have the labels of Learning Disability or Intellectual Impairment. People First (Scotland) is a disabled people’s organisation (DPO) and is controlled by its members who all have a Learning Disability.</w:t>
            </w:r>
          </w:p>
          <w:p w14:paraId="766E33EE" w14:textId="061BC23B" w:rsidR="00680D18" w:rsidRDefault="00680D18" w:rsidP="00680D18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680D1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We give people with learning disabilities a voice. We meet in local groups and discuss issues that are important to us. We give each other advice</w:t>
            </w:r>
            <w:r w:rsidR="00C22D2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,</w:t>
            </w:r>
            <w:r w:rsidRPr="00680D18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support and campaign to improve the lives of people with learning disabilities.</w:t>
            </w:r>
          </w:p>
          <w:p w14:paraId="41C2AADC" w14:textId="77777777" w:rsidR="00680D18" w:rsidRPr="00D2589A" w:rsidRDefault="00680D18" w:rsidP="00680D18">
            <w:pPr>
              <w:rPr>
                <w:rFonts w:ascii="Century Gothic" w:eastAsia="Times New Roman" w:hAnsi="Century Gothic"/>
                <w:color w:val="000000" w:themeColor="text1"/>
                <w:sz w:val="12"/>
                <w:szCs w:val="12"/>
              </w:rPr>
            </w:pPr>
          </w:p>
          <w:p w14:paraId="6ADB9BA4" w14:textId="63EF4D21" w:rsidR="00FA03BF" w:rsidRPr="00B431D9" w:rsidRDefault="00FA03BF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B431D9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Trainer</w:t>
            </w:r>
          </w:p>
          <w:p w14:paraId="12E4243C" w14:textId="15DCED73" w:rsidR="000C194C" w:rsidRPr="00AF3269" w:rsidRDefault="00DC2008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People First</w:t>
            </w:r>
          </w:p>
          <w:p w14:paraId="4CB8E028" w14:textId="6B7C49D4" w:rsidR="000C194C" w:rsidRPr="00D2589A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12"/>
                <w:szCs w:val="12"/>
              </w:rPr>
            </w:pPr>
          </w:p>
          <w:p w14:paraId="278DCD25" w14:textId="61CA3547" w:rsidR="007A5F4D" w:rsidRPr="00B431D9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B431D9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</w:t>
            </w:r>
            <w:r w:rsidR="007A5F4D" w:rsidRPr="00B431D9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earning outcomes  </w:t>
            </w:r>
          </w:p>
          <w:p w14:paraId="4C72C131" w14:textId="77777777" w:rsidR="009E27BF" w:rsidRPr="00C22D22" w:rsidRDefault="00853F88" w:rsidP="00C22D22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C22D22">
              <w:rPr>
                <w:rFonts w:ascii="Century Gothic" w:hAnsi="Century Gothic"/>
                <w:color w:val="000000"/>
                <w:sz w:val="24"/>
                <w:szCs w:val="24"/>
              </w:rPr>
              <w:t>Greater understanding of what a learning disability is</w:t>
            </w:r>
          </w:p>
          <w:p w14:paraId="696A62CB" w14:textId="4E6BBB3C" w:rsidR="009E27BF" w:rsidRDefault="00853F88" w:rsidP="00C22D22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C22D22">
              <w:rPr>
                <w:rFonts w:ascii="Century Gothic" w:hAnsi="Century Gothic"/>
                <w:color w:val="000000"/>
                <w:sz w:val="24"/>
                <w:szCs w:val="24"/>
              </w:rPr>
              <w:t>Increased awareness of the lived experiences of adults with a learning disability</w:t>
            </w:r>
          </w:p>
          <w:p w14:paraId="15FAD5ED" w14:textId="2D13F7C0" w:rsidR="00C22D22" w:rsidRDefault="00C22D22" w:rsidP="00C22D22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Recognise and understand the factors that make women and girls with learning disabilities more at risk</w:t>
            </w:r>
          </w:p>
          <w:p w14:paraId="721448D4" w14:textId="36B31C2E" w:rsidR="005B2572" w:rsidRPr="00C22D22" w:rsidRDefault="005B2572" w:rsidP="00C22D22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How to support and work with women with learning disabilities who experience </w:t>
            </w:r>
            <w:proofErr w:type="gram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gender based</w:t>
            </w:r>
            <w:proofErr w:type="gram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violence</w:t>
            </w:r>
          </w:p>
          <w:p w14:paraId="7FB9ED74" w14:textId="77777777" w:rsidR="00DC2008" w:rsidRPr="00D2589A" w:rsidRDefault="00DC2008" w:rsidP="00DC2008">
            <w:pPr>
              <w:rPr>
                <w:rFonts w:ascii="Century Gothic" w:eastAsia="Times New Roman" w:hAnsi="Century Gothic"/>
                <w:color w:val="000000" w:themeColor="text1"/>
                <w:sz w:val="12"/>
                <w:szCs w:val="12"/>
              </w:rPr>
            </w:pPr>
          </w:p>
          <w:p w14:paraId="356E954C" w14:textId="099C743D" w:rsidR="00303612" w:rsidRPr="00B431D9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B431D9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522BFC0F" w14:textId="3CEB5220" w:rsidR="00FA03BF" w:rsidRPr="007A347B" w:rsidRDefault="00FA03BF" w:rsidP="007A347B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7A347B">
              <w:rPr>
                <w:rFonts w:ascii="Century Gothic" w:hAnsi="Century Gothic"/>
                <w:color w:val="000000"/>
                <w:sz w:val="24"/>
                <w:szCs w:val="24"/>
              </w:rPr>
              <w:t>This training will be for workers who want to have a</w:t>
            </w:r>
            <w:r w:rsidR="00DC2008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n </w:t>
            </w:r>
            <w:r w:rsidRPr="007A347B">
              <w:rPr>
                <w:rFonts w:ascii="Century Gothic" w:hAnsi="Century Gothic"/>
                <w:color w:val="000000"/>
                <w:sz w:val="24"/>
                <w:szCs w:val="24"/>
              </w:rPr>
              <w:t>informed approach to their work and who might be meeting and working with clients and service users who have experienced sexual violence</w:t>
            </w:r>
            <w:r w:rsidR="00DC2008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and also have a learning disability. </w:t>
            </w:r>
          </w:p>
          <w:p w14:paraId="52240992" w14:textId="4B9015D5" w:rsidR="00FA03BF" w:rsidRPr="00D2589A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12"/>
                <w:szCs w:val="12"/>
              </w:rPr>
            </w:pPr>
          </w:p>
          <w:p w14:paraId="5008363D" w14:textId="24C03112" w:rsidR="00A709AB" w:rsidRDefault="00A709AB" w:rsidP="00A709AB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Places can be booked </w:t>
            </w:r>
            <w:r w:rsidR="00D2589A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on Eventbrite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as follows: </w:t>
            </w:r>
          </w:p>
          <w:p w14:paraId="69CD2866" w14:textId="75B9CFF8" w:rsidR="00D2589A" w:rsidRDefault="00D2589A" w:rsidP="00A709AB">
            <w:pPr>
              <w:rPr>
                <w:rFonts w:ascii="Century Gothic" w:hAnsi="Century Gothic"/>
                <w:sz w:val="24"/>
                <w:szCs w:val="24"/>
              </w:rPr>
            </w:pPr>
            <w:r w:rsidRPr="00D2589A">
              <w:rPr>
                <w:rFonts w:ascii="Century Gothic" w:hAnsi="Century Gothic"/>
                <w:sz w:val="24"/>
                <w:szCs w:val="24"/>
              </w:rPr>
              <w:t xml:space="preserve">24/03/2022 – </w:t>
            </w:r>
            <w:hyperlink r:id="rId12" w:history="1">
              <w:r w:rsidRPr="00856CFA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https://www.eventbrite.co.uk/e/angus-violence-against-women-avawp-training-event-tickets-275600216667</w:t>
              </w:r>
            </w:hyperlink>
          </w:p>
          <w:p w14:paraId="5400B816" w14:textId="77777777" w:rsidR="00D2589A" w:rsidRPr="00B431D9" w:rsidRDefault="00D2589A" w:rsidP="00A709AB">
            <w:pPr>
              <w:rPr>
                <w:rFonts w:ascii="Century Gothic" w:hAnsi="Century Gothic"/>
                <w:sz w:val="12"/>
                <w:szCs w:val="12"/>
              </w:rPr>
            </w:pPr>
          </w:p>
          <w:p w14:paraId="2E97F451" w14:textId="649E7A96" w:rsidR="00D2589A" w:rsidRPr="00D2589A" w:rsidRDefault="00D2589A" w:rsidP="00B431D9">
            <w:r w:rsidRPr="00D2589A">
              <w:rPr>
                <w:rFonts w:ascii="Century Gothic" w:hAnsi="Century Gothic"/>
                <w:sz w:val="24"/>
                <w:szCs w:val="24"/>
              </w:rPr>
              <w:t>31/03/2022 -</w:t>
            </w:r>
            <w:r w:rsidRPr="00D2589A">
              <w:rPr>
                <w:sz w:val="24"/>
                <w:szCs w:val="24"/>
              </w:rPr>
              <w:t xml:space="preserve"> </w:t>
            </w:r>
            <w:r w:rsidR="0001231D" w:rsidRPr="00D2589A">
              <w:rPr>
                <w:sz w:val="24"/>
                <w:szCs w:val="24"/>
              </w:rPr>
              <w:t xml:space="preserve"> </w:t>
            </w:r>
            <w:hyperlink r:id="rId13" w:history="1">
              <w:r w:rsidRPr="00D2589A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https://www.eventbrite.co.uk/e/angus-violence-against-women-avawp-training-event-tickets-275603717137</w:t>
              </w:r>
            </w:hyperlink>
          </w:p>
        </w:tc>
      </w:tr>
    </w:tbl>
    <w:p w14:paraId="66CC6D9B" w14:textId="77777777" w:rsidR="009C0F9B" w:rsidRPr="009C0F9B" w:rsidRDefault="009C0F9B" w:rsidP="005B257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955422">
      <w:pgSz w:w="11906" w:h="16838"/>
      <w:pgMar w:top="851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DDB"/>
    <w:multiLevelType w:val="hybridMultilevel"/>
    <w:tmpl w:val="C95C778E"/>
    <w:lvl w:ilvl="0" w:tplc="E176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40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4C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05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45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4C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4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E6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1A"/>
    <w:rsid w:val="0001231D"/>
    <w:rsid w:val="00030F5C"/>
    <w:rsid w:val="00097592"/>
    <w:rsid w:val="000C194C"/>
    <w:rsid w:val="000C6E48"/>
    <w:rsid w:val="001D5554"/>
    <w:rsid w:val="0027711A"/>
    <w:rsid w:val="00300257"/>
    <w:rsid w:val="00303612"/>
    <w:rsid w:val="0033764B"/>
    <w:rsid w:val="003E6DD8"/>
    <w:rsid w:val="00424E2F"/>
    <w:rsid w:val="004F56FD"/>
    <w:rsid w:val="00507E70"/>
    <w:rsid w:val="00536439"/>
    <w:rsid w:val="005B2572"/>
    <w:rsid w:val="006029F2"/>
    <w:rsid w:val="00676155"/>
    <w:rsid w:val="00680D18"/>
    <w:rsid w:val="0073708E"/>
    <w:rsid w:val="007A347B"/>
    <w:rsid w:val="007A5F4D"/>
    <w:rsid w:val="007C27EC"/>
    <w:rsid w:val="00853F88"/>
    <w:rsid w:val="00892A9F"/>
    <w:rsid w:val="008D0283"/>
    <w:rsid w:val="00915AAC"/>
    <w:rsid w:val="0093052B"/>
    <w:rsid w:val="00955422"/>
    <w:rsid w:val="009C0F9B"/>
    <w:rsid w:val="009E27BF"/>
    <w:rsid w:val="00A709AB"/>
    <w:rsid w:val="00A756F1"/>
    <w:rsid w:val="00AC28ED"/>
    <w:rsid w:val="00AF3269"/>
    <w:rsid w:val="00B431D9"/>
    <w:rsid w:val="00BC42FE"/>
    <w:rsid w:val="00C22D22"/>
    <w:rsid w:val="00C30E91"/>
    <w:rsid w:val="00C41901"/>
    <w:rsid w:val="00C64526"/>
    <w:rsid w:val="00CB7E54"/>
    <w:rsid w:val="00CE0519"/>
    <w:rsid w:val="00D2589A"/>
    <w:rsid w:val="00DC2008"/>
    <w:rsid w:val="00DD2DF1"/>
    <w:rsid w:val="00DF35CC"/>
    <w:rsid w:val="00F71F6F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E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2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0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00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008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79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ventbrite.co.uk/e/angus-violence-against-women-avawp-training-event-tickets-2756037171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angus-violence-against-women-avawp-training-event-tickets-27560021666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65258BC989E469C01691EE94D586B" ma:contentTypeVersion="13" ma:contentTypeDescription="Create a new document." ma:contentTypeScope="" ma:versionID="e697bc70309ee571b02ae136f989902b">
  <xsd:schema xmlns:xsd="http://www.w3.org/2001/XMLSchema" xmlns:xs="http://www.w3.org/2001/XMLSchema" xmlns:p="http://schemas.microsoft.com/office/2006/metadata/properties" xmlns:ns3="90af850c-f093-428a-af9d-c90cb5649d1a" xmlns:ns4="21b8826b-83d0-4fea-89a6-a2242c82417d" targetNamespace="http://schemas.microsoft.com/office/2006/metadata/properties" ma:root="true" ma:fieldsID="82942b36ddb326efcff813701732e3b5" ns3:_="" ns4:_="">
    <xsd:import namespace="90af850c-f093-428a-af9d-c90cb5649d1a"/>
    <xsd:import namespace="21b8826b-83d0-4fea-89a6-a2242c8241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850c-f093-428a-af9d-c90cb5649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826b-83d0-4fea-89a6-a2242c824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70F75-9F25-481C-85A0-6658F65E0B77}">
  <ds:schemaRefs>
    <ds:schemaRef ds:uri="http://purl.org/dc/elements/1.1/"/>
    <ds:schemaRef ds:uri="http://purl.org/dc/terms/"/>
    <ds:schemaRef ds:uri="http://schemas.microsoft.com/office/2006/metadata/properties"/>
    <ds:schemaRef ds:uri="90af850c-f093-428a-af9d-c90cb5649d1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1b8826b-83d0-4fea-89a6-a2242c8241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2D97E-2D68-4440-AC14-FEF2AEBB9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59F1D-0848-4945-881D-A303E5323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850c-f093-428a-af9d-c90cb5649d1a"/>
    <ds:schemaRef ds:uri="21b8826b-83d0-4fea-89a6-a2242c824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Gillian McIlroy</cp:lastModifiedBy>
  <cp:revision>3</cp:revision>
  <dcterms:created xsi:type="dcterms:W3CDTF">2022-02-23T13:57:00Z</dcterms:created>
  <dcterms:modified xsi:type="dcterms:W3CDTF">2022-02-23T14:45:00Z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0x010100C8065258BC989E469C01691EE94D586B</vt:lpwstr>
  </property>
</Properties>
</file>