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38CA00" w14:textId="77777777" w:rsidR="00C25043" w:rsidRDefault="00C25043" w:rsidP="00C25043">
      <w:pPr>
        <w:pStyle w:val="xmsonormal"/>
        <w:shd w:val="clear" w:color="auto" w:fill="FFFFFF"/>
        <w:spacing w:before="0" w:beforeAutospacing="0" w:after="0" w:afterAutospacing="0"/>
        <w:rPr>
          <w:rFonts w:ascii="Calibri" w:hAnsi="Calibri" w:cs="Calibri"/>
          <w:color w:val="201F1E"/>
          <w:sz w:val="22"/>
          <w:szCs w:val="22"/>
        </w:rPr>
      </w:pPr>
      <w:r>
        <w:rPr>
          <w:rFonts w:ascii="Calibri" w:hAnsi="Calibri" w:cs="Calibri"/>
          <w:color w:val="201F1E"/>
          <w:sz w:val="22"/>
          <w:szCs w:val="22"/>
        </w:rPr>
        <w:t> </w:t>
      </w:r>
    </w:p>
    <w:p w14:paraId="5CAA516B" w14:textId="532C668C" w:rsidR="00C25043" w:rsidRDefault="00C25043" w:rsidP="00C25043">
      <w:pPr>
        <w:pStyle w:val="xmsonormal"/>
        <w:shd w:val="clear" w:color="auto" w:fill="FFFFFF"/>
        <w:spacing w:before="0" w:beforeAutospacing="0" w:after="0" w:afterAutospacing="0" w:line="231" w:lineRule="atLeast"/>
        <w:rPr>
          <w:rFonts w:ascii="Calibri" w:hAnsi="Calibri" w:cs="Calibri"/>
          <w:color w:val="201F1E"/>
          <w:sz w:val="22"/>
          <w:szCs w:val="22"/>
        </w:rPr>
      </w:pPr>
      <w:bookmarkStart w:id="0" w:name="x__Hlk23417893"/>
      <w:r>
        <w:rPr>
          <w:rFonts w:asciiTheme="minorHAnsi" w:eastAsiaTheme="minorHAnsi" w:hAnsiTheme="minorHAnsi" w:cstheme="minorBidi"/>
          <w:noProof/>
        </w:rPr>
        <w:drawing>
          <wp:inline distT="0" distB="0" distL="0" distR="0" wp14:anchorId="6F73DED7" wp14:editId="08F2517A">
            <wp:extent cx="5943600" cy="786765"/>
            <wp:effectExtent l="0" t="0" r="0" b="635"/>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786765"/>
                    </a:xfrm>
                    <a:prstGeom prst="rect">
                      <a:avLst/>
                    </a:prstGeom>
                    <a:noFill/>
                    <a:ln>
                      <a:noFill/>
                    </a:ln>
                  </pic:spPr>
                </pic:pic>
              </a:graphicData>
            </a:graphic>
          </wp:inline>
        </w:drawing>
      </w:r>
      <w:bookmarkEnd w:id="0"/>
    </w:p>
    <w:p w14:paraId="0D025389" w14:textId="77777777" w:rsidR="00C25043" w:rsidRDefault="00C25043" w:rsidP="00C25043">
      <w:pPr>
        <w:pStyle w:val="xmsonormal"/>
        <w:shd w:val="clear" w:color="auto" w:fill="FFFFFF"/>
        <w:spacing w:before="0" w:beforeAutospacing="0" w:after="0" w:afterAutospacing="0" w:line="231" w:lineRule="atLeast"/>
        <w:rPr>
          <w:rFonts w:ascii="Calibri" w:hAnsi="Calibri" w:cs="Calibri"/>
          <w:color w:val="201F1E"/>
          <w:sz w:val="22"/>
          <w:szCs w:val="22"/>
        </w:rPr>
      </w:pPr>
      <w:r>
        <w:rPr>
          <w:rFonts w:ascii="Arial" w:hAnsi="Arial" w:cs="Arial"/>
          <w:b/>
          <w:bCs/>
          <w:color w:val="201F1E"/>
          <w:sz w:val="22"/>
          <w:szCs w:val="22"/>
          <w:bdr w:val="none" w:sz="0" w:space="0" w:color="auto" w:frame="1"/>
        </w:rPr>
        <w:t> </w:t>
      </w:r>
    </w:p>
    <w:p w14:paraId="2D4B6432" w14:textId="77777777" w:rsidR="00C25043" w:rsidRDefault="00C25043" w:rsidP="00C25043">
      <w:pPr>
        <w:pStyle w:val="xmsonormal"/>
        <w:shd w:val="clear" w:color="auto" w:fill="FFFFFF"/>
        <w:spacing w:before="0" w:beforeAutospacing="0" w:after="0" w:afterAutospacing="0" w:line="231" w:lineRule="atLeast"/>
        <w:rPr>
          <w:rFonts w:ascii="Calibri" w:hAnsi="Calibri" w:cs="Calibri"/>
          <w:color w:val="201F1E"/>
          <w:sz w:val="22"/>
          <w:szCs w:val="22"/>
        </w:rPr>
      </w:pPr>
      <w:r>
        <w:rPr>
          <w:rFonts w:ascii="Arial" w:hAnsi="Arial" w:cs="Arial"/>
          <w:b/>
          <w:bCs/>
          <w:color w:val="201F1E"/>
          <w:bdr w:val="none" w:sz="0" w:space="0" w:color="auto" w:frame="1"/>
        </w:rPr>
        <w:t>Key Points:</w:t>
      </w:r>
    </w:p>
    <w:p w14:paraId="404F9932" w14:textId="051AF2AD" w:rsidR="00C25043" w:rsidRDefault="00C25043" w:rsidP="00C25043">
      <w:pPr>
        <w:pStyle w:val="xmsonormal"/>
        <w:shd w:val="clear" w:color="auto" w:fill="FFFFFF"/>
        <w:spacing w:before="0" w:beforeAutospacing="0" w:after="0" w:afterAutospacing="0" w:line="231" w:lineRule="atLeast"/>
        <w:rPr>
          <w:rFonts w:ascii="Arial" w:hAnsi="Arial" w:cs="Arial"/>
          <w:color w:val="201F1E"/>
          <w:sz w:val="22"/>
          <w:szCs w:val="22"/>
          <w:bdr w:val="none" w:sz="0" w:space="0" w:color="auto" w:frame="1"/>
        </w:rPr>
      </w:pPr>
      <w:r>
        <w:rPr>
          <w:rFonts w:ascii="Arial" w:hAnsi="Arial" w:cs="Arial"/>
          <w:color w:val="201F1E"/>
          <w:sz w:val="22"/>
          <w:szCs w:val="22"/>
          <w:bdr w:val="none" w:sz="0" w:space="0" w:color="auto" w:frame="1"/>
        </w:rPr>
        <w:t>For many Americans, 2020 was a tough year financially. As they sit down to prepare their tax returns many will find themselves eligible for tax credits; credits they haven’t been eligible for in past years. Following is information and resources on several tax credits they may now be eligible for.</w:t>
      </w:r>
    </w:p>
    <w:p w14:paraId="75DC7F88" w14:textId="77777777" w:rsidR="00C25043" w:rsidRDefault="00C25043" w:rsidP="00C25043">
      <w:pPr>
        <w:pStyle w:val="xmsonormal"/>
        <w:shd w:val="clear" w:color="auto" w:fill="FFFFFF"/>
        <w:spacing w:before="0" w:beforeAutospacing="0" w:after="0" w:afterAutospacing="0" w:line="231" w:lineRule="atLeast"/>
        <w:rPr>
          <w:rFonts w:ascii="Calibri" w:hAnsi="Calibri" w:cs="Calibri"/>
          <w:color w:val="201F1E"/>
          <w:sz w:val="22"/>
          <w:szCs w:val="22"/>
        </w:rPr>
      </w:pPr>
    </w:p>
    <w:p w14:paraId="48B4F47F" w14:textId="77777777" w:rsidR="00C25043" w:rsidRDefault="00C25043" w:rsidP="00C25043">
      <w:pPr>
        <w:pStyle w:val="xmsonormal"/>
        <w:shd w:val="clear" w:color="auto" w:fill="FFFFFF"/>
        <w:spacing w:before="0" w:beforeAutospacing="0" w:after="0" w:afterAutospacing="0" w:line="231" w:lineRule="atLeast"/>
        <w:rPr>
          <w:rFonts w:ascii="Calibri" w:hAnsi="Calibri" w:cs="Calibri"/>
          <w:color w:val="201F1E"/>
          <w:sz w:val="22"/>
          <w:szCs w:val="22"/>
        </w:rPr>
      </w:pPr>
      <w:hyperlink r:id="rId6" w:tgtFrame="_blank" w:history="1">
        <w:r>
          <w:rPr>
            <w:rStyle w:val="Hyperlink"/>
            <w:rFonts w:ascii="Arial" w:hAnsi="Arial" w:cs="Arial"/>
            <w:b/>
            <w:bCs/>
            <w:color w:val="0563C1"/>
            <w:bdr w:val="none" w:sz="0" w:space="0" w:color="auto" w:frame="1"/>
          </w:rPr>
          <w:t>Recovery Rebate Credit</w:t>
        </w:r>
      </w:hyperlink>
    </w:p>
    <w:p w14:paraId="6114841A" w14:textId="77777777" w:rsidR="00C25043" w:rsidRDefault="00C25043" w:rsidP="00C25043">
      <w:pPr>
        <w:pStyle w:val="xmsonormal"/>
        <w:shd w:val="clear" w:color="auto" w:fill="FFFFFF"/>
        <w:spacing w:before="0" w:beforeAutospacing="0" w:after="0" w:afterAutospacing="0" w:line="231" w:lineRule="atLeast"/>
        <w:rPr>
          <w:rFonts w:ascii="Calibri" w:hAnsi="Calibri" w:cs="Calibri"/>
          <w:color w:val="201F1E"/>
          <w:sz w:val="22"/>
          <w:szCs w:val="22"/>
        </w:rPr>
      </w:pPr>
      <w:r>
        <w:rPr>
          <w:rFonts w:ascii="Arial" w:hAnsi="Arial" w:cs="Arial"/>
          <w:color w:val="201F1E"/>
          <w:sz w:val="22"/>
          <w:szCs w:val="22"/>
          <w:bdr w:val="none" w:sz="0" w:space="0" w:color="auto" w:frame="1"/>
          <w:lang w:val="en"/>
        </w:rPr>
        <w:t>Any eligible individual who did not receive the full amount of the recovery rebate as an advance payment, also known as an Economic Impact Payment, can claim the Recovery Rebate Credit on a 2020 Form 1040 or Form 1040-SR.</w:t>
      </w:r>
    </w:p>
    <w:p w14:paraId="6B1CBCB9" w14:textId="77777777" w:rsidR="00C25043" w:rsidRDefault="00C25043" w:rsidP="00C25043">
      <w:pPr>
        <w:pStyle w:val="xmsonormal"/>
        <w:shd w:val="clear" w:color="auto" w:fill="FFFFFF"/>
        <w:spacing w:before="0" w:beforeAutospacing="0" w:after="0" w:afterAutospacing="0" w:line="231" w:lineRule="atLeast"/>
        <w:rPr>
          <w:rFonts w:ascii="Calibri" w:hAnsi="Calibri" w:cs="Calibri"/>
          <w:color w:val="201F1E"/>
          <w:sz w:val="22"/>
          <w:szCs w:val="22"/>
        </w:rPr>
      </w:pPr>
      <w:r>
        <w:rPr>
          <w:rFonts w:ascii="Arial" w:hAnsi="Arial" w:cs="Arial"/>
          <w:color w:val="201F1E"/>
          <w:sz w:val="22"/>
          <w:szCs w:val="22"/>
          <w:bdr w:val="none" w:sz="0" w:space="0" w:color="auto" w:frame="1"/>
          <w:lang w:val="en"/>
        </w:rPr>
        <w:t>The instructions for the 2020 Forms 1040 and 1040-SR include instruction for Line 30, Recovery Rebate Credit, and a worksheet for calculating the amount of the credit. Even those who use commercial software to prepare their returns will benefit from reviewing the instructions and worksheet to ensure they enter their information correctly. For more information see:</w:t>
      </w:r>
    </w:p>
    <w:p w14:paraId="4880F8E5" w14:textId="77777777" w:rsidR="00C25043" w:rsidRDefault="00C25043" w:rsidP="00C25043">
      <w:pPr>
        <w:pStyle w:val="xmsonormal"/>
        <w:numPr>
          <w:ilvl w:val="0"/>
          <w:numId w:val="1"/>
        </w:numPr>
        <w:shd w:val="clear" w:color="auto" w:fill="FFFFFF"/>
        <w:spacing w:before="0" w:beforeAutospacing="0" w:after="0" w:afterAutospacing="0" w:line="231" w:lineRule="atLeast"/>
        <w:rPr>
          <w:rFonts w:ascii="Calibri" w:hAnsi="Calibri" w:cs="Calibri"/>
          <w:color w:val="201F1E"/>
          <w:sz w:val="22"/>
          <w:szCs w:val="22"/>
        </w:rPr>
      </w:pPr>
      <w:hyperlink r:id="rId7" w:tgtFrame="_blank" w:history="1">
        <w:r>
          <w:rPr>
            <w:rStyle w:val="Hyperlink"/>
            <w:rFonts w:ascii="Arial" w:hAnsi="Arial" w:cs="Arial"/>
            <w:color w:val="0563C1"/>
            <w:sz w:val="22"/>
            <w:szCs w:val="22"/>
            <w:bdr w:val="none" w:sz="0" w:space="0" w:color="auto" w:frame="1"/>
          </w:rPr>
          <w:t>2020 Instructions PDF</w:t>
        </w:r>
      </w:hyperlink>
    </w:p>
    <w:p w14:paraId="16D9546B" w14:textId="27157673" w:rsidR="00C25043" w:rsidRDefault="00C25043" w:rsidP="00C25043">
      <w:pPr>
        <w:pStyle w:val="xmsonormal"/>
        <w:numPr>
          <w:ilvl w:val="0"/>
          <w:numId w:val="1"/>
        </w:numPr>
        <w:shd w:val="clear" w:color="auto" w:fill="FFFFFF"/>
        <w:spacing w:before="0" w:beforeAutospacing="0" w:after="0" w:afterAutospacing="0" w:line="231" w:lineRule="atLeast"/>
        <w:rPr>
          <w:rFonts w:ascii="Calibri" w:hAnsi="Calibri" w:cs="Calibri"/>
          <w:color w:val="201F1E"/>
          <w:sz w:val="22"/>
          <w:szCs w:val="22"/>
        </w:rPr>
      </w:pPr>
      <w:hyperlink r:id="rId8" w:tgtFrame="_blank" w:history="1">
        <w:r>
          <w:rPr>
            <w:rStyle w:val="Hyperlink"/>
            <w:rFonts w:ascii="Arial" w:hAnsi="Arial" w:cs="Arial"/>
            <w:color w:val="0563C1"/>
            <w:sz w:val="22"/>
            <w:szCs w:val="22"/>
            <w:bdr w:val="none" w:sz="0" w:space="0" w:color="auto" w:frame="1"/>
          </w:rPr>
          <w:t>2020 Instructions browser-friendly</w:t>
        </w:r>
      </w:hyperlink>
    </w:p>
    <w:p w14:paraId="7D6DDEEF" w14:textId="77777777" w:rsidR="00C25043" w:rsidRDefault="00C25043" w:rsidP="00C25043">
      <w:pPr>
        <w:pStyle w:val="xmsonormal"/>
        <w:shd w:val="clear" w:color="auto" w:fill="FFFFFF"/>
        <w:spacing w:before="0" w:beforeAutospacing="0" w:after="0" w:afterAutospacing="0" w:line="231" w:lineRule="atLeast"/>
        <w:rPr>
          <w:rFonts w:ascii="Calibri" w:hAnsi="Calibri" w:cs="Calibri"/>
          <w:color w:val="201F1E"/>
          <w:sz w:val="22"/>
          <w:szCs w:val="22"/>
        </w:rPr>
      </w:pPr>
    </w:p>
    <w:p w14:paraId="2A883D93" w14:textId="77777777" w:rsidR="00C25043" w:rsidRDefault="00C25043" w:rsidP="00C25043">
      <w:pPr>
        <w:pStyle w:val="xmsonormal"/>
        <w:shd w:val="clear" w:color="auto" w:fill="FFFFFF"/>
        <w:spacing w:before="0" w:beforeAutospacing="0" w:after="0" w:afterAutospacing="0" w:line="231" w:lineRule="atLeast"/>
        <w:rPr>
          <w:rFonts w:ascii="Calibri" w:hAnsi="Calibri" w:cs="Calibri"/>
          <w:color w:val="201F1E"/>
          <w:sz w:val="22"/>
          <w:szCs w:val="22"/>
        </w:rPr>
      </w:pPr>
      <w:hyperlink r:id="rId9" w:tgtFrame="_blank" w:history="1">
        <w:r>
          <w:rPr>
            <w:rStyle w:val="Hyperlink"/>
            <w:rFonts w:ascii="Arial" w:hAnsi="Arial" w:cs="Arial"/>
            <w:b/>
            <w:bCs/>
            <w:color w:val="0563C1"/>
            <w:bdr w:val="none" w:sz="0" w:space="0" w:color="auto" w:frame="1"/>
            <w:lang w:val="en"/>
          </w:rPr>
          <w:t>Earned Income Tax Credit</w:t>
        </w:r>
      </w:hyperlink>
    </w:p>
    <w:p w14:paraId="47AF0CCA" w14:textId="77777777" w:rsidR="00C25043" w:rsidRDefault="00C25043" w:rsidP="00C25043">
      <w:pPr>
        <w:pStyle w:val="xmsonormal"/>
        <w:shd w:val="clear" w:color="auto" w:fill="FFFFFF"/>
        <w:spacing w:before="0" w:beforeAutospacing="0" w:after="0" w:afterAutospacing="0" w:line="231" w:lineRule="atLeast"/>
        <w:rPr>
          <w:rFonts w:ascii="Calibri" w:hAnsi="Calibri" w:cs="Calibri"/>
          <w:color w:val="201F1E"/>
          <w:sz w:val="22"/>
          <w:szCs w:val="22"/>
        </w:rPr>
      </w:pPr>
      <w:r>
        <w:rPr>
          <w:rFonts w:ascii="Arial" w:hAnsi="Arial" w:cs="Arial"/>
          <w:color w:val="201F1E"/>
          <w:sz w:val="22"/>
          <w:szCs w:val="22"/>
          <w:bdr w:val="none" w:sz="0" w:space="0" w:color="auto" w:frame="1"/>
          <w:lang w:val="en"/>
        </w:rPr>
        <w:t>The Earned Income Tax Credit (EITC) helps low- to moderate-income workers and families get a tax break. If they qualify, taxpayers can use the credit to reduce the taxes they owe – and maybe increase their refund. For more information see:</w:t>
      </w:r>
    </w:p>
    <w:p w14:paraId="218A79CD" w14:textId="77777777" w:rsidR="00C25043" w:rsidRDefault="00C25043" w:rsidP="00C25043">
      <w:pPr>
        <w:pStyle w:val="xmsonormal"/>
        <w:numPr>
          <w:ilvl w:val="0"/>
          <w:numId w:val="2"/>
        </w:numPr>
        <w:shd w:val="clear" w:color="auto" w:fill="FFFFFF"/>
        <w:spacing w:before="0" w:beforeAutospacing="0" w:after="0" w:afterAutospacing="0" w:line="231" w:lineRule="atLeast"/>
        <w:rPr>
          <w:rFonts w:ascii="Calibri" w:hAnsi="Calibri" w:cs="Calibri"/>
          <w:color w:val="201F1E"/>
          <w:sz w:val="22"/>
          <w:szCs w:val="22"/>
        </w:rPr>
      </w:pPr>
      <w:hyperlink r:id="rId10" w:tgtFrame="_blank" w:history="1">
        <w:r>
          <w:rPr>
            <w:rStyle w:val="Hyperlink"/>
            <w:rFonts w:ascii="Arial" w:hAnsi="Arial" w:cs="Arial"/>
            <w:color w:val="0563C1"/>
            <w:sz w:val="22"/>
            <w:szCs w:val="22"/>
            <w:bdr w:val="none" w:sz="0" w:space="0" w:color="auto" w:frame="1"/>
            <w:lang w:val="en"/>
          </w:rPr>
          <w:t>Who Qualifies</w:t>
        </w:r>
      </w:hyperlink>
      <w:r>
        <w:rPr>
          <w:rFonts w:ascii="Arial" w:hAnsi="Arial" w:cs="Arial"/>
          <w:color w:val="201F1E"/>
          <w:sz w:val="22"/>
          <w:szCs w:val="22"/>
          <w:bdr w:val="none" w:sz="0" w:space="0" w:color="auto" w:frame="1"/>
        </w:rPr>
        <w:t> – </w:t>
      </w:r>
      <w:r>
        <w:rPr>
          <w:rFonts w:ascii="Arial" w:hAnsi="Arial" w:cs="Arial"/>
          <w:color w:val="201F1E"/>
          <w:sz w:val="22"/>
          <w:szCs w:val="22"/>
          <w:bdr w:val="none" w:sz="0" w:space="0" w:color="auto" w:frame="1"/>
          <w:lang w:val="en"/>
        </w:rPr>
        <w:t xml:space="preserve">Find out if you qualify for the Earned Income Tax </w:t>
      </w:r>
      <w:proofErr w:type="gramStart"/>
      <w:r>
        <w:rPr>
          <w:rFonts w:ascii="Arial" w:hAnsi="Arial" w:cs="Arial"/>
          <w:color w:val="201F1E"/>
          <w:sz w:val="22"/>
          <w:szCs w:val="22"/>
          <w:bdr w:val="none" w:sz="0" w:space="0" w:color="auto" w:frame="1"/>
          <w:lang w:val="en"/>
        </w:rPr>
        <w:t>Credit.</w:t>
      </w:r>
      <w:proofErr w:type="gramEnd"/>
    </w:p>
    <w:p w14:paraId="586F6DD6" w14:textId="77777777" w:rsidR="00C25043" w:rsidRDefault="00C25043" w:rsidP="00C25043">
      <w:pPr>
        <w:pStyle w:val="xmsonormal"/>
        <w:numPr>
          <w:ilvl w:val="0"/>
          <w:numId w:val="2"/>
        </w:numPr>
        <w:shd w:val="clear" w:color="auto" w:fill="FFFFFF"/>
        <w:spacing w:before="0" w:beforeAutospacing="0" w:after="0" w:afterAutospacing="0" w:line="231" w:lineRule="atLeast"/>
        <w:rPr>
          <w:rFonts w:ascii="Calibri" w:hAnsi="Calibri" w:cs="Calibri"/>
          <w:color w:val="201F1E"/>
          <w:sz w:val="22"/>
          <w:szCs w:val="22"/>
        </w:rPr>
      </w:pPr>
      <w:hyperlink r:id="rId11" w:tgtFrame="_blank" w:tooltip="Earned Income Tax Credit" w:history="1">
        <w:r>
          <w:rPr>
            <w:rStyle w:val="Hyperlink"/>
            <w:rFonts w:ascii="Arial" w:hAnsi="Arial" w:cs="Arial"/>
            <w:color w:val="0563C1"/>
            <w:sz w:val="22"/>
            <w:szCs w:val="22"/>
            <w:bdr w:val="none" w:sz="0" w:space="0" w:color="auto" w:frame="1"/>
            <w:lang w:val="en"/>
          </w:rPr>
          <w:t>Earned Income Tax Credit Assistant</w:t>
        </w:r>
      </w:hyperlink>
      <w:r>
        <w:rPr>
          <w:rFonts w:ascii="Arial" w:hAnsi="Arial" w:cs="Arial"/>
          <w:color w:val="201F1E"/>
          <w:sz w:val="22"/>
          <w:szCs w:val="22"/>
          <w:bdr w:val="none" w:sz="0" w:space="0" w:color="auto" w:frame="1"/>
          <w:lang w:val="en"/>
        </w:rPr>
        <w:t> - Find out if you’re eligible and estimate the amount of your Earned Income Tax Credit.</w:t>
      </w:r>
    </w:p>
    <w:p w14:paraId="45D585B5" w14:textId="77777777" w:rsidR="00C25043" w:rsidRDefault="00C25043" w:rsidP="00C25043">
      <w:pPr>
        <w:pStyle w:val="xmsonormal"/>
        <w:numPr>
          <w:ilvl w:val="0"/>
          <w:numId w:val="2"/>
        </w:numPr>
        <w:shd w:val="clear" w:color="auto" w:fill="FFFFFF"/>
        <w:spacing w:before="0" w:beforeAutospacing="0" w:after="0" w:afterAutospacing="0" w:line="231" w:lineRule="atLeast"/>
        <w:rPr>
          <w:rFonts w:ascii="Calibri" w:hAnsi="Calibri" w:cs="Calibri"/>
          <w:color w:val="201F1E"/>
          <w:sz w:val="22"/>
          <w:szCs w:val="22"/>
        </w:rPr>
      </w:pPr>
      <w:hyperlink r:id="rId12" w:tgtFrame="_blank" w:history="1">
        <w:r>
          <w:rPr>
            <w:rStyle w:val="Hyperlink"/>
            <w:rFonts w:ascii="Arial" w:hAnsi="Arial" w:cs="Arial"/>
            <w:color w:val="0563C1"/>
            <w:sz w:val="22"/>
            <w:szCs w:val="22"/>
            <w:bdr w:val="none" w:sz="0" w:space="0" w:color="auto" w:frame="1"/>
            <w:lang w:val="en"/>
          </w:rPr>
          <w:t>How to Claim</w:t>
        </w:r>
      </w:hyperlink>
      <w:r>
        <w:rPr>
          <w:rFonts w:ascii="Arial" w:hAnsi="Arial" w:cs="Arial"/>
          <w:color w:val="201F1E"/>
          <w:sz w:val="22"/>
          <w:szCs w:val="22"/>
          <w:bdr w:val="none" w:sz="0" w:space="0" w:color="auto" w:frame="1"/>
          <w:lang w:val="en"/>
        </w:rPr>
        <w:t> – Get instructions on how to claim the Earned Income Tax Credit.</w:t>
      </w:r>
    </w:p>
    <w:p w14:paraId="2B7737DD" w14:textId="7B0E69C3" w:rsidR="00C25043" w:rsidRPr="00C25043" w:rsidRDefault="00C25043" w:rsidP="00C25043">
      <w:pPr>
        <w:pStyle w:val="xmsonormal"/>
        <w:numPr>
          <w:ilvl w:val="0"/>
          <w:numId w:val="2"/>
        </w:numPr>
        <w:shd w:val="clear" w:color="auto" w:fill="FFFFFF"/>
        <w:spacing w:before="0" w:beforeAutospacing="0" w:after="0" w:afterAutospacing="0" w:line="231" w:lineRule="atLeast"/>
        <w:rPr>
          <w:rFonts w:ascii="Calibri" w:hAnsi="Calibri" w:cs="Calibri"/>
          <w:color w:val="201F1E"/>
          <w:sz w:val="22"/>
          <w:szCs w:val="22"/>
        </w:rPr>
      </w:pPr>
      <w:hyperlink r:id="rId13" w:tgtFrame="_blank" w:history="1">
        <w:r>
          <w:rPr>
            <w:rStyle w:val="Hyperlink"/>
            <w:rFonts w:ascii="Arial" w:hAnsi="Arial" w:cs="Arial"/>
            <w:color w:val="0563C1"/>
            <w:sz w:val="22"/>
            <w:szCs w:val="22"/>
            <w:bdr w:val="none" w:sz="0" w:space="0" w:color="auto" w:frame="1"/>
            <w:lang w:val="en"/>
          </w:rPr>
          <w:t>Earned Income and Credit Table</w:t>
        </w:r>
      </w:hyperlink>
      <w:r>
        <w:rPr>
          <w:rFonts w:ascii="Arial" w:hAnsi="Arial" w:cs="Arial"/>
          <w:color w:val="201F1E"/>
          <w:sz w:val="22"/>
          <w:szCs w:val="22"/>
          <w:bdr w:val="none" w:sz="0" w:space="0" w:color="auto" w:frame="1"/>
          <w:lang w:val="en"/>
        </w:rPr>
        <w:t> – Learn about the EITC limits and maximum credit amounts.</w:t>
      </w:r>
    </w:p>
    <w:p w14:paraId="72FC5041" w14:textId="77777777" w:rsidR="00C25043" w:rsidRDefault="00C25043" w:rsidP="00C25043">
      <w:pPr>
        <w:pStyle w:val="xmsonormal"/>
        <w:shd w:val="clear" w:color="auto" w:fill="FFFFFF"/>
        <w:spacing w:before="0" w:beforeAutospacing="0" w:after="0" w:afterAutospacing="0" w:line="231" w:lineRule="atLeast"/>
        <w:rPr>
          <w:rFonts w:ascii="Calibri" w:hAnsi="Calibri" w:cs="Calibri"/>
          <w:color w:val="201F1E"/>
          <w:sz w:val="22"/>
          <w:szCs w:val="22"/>
        </w:rPr>
      </w:pPr>
    </w:p>
    <w:p w14:paraId="17A6DB3A" w14:textId="77777777" w:rsidR="00C25043" w:rsidRDefault="00C25043" w:rsidP="00C25043">
      <w:pPr>
        <w:pStyle w:val="xmsonormal"/>
        <w:shd w:val="clear" w:color="auto" w:fill="FFFFFF"/>
        <w:spacing w:before="0" w:beforeAutospacing="0" w:after="0" w:afterAutospacing="0" w:line="231" w:lineRule="atLeast"/>
        <w:rPr>
          <w:rFonts w:ascii="Calibri" w:hAnsi="Calibri" w:cs="Calibri"/>
          <w:color w:val="201F1E"/>
          <w:sz w:val="22"/>
          <w:szCs w:val="22"/>
        </w:rPr>
      </w:pPr>
      <w:hyperlink r:id="rId14" w:tgtFrame="_blank" w:history="1">
        <w:r>
          <w:rPr>
            <w:rStyle w:val="Hyperlink"/>
            <w:rFonts w:ascii="Arial" w:hAnsi="Arial" w:cs="Arial"/>
            <w:b/>
            <w:bCs/>
            <w:color w:val="0563C1"/>
            <w:bdr w:val="none" w:sz="0" w:space="0" w:color="auto" w:frame="1"/>
            <w:lang w:val="en"/>
          </w:rPr>
          <w:t>Child Tax Credit and Credit for Other Dependents</w:t>
        </w:r>
      </w:hyperlink>
    </w:p>
    <w:p w14:paraId="7734ED8C" w14:textId="77777777" w:rsidR="00C25043" w:rsidRDefault="00C25043" w:rsidP="00C25043">
      <w:pPr>
        <w:pStyle w:val="xmsonormal"/>
        <w:shd w:val="clear" w:color="auto" w:fill="FFFFFF"/>
        <w:spacing w:before="0" w:beforeAutospacing="0" w:after="0" w:afterAutospacing="0" w:line="231" w:lineRule="atLeast"/>
        <w:rPr>
          <w:rFonts w:ascii="Calibri" w:hAnsi="Calibri" w:cs="Calibri"/>
          <w:color w:val="201F1E"/>
          <w:sz w:val="22"/>
          <w:szCs w:val="22"/>
        </w:rPr>
      </w:pPr>
      <w:r>
        <w:rPr>
          <w:rFonts w:ascii="Arial" w:hAnsi="Arial" w:cs="Arial"/>
          <w:color w:val="201F1E"/>
          <w:sz w:val="22"/>
          <w:szCs w:val="22"/>
          <w:bdr w:val="none" w:sz="0" w:space="0" w:color="auto" w:frame="1"/>
          <w:lang w:val="en"/>
        </w:rPr>
        <w:t>The Child Tax Credit is a refundable tax credit worth up to $2,000 per qualifying child and $500 per qualifying dependent. For more information see:</w:t>
      </w:r>
    </w:p>
    <w:p w14:paraId="448A1DE1" w14:textId="77777777" w:rsidR="00C25043" w:rsidRDefault="00C25043" w:rsidP="00C25043">
      <w:pPr>
        <w:pStyle w:val="xmsonormal"/>
        <w:numPr>
          <w:ilvl w:val="0"/>
          <w:numId w:val="3"/>
        </w:numPr>
        <w:shd w:val="clear" w:color="auto" w:fill="FFFFFF"/>
        <w:spacing w:before="0" w:beforeAutospacing="0" w:after="0" w:afterAutospacing="0" w:line="231" w:lineRule="atLeast"/>
        <w:rPr>
          <w:rFonts w:ascii="Calibri" w:hAnsi="Calibri" w:cs="Calibri"/>
          <w:color w:val="201F1E"/>
          <w:sz w:val="22"/>
          <w:szCs w:val="22"/>
        </w:rPr>
      </w:pPr>
      <w:hyperlink r:id="rId15" w:tgtFrame="_blank" w:history="1">
        <w:r>
          <w:rPr>
            <w:rStyle w:val="Hyperlink"/>
            <w:rFonts w:ascii="Arial" w:hAnsi="Arial" w:cs="Arial"/>
            <w:color w:val="0563C1"/>
            <w:sz w:val="22"/>
            <w:szCs w:val="22"/>
            <w:bdr w:val="none" w:sz="0" w:space="0" w:color="auto" w:frame="1"/>
            <w:lang w:val="en"/>
          </w:rPr>
          <w:t>Publication 972, Child Tax Credit</w:t>
        </w:r>
      </w:hyperlink>
      <w:r>
        <w:rPr>
          <w:rFonts w:ascii="Arial" w:hAnsi="Arial" w:cs="Arial"/>
          <w:color w:val="201F1E"/>
          <w:sz w:val="22"/>
          <w:szCs w:val="22"/>
          <w:bdr w:val="none" w:sz="0" w:space="0" w:color="auto" w:frame="1"/>
          <w:lang w:val="en"/>
        </w:rPr>
        <w:t> (Also covers Credit for Other Dependents and Additional Child Tax Credit)</w:t>
      </w:r>
    </w:p>
    <w:p w14:paraId="01A90AB2" w14:textId="77777777" w:rsidR="00C25043" w:rsidRDefault="00C25043" w:rsidP="00C25043">
      <w:pPr>
        <w:pStyle w:val="xmsonormal"/>
        <w:numPr>
          <w:ilvl w:val="0"/>
          <w:numId w:val="3"/>
        </w:numPr>
        <w:shd w:val="clear" w:color="auto" w:fill="FFFFFF"/>
        <w:spacing w:before="0" w:beforeAutospacing="0" w:after="0" w:afterAutospacing="0" w:line="231" w:lineRule="atLeast"/>
        <w:rPr>
          <w:rFonts w:ascii="Calibri" w:hAnsi="Calibri" w:cs="Calibri"/>
          <w:color w:val="201F1E"/>
          <w:sz w:val="22"/>
          <w:szCs w:val="22"/>
        </w:rPr>
      </w:pPr>
      <w:hyperlink r:id="rId16" w:tgtFrame="_blank" w:history="1">
        <w:r>
          <w:rPr>
            <w:rStyle w:val="Hyperlink"/>
            <w:rFonts w:ascii="Arial" w:hAnsi="Arial" w:cs="Arial"/>
            <w:color w:val="0563C1"/>
            <w:sz w:val="22"/>
            <w:szCs w:val="22"/>
            <w:bdr w:val="none" w:sz="0" w:space="0" w:color="auto" w:frame="1"/>
            <w:lang w:val="en"/>
          </w:rPr>
          <w:t>Individual Tax Assistant</w:t>
        </w:r>
      </w:hyperlink>
      <w:r>
        <w:rPr>
          <w:rFonts w:ascii="Arial" w:hAnsi="Arial" w:cs="Arial"/>
          <w:color w:val="201F1E"/>
          <w:sz w:val="22"/>
          <w:szCs w:val="22"/>
          <w:bdr w:val="none" w:sz="0" w:space="0" w:color="auto" w:frame="1"/>
          <w:lang w:val="en"/>
        </w:rPr>
        <w:t> – Interviews to answer basic tax questions including whether someone qualifies for the Child Tax Credit or the Credit for Other Dependents, see specifically:</w:t>
      </w:r>
    </w:p>
    <w:p w14:paraId="4D0C0CDB" w14:textId="77777777" w:rsidR="00C25043" w:rsidRDefault="00C25043" w:rsidP="00C25043">
      <w:pPr>
        <w:pStyle w:val="xmsonormal"/>
        <w:numPr>
          <w:ilvl w:val="0"/>
          <w:numId w:val="4"/>
        </w:numPr>
        <w:shd w:val="clear" w:color="auto" w:fill="FFFFFF"/>
        <w:spacing w:before="0" w:beforeAutospacing="0" w:after="0" w:afterAutospacing="0" w:line="231" w:lineRule="atLeast"/>
        <w:ind w:left="1080"/>
        <w:rPr>
          <w:rFonts w:ascii="Calibri" w:hAnsi="Calibri" w:cs="Calibri"/>
          <w:color w:val="201F1E"/>
          <w:sz w:val="22"/>
          <w:szCs w:val="22"/>
        </w:rPr>
      </w:pPr>
      <w:hyperlink r:id="rId17" w:tgtFrame="_blank" w:history="1">
        <w:r>
          <w:rPr>
            <w:rStyle w:val="Hyperlink"/>
            <w:rFonts w:ascii="Arial" w:hAnsi="Arial" w:cs="Arial"/>
            <w:color w:val="0563C1"/>
            <w:sz w:val="22"/>
            <w:szCs w:val="22"/>
            <w:bdr w:val="none" w:sz="0" w:space="0" w:color="auto" w:frame="1"/>
            <w:lang w:val="en"/>
          </w:rPr>
          <w:t>Am I Eligible to Claim the Child and Dependent Care Credit?</w:t>
        </w:r>
      </w:hyperlink>
      <w:r>
        <w:rPr>
          <w:rFonts w:ascii="Arial" w:hAnsi="Arial" w:cs="Arial"/>
          <w:b/>
          <w:bCs/>
          <w:color w:val="201F1E"/>
          <w:sz w:val="22"/>
          <w:szCs w:val="22"/>
          <w:bdr w:val="none" w:sz="0" w:space="0" w:color="auto" w:frame="1"/>
          <w:lang w:val="en"/>
        </w:rPr>
        <w:t> – </w:t>
      </w:r>
      <w:r>
        <w:rPr>
          <w:rFonts w:ascii="Arial" w:hAnsi="Arial" w:cs="Arial"/>
          <w:color w:val="201F1E"/>
          <w:sz w:val="22"/>
          <w:szCs w:val="22"/>
          <w:bdr w:val="none" w:sz="0" w:space="0" w:color="auto" w:frame="1"/>
          <w:lang w:val="en"/>
        </w:rPr>
        <w:t>Determine if you're eligible to claim the Child and Dependent Care Credit for expenses paid for the care of an individual to allow you to work or look for work.</w:t>
      </w:r>
    </w:p>
    <w:p w14:paraId="6255FE41" w14:textId="549FB58A" w:rsidR="00C25043" w:rsidRPr="00C25043" w:rsidRDefault="00C25043" w:rsidP="00C25043">
      <w:pPr>
        <w:pStyle w:val="xmsonormal"/>
        <w:numPr>
          <w:ilvl w:val="0"/>
          <w:numId w:val="4"/>
        </w:numPr>
        <w:shd w:val="clear" w:color="auto" w:fill="FFFFFF"/>
        <w:spacing w:before="0" w:beforeAutospacing="0" w:after="0" w:afterAutospacing="0" w:line="231" w:lineRule="atLeast"/>
        <w:ind w:left="1080"/>
        <w:rPr>
          <w:rFonts w:ascii="Calibri" w:hAnsi="Calibri" w:cs="Calibri"/>
          <w:color w:val="201F1E"/>
          <w:sz w:val="22"/>
          <w:szCs w:val="22"/>
        </w:rPr>
      </w:pPr>
      <w:hyperlink r:id="rId18" w:tgtFrame="_blank" w:history="1">
        <w:r>
          <w:rPr>
            <w:rStyle w:val="Hyperlink"/>
            <w:rFonts w:ascii="Arial" w:hAnsi="Arial" w:cs="Arial"/>
            <w:color w:val="0563C1"/>
            <w:sz w:val="22"/>
            <w:szCs w:val="22"/>
            <w:bdr w:val="none" w:sz="0" w:space="0" w:color="auto" w:frame="1"/>
            <w:lang w:val="en"/>
          </w:rPr>
          <w:t>Does My Child/Dependent Qualify for the Child Tax Credit or the Credit for Other Dependents?</w:t>
        </w:r>
      </w:hyperlink>
      <w:r>
        <w:rPr>
          <w:rFonts w:ascii="Arial" w:hAnsi="Arial" w:cs="Arial"/>
          <w:color w:val="201F1E"/>
          <w:sz w:val="22"/>
          <w:szCs w:val="22"/>
          <w:bdr w:val="none" w:sz="0" w:space="0" w:color="auto" w:frame="1"/>
          <w:lang w:val="en"/>
        </w:rPr>
        <w:t> – Find out if your child or dependent qualifies you for the Child Tax Credit or the Credit for Other Dependents.</w:t>
      </w:r>
    </w:p>
    <w:p w14:paraId="0E044694" w14:textId="77777777" w:rsidR="00C25043" w:rsidRDefault="00C25043" w:rsidP="00C25043">
      <w:pPr>
        <w:pStyle w:val="xmsonormal"/>
        <w:shd w:val="clear" w:color="auto" w:fill="FFFFFF"/>
        <w:spacing w:before="0" w:beforeAutospacing="0" w:after="0" w:afterAutospacing="0" w:line="231" w:lineRule="atLeast"/>
        <w:rPr>
          <w:rFonts w:ascii="Calibri" w:hAnsi="Calibri" w:cs="Calibri"/>
          <w:color w:val="201F1E"/>
          <w:sz w:val="22"/>
          <w:szCs w:val="22"/>
        </w:rPr>
      </w:pPr>
    </w:p>
    <w:p w14:paraId="180800F9" w14:textId="77777777" w:rsidR="00C25043" w:rsidRDefault="00C25043" w:rsidP="00C25043">
      <w:pPr>
        <w:pStyle w:val="xmsonormal"/>
        <w:shd w:val="clear" w:color="auto" w:fill="FFFFFF"/>
        <w:spacing w:before="0" w:beforeAutospacing="0" w:after="0" w:afterAutospacing="0" w:line="231" w:lineRule="atLeast"/>
        <w:rPr>
          <w:rFonts w:ascii="Calibri" w:hAnsi="Calibri" w:cs="Calibri"/>
          <w:color w:val="201F1E"/>
          <w:sz w:val="22"/>
          <w:szCs w:val="22"/>
        </w:rPr>
      </w:pPr>
      <w:r>
        <w:rPr>
          <w:rFonts w:ascii="Arial" w:hAnsi="Arial" w:cs="Arial"/>
          <w:b/>
          <w:bCs/>
          <w:color w:val="201F1E"/>
          <w:bdr w:val="none" w:sz="0" w:space="0" w:color="auto" w:frame="1"/>
        </w:rPr>
        <w:lastRenderedPageBreak/>
        <w:t>Other Reminders for 2020 Returns</w:t>
      </w:r>
    </w:p>
    <w:p w14:paraId="0619FF84" w14:textId="77777777" w:rsidR="00C25043" w:rsidRDefault="00C25043" w:rsidP="00C25043">
      <w:pPr>
        <w:pStyle w:val="xmsonormal"/>
        <w:shd w:val="clear" w:color="auto" w:fill="FFFFFF"/>
        <w:spacing w:before="0" w:beforeAutospacing="0" w:after="0" w:afterAutospacing="0" w:line="231" w:lineRule="atLeast"/>
        <w:rPr>
          <w:rFonts w:ascii="Calibri" w:hAnsi="Calibri" w:cs="Calibri"/>
          <w:color w:val="201F1E"/>
          <w:sz w:val="22"/>
          <w:szCs w:val="22"/>
        </w:rPr>
      </w:pPr>
      <w:r>
        <w:rPr>
          <w:rFonts w:ascii="Arial" w:hAnsi="Arial" w:cs="Arial"/>
          <w:color w:val="201F1E"/>
          <w:sz w:val="22"/>
          <w:szCs w:val="22"/>
          <w:bdr w:val="none" w:sz="0" w:space="0" w:color="auto" w:frame="1"/>
          <w:lang w:val="en"/>
        </w:rPr>
        <w:t>Most income is taxable, including </w:t>
      </w:r>
      <w:hyperlink r:id="rId19" w:tgtFrame="_blank" w:tooltip="IRS: Unemployment compensation is taxable; have tax withheld now and avoid a tax-time surprise" w:history="1">
        <w:r>
          <w:rPr>
            <w:rStyle w:val="Hyperlink"/>
            <w:rFonts w:ascii="Arial" w:hAnsi="Arial" w:cs="Arial"/>
            <w:color w:val="0563C1"/>
            <w:sz w:val="22"/>
            <w:szCs w:val="22"/>
            <w:bdr w:val="none" w:sz="0" w:space="0" w:color="auto" w:frame="1"/>
            <w:lang w:val="en"/>
          </w:rPr>
          <w:t>unemployment compensation</w:t>
        </w:r>
      </w:hyperlink>
      <w:r>
        <w:rPr>
          <w:rFonts w:ascii="Arial" w:hAnsi="Arial" w:cs="Arial"/>
          <w:color w:val="201F1E"/>
          <w:sz w:val="22"/>
          <w:szCs w:val="22"/>
          <w:bdr w:val="none" w:sz="0" w:space="0" w:color="auto" w:frame="1"/>
          <w:lang w:val="en"/>
        </w:rPr>
        <w:t>, interest on a tax refund and income from the </w:t>
      </w:r>
      <w:hyperlink r:id="rId20" w:tgtFrame="_blank" w:tooltip="Gig Economy Tax Center" w:history="1">
        <w:r>
          <w:rPr>
            <w:rStyle w:val="Hyperlink"/>
            <w:rFonts w:ascii="Arial" w:hAnsi="Arial" w:cs="Arial"/>
            <w:color w:val="0563C1"/>
            <w:sz w:val="22"/>
            <w:szCs w:val="22"/>
            <w:bdr w:val="none" w:sz="0" w:space="0" w:color="auto" w:frame="1"/>
            <w:lang w:val="en"/>
          </w:rPr>
          <w:t>gig economy</w:t>
        </w:r>
      </w:hyperlink>
      <w:r>
        <w:rPr>
          <w:rFonts w:ascii="Arial" w:hAnsi="Arial" w:cs="Arial"/>
          <w:color w:val="201F1E"/>
          <w:sz w:val="22"/>
          <w:szCs w:val="22"/>
          <w:bdr w:val="none" w:sz="0" w:space="0" w:color="auto" w:frame="1"/>
          <w:lang w:val="en"/>
        </w:rPr>
        <w:t> and </w:t>
      </w:r>
      <w:hyperlink r:id="rId21" w:tgtFrame="_blank" w:tooltip="Virtual Currencies" w:history="1">
        <w:r>
          <w:rPr>
            <w:rStyle w:val="Hyperlink"/>
            <w:rFonts w:ascii="Arial" w:hAnsi="Arial" w:cs="Arial"/>
            <w:color w:val="0563C1"/>
            <w:sz w:val="22"/>
            <w:szCs w:val="22"/>
            <w:bdr w:val="none" w:sz="0" w:space="0" w:color="auto" w:frame="1"/>
            <w:lang w:val="en"/>
          </w:rPr>
          <w:t>virtual currencies</w:t>
        </w:r>
      </w:hyperlink>
      <w:r>
        <w:rPr>
          <w:rFonts w:ascii="Arial" w:hAnsi="Arial" w:cs="Arial"/>
          <w:color w:val="201F1E"/>
          <w:sz w:val="22"/>
          <w:szCs w:val="22"/>
          <w:bdr w:val="none" w:sz="0" w:space="0" w:color="auto" w:frame="1"/>
          <w:lang w:val="en"/>
        </w:rPr>
        <w:t>. Taxpayers should gather any documents related to these types of earnings and include them on their return. Doing so will help ensure their returns are processed quickly and refunds delivered without delay.</w:t>
      </w:r>
    </w:p>
    <w:p w14:paraId="2E6C2121" w14:textId="77777777" w:rsidR="00C25043" w:rsidRDefault="00C25043" w:rsidP="00C25043">
      <w:pPr>
        <w:pStyle w:val="xmsonormal"/>
        <w:shd w:val="clear" w:color="auto" w:fill="FFFFFF"/>
        <w:spacing w:before="0" w:beforeAutospacing="0" w:after="0" w:afterAutospacing="0" w:line="231" w:lineRule="atLeast"/>
        <w:rPr>
          <w:rFonts w:ascii="Calibri" w:hAnsi="Calibri" w:cs="Calibri"/>
          <w:color w:val="201F1E"/>
          <w:sz w:val="22"/>
          <w:szCs w:val="22"/>
        </w:rPr>
      </w:pPr>
      <w:r>
        <w:rPr>
          <w:rFonts w:ascii="Arial" w:hAnsi="Arial" w:cs="Arial"/>
          <w:color w:val="201F1E"/>
          <w:sz w:val="22"/>
          <w:szCs w:val="22"/>
          <w:bdr w:val="none" w:sz="0" w:space="0" w:color="auto" w:frame="1"/>
          <w:lang w:val="en"/>
        </w:rPr>
        <w:t>Also, now is an excellent time for taxpayers to use the IRS’s </w:t>
      </w:r>
      <w:hyperlink r:id="rId22" w:tgtFrame="_blank" w:tooltip="Tax Withholding Estimator" w:history="1">
        <w:r>
          <w:rPr>
            <w:rStyle w:val="Hyperlink"/>
            <w:rFonts w:ascii="Arial" w:hAnsi="Arial" w:cs="Arial"/>
            <w:color w:val="0563C1"/>
            <w:sz w:val="22"/>
            <w:szCs w:val="22"/>
            <w:bdr w:val="none" w:sz="0" w:space="0" w:color="auto" w:frame="1"/>
            <w:lang w:val="en"/>
          </w:rPr>
          <w:t>Tax Withholding Estimator</w:t>
        </w:r>
      </w:hyperlink>
      <w:r>
        <w:rPr>
          <w:rFonts w:ascii="Arial" w:hAnsi="Arial" w:cs="Arial"/>
          <w:color w:val="201F1E"/>
          <w:sz w:val="22"/>
          <w:szCs w:val="22"/>
          <w:bdr w:val="none" w:sz="0" w:space="0" w:color="auto" w:frame="1"/>
          <w:lang w:val="en"/>
        </w:rPr>
        <w:t> to perform a quick paycheck or pension income checkup. Doing so helps them decide if they need to adjust their withholding or make estimated or additional </w:t>
      </w:r>
      <w:hyperlink r:id="rId23" w:tgtFrame="_blank" w:tooltip="Payments " w:history="1">
        <w:r>
          <w:rPr>
            <w:rStyle w:val="Hyperlink"/>
            <w:rFonts w:ascii="Arial" w:hAnsi="Arial" w:cs="Arial"/>
            <w:color w:val="0563C1"/>
            <w:sz w:val="22"/>
            <w:szCs w:val="22"/>
            <w:bdr w:val="none" w:sz="0" w:space="0" w:color="auto" w:frame="1"/>
            <w:lang w:val="en"/>
          </w:rPr>
          <w:t>tax payments</w:t>
        </w:r>
      </w:hyperlink>
      <w:r>
        <w:rPr>
          <w:rFonts w:ascii="Arial" w:hAnsi="Arial" w:cs="Arial"/>
          <w:color w:val="201F1E"/>
          <w:sz w:val="22"/>
          <w:szCs w:val="22"/>
          <w:bdr w:val="none" w:sz="0" w:space="0" w:color="auto" w:frame="1"/>
          <w:lang w:val="en"/>
        </w:rPr>
        <w:t>.</w:t>
      </w:r>
    </w:p>
    <w:p w14:paraId="053FAEFB" w14:textId="77777777" w:rsidR="00C25043" w:rsidRDefault="00C25043" w:rsidP="00C25043">
      <w:pPr>
        <w:pStyle w:val="xmsonormal"/>
        <w:shd w:val="clear" w:color="auto" w:fill="FFFFFF"/>
        <w:spacing w:before="0" w:beforeAutospacing="0" w:after="0" w:afterAutospacing="0" w:line="231" w:lineRule="atLeast"/>
        <w:rPr>
          <w:rFonts w:ascii="Calibri" w:hAnsi="Calibri" w:cs="Calibri"/>
          <w:color w:val="201F1E"/>
          <w:sz w:val="22"/>
          <w:szCs w:val="22"/>
        </w:rPr>
      </w:pPr>
      <w:r>
        <w:rPr>
          <w:rFonts w:ascii="Arial" w:hAnsi="Arial" w:cs="Arial"/>
          <w:color w:val="201F1E"/>
          <w:sz w:val="22"/>
          <w:szCs w:val="22"/>
          <w:bdr w:val="none" w:sz="0" w:space="0" w:color="auto" w:frame="1"/>
        </w:rPr>
        <w:t>Finally, for those who use a professional to prepare and electronically file their tax returns, the IRS has </w:t>
      </w:r>
      <w:hyperlink r:id="rId24" w:tgtFrame="_blank" w:history="1">
        <w:r>
          <w:rPr>
            <w:rStyle w:val="Hyperlink"/>
            <w:rFonts w:ascii="Arial" w:hAnsi="Arial" w:cs="Arial"/>
            <w:color w:val="0563C1"/>
            <w:sz w:val="22"/>
            <w:szCs w:val="22"/>
            <w:bdr w:val="none" w:sz="0" w:space="0" w:color="auto" w:frame="1"/>
          </w:rPr>
          <w:t>some tips</w:t>
        </w:r>
      </w:hyperlink>
      <w:r>
        <w:rPr>
          <w:rFonts w:ascii="Arial" w:hAnsi="Arial" w:cs="Arial"/>
          <w:color w:val="201F1E"/>
          <w:sz w:val="22"/>
          <w:szCs w:val="22"/>
          <w:bdr w:val="none" w:sz="0" w:space="0" w:color="auto" w:frame="1"/>
        </w:rPr>
        <w:t> and resources to help them find the right person. </w:t>
      </w:r>
    </w:p>
    <w:p w14:paraId="70A936D2" w14:textId="77777777" w:rsidR="00CA54D3" w:rsidRDefault="00CA54D3"/>
    <w:sectPr w:rsidR="00CA54D3" w:rsidSect="001435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84CD5"/>
    <w:multiLevelType w:val="multilevel"/>
    <w:tmpl w:val="BE960D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21197BB1"/>
    <w:multiLevelType w:val="multilevel"/>
    <w:tmpl w:val="1D9A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6D26CFA"/>
    <w:multiLevelType w:val="multilevel"/>
    <w:tmpl w:val="233AB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86E3E47"/>
    <w:multiLevelType w:val="multilevel"/>
    <w:tmpl w:val="CEF2B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043"/>
    <w:rsid w:val="001435FD"/>
    <w:rsid w:val="00C25043"/>
    <w:rsid w:val="00CA54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B27C71E"/>
  <w15:chartTrackingRefBased/>
  <w15:docId w15:val="{3E48FDE3-B413-F04F-8DA9-4F814FF90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C25043"/>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C250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698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s-3A__www.irs.gov_instructions_i1040gi&amp;d=DwMFAg&amp;c=L93KkjKsAC98uTvC4KvQDdTDRzAeWDDRmG6S3YXllH0&amp;r=Kc-ViD0aB51GntA2kJilRtAn4S-GNqWKMymPU45MzDA&amp;m=udPWBiAX8rafYq5dTUmJDza7TyAWNWc00RF7_3DmZ50&amp;s=GIHV7jIeqvzpb0jU14x8hWpWmKTvIfxROSUR8njyolM&amp;e=" TargetMode="External"/><Relationship Id="rId13" Type="http://schemas.openxmlformats.org/officeDocument/2006/relationships/hyperlink" Target="https://urldefense.proofpoint.com/v2/url?u=https-3A__www.irs.gov_credits-2Ddeductions_individuals_earned-2Dincome-2Dtax-2Dcredit_earned-2Dincome-2Dand-2Dearned-2Dincome-2Dtax-2Dcredit-2Deitc-2Dtables&amp;d=DwMFAg&amp;c=L93KkjKsAC98uTvC4KvQDdTDRzAeWDDRmG6S3YXllH0&amp;r=Kc-ViD0aB51GntA2kJilRtAn4S-GNqWKMymPU45MzDA&amp;m=udPWBiAX8rafYq5dTUmJDza7TyAWNWc00RF7_3DmZ50&amp;s=vjKNSubPQOZEa58vR8ZzyYTKFDIFDmkkKsr8o3lt0QM&amp;e=" TargetMode="External"/><Relationship Id="rId18" Type="http://schemas.openxmlformats.org/officeDocument/2006/relationships/hyperlink" Target="https://urldefense.proofpoint.com/v2/url?u=https-3A__www.irs.gov_help_ita_does-2Dmy-2Dchilddependent-2Dqualify-2Dfor-2Dthe-2Dchild-2Dtax-2Dcredit-2Dor-2Dthe-2Dcredit-2Dfor-2Dother-2Ddependents&amp;d=DwMFAg&amp;c=L93KkjKsAC98uTvC4KvQDdTDRzAeWDDRmG6S3YXllH0&amp;r=Kc-ViD0aB51GntA2kJilRtAn4S-GNqWKMymPU45MzDA&amp;m=udPWBiAX8rafYq5dTUmJDza7TyAWNWc00RF7_3DmZ50&amp;s=K6HNPbA2JxWu48L1klqJNclBy57rh-5RMmuJkx-4z84&amp;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urldefense.proofpoint.com/v2/url?u=https-3A__www.irs.gov_businesses_small-2Dbusinesses-2Dself-2Demployed_virtual-2Dcurrencies&amp;d=DwMFAg&amp;c=L93KkjKsAC98uTvC4KvQDdTDRzAeWDDRmG6S3YXllH0&amp;r=Kc-ViD0aB51GntA2kJilRtAn4S-GNqWKMymPU45MzDA&amp;m=udPWBiAX8rafYq5dTUmJDza7TyAWNWc00RF7_3DmZ50&amp;s=vQ1CW2vnM8JMWylgrioZY9BCo33WsXQUQWIIvd8yglY&amp;e=" TargetMode="External"/><Relationship Id="rId7" Type="http://schemas.openxmlformats.org/officeDocument/2006/relationships/hyperlink" Target="https://urldefense.proofpoint.com/v2/url?u=https-3A__www.irs.gov_pub_irs-2Dpdf_i1040gi.pdf&amp;d=DwMFAg&amp;c=L93KkjKsAC98uTvC4KvQDdTDRzAeWDDRmG6S3YXllH0&amp;r=Kc-ViD0aB51GntA2kJilRtAn4S-GNqWKMymPU45MzDA&amp;m=udPWBiAX8rafYq5dTUmJDza7TyAWNWc00RF7_3DmZ50&amp;s=DmNZBVQ9GdDFgceY2GWApgD6RWTCYnRZFrZv-esee88&amp;e=" TargetMode="External"/><Relationship Id="rId12" Type="http://schemas.openxmlformats.org/officeDocument/2006/relationships/hyperlink" Target="https://urldefense.proofpoint.com/v2/url?u=https-3A__www.irs.gov_credits-2Ddeductions_individuals_earned-2Dincome-2Dtax-2Dcredit_how-2Dto-2Dclaim-2Dthe-2Dearned-2Dincome-2Dtax-2Dcredit-2Deitc&amp;d=DwMFAg&amp;c=L93KkjKsAC98uTvC4KvQDdTDRzAeWDDRmG6S3YXllH0&amp;r=Kc-ViD0aB51GntA2kJilRtAn4S-GNqWKMymPU45MzDA&amp;m=udPWBiAX8rafYq5dTUmJDza7TyAWNWc00RF7_3DmZ50&amp;s=4uiKnlIqRRH3M_-hzvhx5Cmo96TomLtUwr1c-WDwlFA&amp;e=" TargetMode="External"/><Relationship Id="rId17" Type="http://schemas.openxmlformats.org/officeDocument/2006/relationships/hyperlink" Target="https://urldefense.proofpoint.com/v2/url?u=https-3A__www.irs.gov_help_ita_am-2Di-2Deligible-2Dto-2Dclaim-2Dthe-2Dchild-2Dand-2Ddependent-2Dcare-2Dcredit&amp;d=DwMFAg&amp;c=L93KkjKsAC98uTvC4KvQDdTDRzAeWDDRmG6S3YXllH0&amp;r=Kc-ViD0aB51GntA2kJilRtAn4S-GNqWKMymPU45MzDA&amp;m=udPWBiAX8rafYq5dTUmJDza7TyAWNWc00RF7_3DmZ50&amp;s=Nkp8IynaHizwutY5GTpYZM0KSxPbb8ibyYT9MQea_VM&amp;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urldefense.proofpoint.com/v2/url?u=https-3A__www.irs.gov_help_ita&amp;d=DwMFAg&amp;c=L93KkjKsAC98uTvC4KvQDdTDRzAeWDDRmG6S3YXllH0&amp;r=Kc-ViD0aB51GntA2kJilRtAn4S-GNqWKMymPU45MzDA&amp;m=udPWBiAX8rafYq5dTUmJDza7TyAWNWc00RF7_3DmZ50&amp;s=6yrgqSMDLZVVBV7EnrTWHA5gHUjb3abKxqV3rDgT4ms&amp;e=" TargetMode="External"/><Relationship Id="rId20" Type="http://schemas.openxmlformats.org/officeDocument/2006/relationships/hyperlink" Target="https://urldefense.proofpoint.com/v2/url?u=https-3A__www.irs.gov_businesses_gig-2Deconomy-2Dtax-2Dcenter&amp;d=DwMFAg&amp;c=L93KkjKsAC98uTvC4KvQDdTDRzAeWDDRmG6S3YXllH0&amp;r=Kc-ViD0aB51GntA2kJilRtAn4S-GNqWKMymPU45MzDA&amp;m=udPWBiAX8rafYq5dTUmJDza7TyAWNWc00RF7_3DmZ50&amp;s=LKDsk9o6Cy67Rluth2hSSmV3gDPNiIh8xDC0LnLl7NU&amp;e=" TargetMode="External"/><Relationship Id="rId1" Type="http://schemas.openxmlformats.org/officeDocument/2006/relationships/numbering" Target="numbering.xml"/><Relationship Id="rId6" Type="http://schemas.openxmlformats.org/officeDocument/2006/relationships/hyperlink" Target="https://urldefense.proofpoint.com/v2/url?u=https-3A__www.irs.gov_newsroom_recovery-2Drebate-2Dcredit&amp;d=DwMFAg&amp;c=L93KkjKsAC98uTvC4KvQDdTDRzAeWDDRmG6S3YXllH0&amp;r=Kc-ViD0aB51GntA2kJilRtAn4S-GNqWKMymPU45MzDA&amp;m=udPWBiAX8rafYq5dTUmJDza7TyAWNWc00RF7_3DmZ50&amp;s=76sPr0BQMMb1NVqE-GBQ7fyNYhHu2EBh7Bw1zY65whM&amp;e=" TargetMode="External"/><Relationship Id="rId11" Type="http://schemas.openxmlformats.org/officeDocument/2006/relationships/hyperlink" Target="https://urldefense.proofpoint.com/v2/url?u=https-3A__www.irs.gov_credits-2Ddeductions_individuals_earned-2Dincome-2Dtax-2Dcredit_use-2Dthe-2Deitc-2Dassistant&amp;d=DwMFAg&amp;c=L93KkjKsAC98uTvC4KvQDdTDRzAeWDDRmG6S3YXllH0&amp;r=Kc-ViD0aB51GntA2kJilRtAn4S-GNqWKMymPU45MzDA&amp;m=udPWBiAX8rafYq5dTUmJDza7TyAWNWc00RF7_3DmZ50&amp;s=00Bvl1V1PaOHeZIJx5abT50aIOidRtpbF0-jZ0qOk88&amp;e=" TargetMode="External"/><Relationship Id="rId24" Type="http://schemas.openxmlformats.org/officeDocument/2006/relationships/hyperlink" Target="https://urldefense.proofpoint.com/v2/url?u=https-3A__www.irs.gov_newsroom_taxpayers-2Dshould-2Dcheck-2Dout-2Dthese-2Dtips-2Dbefore-2Dchoosing-2Da-2Dtax-2Dpreparer&amp;d=DwMFAg&amp;c=L93KkjKsAC98uTvC4KvQDdTDRzAeWDDRmG6S3YXllH0&amp;r=Kc-ViD0aB51GntA2kJilRtAn4S-GNqWKMymPU45MzDA&amp;m=udPWBiAX8rafYq5dTUmJDza7TyAWNWc00RF7_3DmZ50&amp;s=Kl_uDKevxF-1gz-mSdjiyRgeTnRR4BJbd6QqlbkZfU8&amp;e=" TargetMode="External"/><Relationship Id="rId5" Type="http://schemas.openxmlformats.org/officeDocument/2006/relationships/image" Target="media/image1.png"/><Relationship Id="rId15" Type="http://schemas.openxmlformats.org/officeDocument/2006/relationships/hyperlink" Target="https://urldefense.proofpoint.com/v2/url?u=https-3A__www.irs.gov_pub_irs-2Dpdf_p972.pdf&amp;d=DwMFAg&amp;c=L93KkjKsAC98uTvC4KvQDdTDRzAeWDDRmG6S3YXllH0&amp;r=Kc-ViD0aB51GntA2kJilRtAn4S-GNqWKMymPU45MzDA&amp;m=udPWBiAX8rafYq5dTUmJDza7TyAWNWc00RF7_3DmZ50&amp;s=bpP8gSzKHo_ldJVCnhRPcBlrAfAEN3yFavkmOf0bgg8&amp;e=" TargetMode="External"/><Relationship Id="rId23" Type="http://schemas.openxmlformats.org/officeDocument/2006/relationships/hyperlink" Target="https://urldefense.proofpoint.com/v2/url?u=https-3A__www.irs.gov_payments&amp;d=DwMFAg&amp;c=L93KkjKsAC98uTvC4KvQDdTDRzAeWDDRmG6S3YXllH0&amp;r=Kc-ViD0aB51GntA2kJilRtAn4S-GNqWKMymPU45MzDA&amp;m=udPWBiAX8rafYq5dTUmJDza7TyAWNWc00RF7_3DmZ50&amp;s=8LY9PLKeysjzMKAPVulX52pyQj323WJdUZbvzmFffJg&amp;e=" TargetMode="External"/><Relationship Id="rId10" Type="http://schemas.openxmlformats.org/officeDocument/2006/relationships/hyperlink" Target="https://urldefense.proofpoint.com/v2/url?u=https-3A__www.irs.gov_credits-2Ddeductions_individuals_earned-2Dincome-2Dtax-2Dcredit_who-2Dqualifies-2Dfor-2Dthe-2Dearned-2Dincome-2Dtax-2Dcredit-2Deitc&amp;d=DwMFAg&amp;c=L93KkjKsAC98uTvC4KvQDdTDRzAeWDDRmG6S3YXllH0&amp;r=Kc-ViD0aB51GntA2kJilRtAn4S-GNqWKMymPU45MzDA&amp;m=udPWBiAX8rafYq5dTUmJDza7TyAWNWc00RF7_3DmZ50&amp;s=vyVSf1FOYlYcFuudiQ0fWxNC73EowukDJVVV45r_DiE&amp;e=" TargetMode="External"/><Relationship Id="rId19" Type="http://schemas.openxmlformats.org/officeDocument/2006/relationships/hyperlink" Target="https://urldefense.proofpoint.com/v2/url?u=https-3A__www.irs.gov_newsroom_irs-2Dunemployment-2Dcompensation-2Dis-2Dtaxable-2Dhave-2Dtax-2Dwithheld-2Dnow-2Dand-2Davoid-2Da-2Dtax-2Dtime-2Dsurprise&amp;d=DwMFAg&amp;c=L93KkjKsAC98uTvC4KvQDdTDRzAeWDDRmG6S3YXllH0&amp;r=Kc-ViD0aB51GntA2kJilRtAn4S-GNqWKMymPU45MzDA&amp;m=udPWBiAX8rafYq5dTUmJDza7TyAWNWc00RF7_3DmZ50&amp;s=FxfcBc6wIpnVV9x4e1YUJseKRFaRBrvk6AVNSmPxrnQ&amp;e=" TargetMode="External"/><Relationship Id="rId4" Type="http://schemas.openxmlformats.org/officeDocument/2006/relationships/webSettings" Target="webSettings.xml"/><Relationship Id="rId9" Type="http://schemas.openxmlformats.org/officeDocument/2006/relationships/hyperlink" Target="https://urldefense.proofpoint.com/v2/url?u=https-3A__www.irs.gov_credits-2Ddeductions_individuals_earned-2Dincome-2Dtax-2Dcredit-2Deitc&amp;d=DwMFAg&amp;c=L93KkjKsAC98uTvC4KvQDdTDRzAeWDDRmG6S3YXllH0&amp;r=Kc-ViD0aB51GntA2kJilRtAn4S-GNqWKMymPU45MzDA&amp;m=udPWBiAX8rafYq5dTUmJDza7TyAWNWc00RF7_3DmZ50&amp;s=NpRuLrU8nlO5bdzLk6JlcjRvdYCh2WQdavSKjmXOKtc&amp;e=" TargetMode="External"/><Relationship Id="rId14" Type="http://schemas.openxmlformats.org/officeDocument/2006/relationships/hyperlink" Target="https://urldefense.proofpoint.com/v2/url?u=https-3A__www.irs.gov_taxtopics_tc602&amp;d=DwMFAg&amp;c=L93KkjKsAC98uTvC4KvQDdTDRzAeWDDRmG6S3YXllH0&amp;r=Kc-ViD0aB51GntA2kJilRtAn4S-GNqWKMymPU45MzDA&amp;m=udPWBiAX8rafYq5dTUmJDza7TyAWNWc00RF7_3DmZ50&amp;s=pEDC94yH_tFXjNYxO3yop4xcyjEJkYHrKlzFhe7R_QA&amp;e=" TargetMode="External"/><Relationship Id="rId22" Type="http://schemas.openxmlformats.org/officeDocument/2006/relationships/hyperlink" Target="https://urldefense.proofpoint.com/v2/url?u=https-3A__www.irs.gov_individuals_tax-2Dwithholding-2Destimator&amp;d=DwMFAg&amp;c=L93KkjKsAC98uTvC4KvQDdTDRzAeWDDRmG6S3YXllH0&amp;r=Kc-ViD0aB51GntA2kJilRtAn4S-GNqWKMymPU45MzDA&amp;m=udPWBiAX8rafYq5dTUmJDza7TyAWNWc00RF7_3DmZ50&amp;s=Xh6AxeIuqUHs4fbC6x2jKlhQJQV97Kite5Qe6_NM6k4&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1545</Words>
  <Characters>8812</Characters>
  <Application>Microsoft Office Word</Application>
  <DocSecurity>0</DocSecurity>
  <Lines>73</Lines>
  <Paragraphs>20</Paragraphs>
  <ScaleCrop>false</ScaleCrop>
  <Company/>
  <LinksUpToDate>false</LinksUpToDate>
  <CharactersWithSpaces>10337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Stornes, Meghan (mstorne1)</dc:creator>
  <cp:keywords/>
  <dc:description/>
  <cp:lastModifiedBy>Stornes, Meghan (mstorne1)</cp:lastModifiedBy>
  <cp:revision>1</cp:revision>
  <dcterms:created xsi:type="dcterms:W3CDTF">2021-01-15T15:52:00Z</dcterms:created>
  <dcterms:modified xsi:type="dcterms:W3CDTF">2021-01-15T15:53:00Z</dcterms:modified>
</cp:coreProperties>
</file>