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4D" w:rsidRPr="006C3A33" w:rsidRDefault="00C2174D" w:rsidP="0015696D">
      <w:pPr>
        <w:pStyle w:val="Heading1"/>
        <w:kinsoku w:val="0"/>
        <w:overflowPunct w:val="0"/>
        <w:ind w:left="0" w:right="-10"/>
        <w:jc w:val="center"/>
        <w:rPr>
          <w:rFonts w:asciiTheme="minorHAnsi" w:hAnsiTheme="minorHAnsi"/>
          <w:sz w:val="36"/>
        </w:rPr>
      </w:pPr>
      <w:bookmarkStart w:id="0" w:name="_GoBack"/>
      <w:bookmarkEnd w:id="0"/>
      <w:r w:rsidRPr="006C3A33">
        <w:rPr>
          <w:rFonts w:asciiTheme="minorHAnsi" w:hAnsiTheme="minorHAnsi"/>
          <w:sz w:val="36"/>
        </w:rPr>
        <w:t>Child Nutrition Program O</w:t>
      </w:r>
      <w:r w:rsidR="00451C7E">
        <w:rPr>
          <w:rFonts w:asciiTheme="minorHAnsi" w:hAnsiTheme="minorHAnsi"/>
          <w:sz w:val="36"/>
        </w:rPr>
        <w:t>perations</w:t>
      </w:r>
      <w:r w:rsidRPr="006C3A33">
        <w:rPr>
          <w:rFonts w:asciiTheme="minorHAnsi" w:hAnsiTheme="minorHAnsi"/>
          <w:sz w:val="36"/>
        </w:rPr>
        <w:t xml:space="preserve"> Waiver Summary</w:t>
      </w:r>
    </w:p>
    <w:p w:rsidR="00C2174D" w:rsidRDefault="00FF4FB6" w:rsidP="0015696D">
      <w:pPr>
        <w:ind w:right="-10"/>
        <w:rPr>
          <w:rFonts w:asciiTheme="minorHAnsi" w:hAnsiTheme="minorHAnsi"/>
          <w:sz w:val="24"/>
          <w:szCs w:val="24"/>
        </w:rPr>
      </w:pPr>
      <w:r>
        <w:rPr>
          <w:rFonts w:asciiTheme="minorHAnsi" w:hAnsiTheme="minorHAnsi"/>
          <w:sz w:val="24"/>
          <w:szCs w:val="24"/>
        </w:rPr>
        <w:t>Sponsors may apply</w:t>
      </w:r>
      <w:r w:rsidR="00F209DB">
        <w:rPr>
          <w:rFonts w:asciiTheme="minorHAnsi" w:hAnsiTheme="minorHAnsi"/>
          <w:sz w:val="24"/>
          <w:szCs w:val="24"/>
        </w:rPr>
        <w:t xml:space="preserve">, via the </w:t>
      </w:r>
      <w:hyperlink r:id="rId8" w:history="1">
        <w:r w:rsidR="00162244">
          <w:rPr>
            <w:rStyle w:val="Hyperlink"/>
            <w:rFonts w:asciiTheme="minorHAnsi" w:hAnsiTheme="minorHAnsi"/>
            <w:sz w:val="24"/>
            <w:szCs w:val="24"/>
          </w:rPr>
          <w:t>2022-2023 Oregon Waivers Form</w:t>
        </w:r>
      </w:hyperlink>
      <w:r w:rsidR="00F209DB">
        <w:rPr>
          <w:rFonts w:asciiTheme="minorHAnsi" w:hAnsiTheme="minorHAnsi"/>
          <w:sz w:val="24"/>
          <w:szCs w:val="24"/>
        </w:rPr>
        <w:t>,</w:t>
      </w:r>
      <w:r>
        <w:rPr>
          <w:rFonts w:asciiTheme="minorHAnsi" w:hAnsiTheme="minorHAnsi"/>
          <w:sz w:val="24"/>
          <w:szCs w:val="24"/>
        </w:rPr>
        <w:t xml:space="preserve"> for the </w:t>
      </w:r>
      <w:r w:rsidR="00CC18FE">
        <w:rPr>
          <w:rFonts w:asciiTheme="minorHAnsi" w:hAnsiTheme="minorHAnsi"/>
          <w:sz w:val="24"/>
          <w:szCs w:val="24"/>
        </w:rPr>
        <w:t>waivers listed below</w:t>
      </w:r>
      <w:r>
        <w:rPr>
          <w:rFonts w:asciiTheme="minorHAnsi" w:hAnsiTheme="minorHAnsi"/>
          <w:sz w:val="24"/>
          <w:szCs w:val="24"/>
        </w:rPr>
        <w:t xml:space="preserve"> if they are experiencing the following issues related to COVID-19:</w:t>
      </w:r>
    </w:p>
    <w:p w:rsidR="00FF4FB6" w:rsidRDefault="00FF4FB6" w:rsidP="0015696D">
      <w:pPr>
        <w:numPr>
          <w:ilvl w:val="0"/>
          <w:numId w:val="2"/>
        </w:numPr>
        <w:ind w:right="-10"/>
        <w:rPr>
          <w:rFonts w:asciiTheme="minorHAnsi" w:hAnsiTheme="minorHAnsi"/>
          <w:sz w:val="24"/>
          <w:szCs w:val="24"/>
        </w:rPr>
      </w:pPr>
      <w:r>
        <w:rPr>
          <w:rFonts w:asciiTheme="minorHAnsi" w:hAnsiTheme="minorHAnsi"/>
          <w:sz w:val="24"/>
          <w:szCs w:val="24"/>
        </w:rPr>
        <w:t xml:space="preserve">Their county is current in a High (Orange) risk Community Level according to the </w:t>
      </w:r>
      <w:hyperlink r:id="rId9" w:anchor="county-view?list_select_state=Oregon&amp;data-type=CommunityLevels&amp;list_select_county=41039" w:history="1">
        <w:r w:rsidRPr="00FF4FB6">
          <w:rPr>
            <w:rStyle w:val="Hyperlink"/>
            <w:rFonts w:asciiTheme="minorHAnsi" w:hAnsiTheme="minorHAnsi"/>
            <w:sz w:val="24"/>
            <w:szCs w:val="24"/>
          </w:rPr>
          <w:t>CDC COVID-19 Data Tracker</w:t>
        </w:r>
      </w:hyperlink>
    </w:p>
    <w:p w:rsidR="00FF4FB6" w:rsidRPr="00FF4FB6" w:rsidRDefault="00FF4FB6" w:rsidP="0015696D">
      <w:pPr>
        <w:numPr>
          <w:ilvl w:val="0"/>
          <w:numId w:val="2"/>
        </w:numPr>
        <w:ind w:right="-10"/>
        <w:rPr>
          <w:rFonts w:asciiTheme="minorHAnsi" w:hAnsiTheme="minorHAnsi"/>
          <w:sz w:val="24"/>
          <w:szCs w:val="24"/>
        </w:rPr>
      </w:pPr>
      <w:r>
        <w:rPr>
          <w:rFonts w:asciiTheme="minorHAnsi" w:hAnsiTheme="minorHAnsi"/>
          <w:sz w:val="24"/>
          <w:szCs w:val="24"/>
        </w:rPr>
        <w:t xml:space="preserve">They are currently experiencing a staffing shortage due to staff illness/quarantine due to COVID-19 and are unable to operate </w:t>
      </w:r>
      <w:r w:rsidRPr="00FF4FB6">
        <w:rPr>
          <w:rFonts w:ascii="Calibri" w:hAnsi="Calibri"/>
          <w:sz w:val="24"/>
          <w:szCs w:val="24"/>
        </w:rPr>
        <w:t xml:space="preserve">congregate </w:t>
      </w:r>
      <w:r>
        <w:rPr>
          <w:rFonts w:asciiTheme="minorHAnsi" w:hAnsiTheme="minorHAnsi"/>
          <w:sz w:val="24"/>
          <w:szCs w:val="24"/>
        </w:rPr>
        <w:t xml:space="preserve">meal service. </w:t>
      </w:r>
    </w:p>
    <w:p w:rsidR="00CC18FE" w:rsidRPr="00CC18FE" w:rsidRDefault="00CC18FE" w:rsidP="0015696D">
      <w:pPr>
        <w:pStyle w:val="BodyText"/>
        <w:kinsoku w:val="0"/>
        <w:overflowPunct w:val="0"/>
        <w:spacing w:before="44" w:line="274" w:lineRule="exact"/>
        <w:ind w:right="-10"/>
        <w:rPr>
          <w:rFonts w:ascii="Calibri" w:hAnsi="Calibri"/>
        </w:rPr>
      </w:pPr>
      <w:r w:rsidRPr="00CC18FE">
        <w:rPr>
          <w:rFonts w:ascii="Calibri" w:hAnsi="Calibri"/>
        </w:rPr>
        <w:t>FNS expects that flexibilities under these waivers will only be implemented by Program operators when congregate meal service is limited by the COVID-19 pandemic.</w:t>
      </w:r>
    </w:p>
    <w:p w:rsidR="00C2174D" w:rsidRPr="006C3A33" w:rsidRDefault="00C2174D" w:rsidP="0015696D">
      <w:pPr>
        <w:pStyle w:val="Heading1"/>
        <w:kinsoku w:val="0"/>
        <w:overflowPunct w:val="0"/>
        <w:ind w:left="0" w:right="-10"/>
        <w:rPr>
          <w:rFonts w:asciiTheme="minorHAnsi" w:hAnsiTheme="minorHAnsi"/>
        </w:rPr>
      </w:pPr>
    </w:p>
    <w:p w:rsidR="00E74676" w:rsidRPr="006C3A33" w:rsidRDefault="00E74676" w:rsidP="0015696D">
      <w:pPr>
        <w:pStyle w:val="Heading1"/>
        <w:kinsoku w:val="0"/>
        <w:overflowPunct w:val="0"/>
        <w:ind w:left="0" w:right="-10"/>
        <w:rPr>
          <w:rFonts w:asciiTheme="minorHAnsi" w:hAnsiTheme="minorHAnsi"/>
          <w:sz w:val="32"/>
          <w:u w:val="none"/>
        </w:rPr>
      </w:pPr>
      <w:r w:rsidRPr="006C3A33">
        <w:rPr>
          <w:rFonts w:asciiTheme="minorHAnsi" w:hAnsiTheme="minorHAnsi"/>
          <w:sz w:val="32"/>
        </w:rPr>
        <w:t>Summer Operations (SFSP/SSO)</w:t>
      </w:r>
    </w:p>
    <w:p w:rsidR="00E74676" w:rsidRPr="006C3A33" w:rsidRDefault="00137DDF" w:rsidP="0015696D">
      <w:pPr>
        <w:pStyle w:val="BodyText"/>
        <w:tabs>
          <w:tab w:val="left" w:pos="0"/>
        </w:tabs>
        <w:kinsoku w:val="0"/>
        <w:overflowPunct w:val="0"/>
        <w:spacing w:line="272" w:lineRule="exact"/>
        <w:ind w:right="-10"/>
        <w:rPr>
          <w:rFonts w:asciiTheme="minorHAnsi" w:hAnsiTheme="minorHAnsi"/>
        </w:rPr>
      </w:pPr>
      <w:r w:rsidRPr="00137DDF">
        <w:rPr>
          <w:rFonts w:asciiTheme="minorHAnsi" w:hAnsiTheme="minorHAnsi"/>
          <w:b/>
          <w:i/>
        </w:rPr>
        <w:t>E</w:t>
      </w:r>
      <w:r w:rsidR="00E74676" w:rsidRPr="006C3A33">
        <w:rPr>
          <w:rFonts w:asciiTheme="minorHAnsi" w:hAnsiTheme="minorHAnsi"/>
          <w:b/>
          <w:i/>
        </w:rPr>
        <w:t>ffective May 24, 2022, through September 30, 2022</w:t>
      </w:r>
      <w:r w:rsidR="00E74676" w:rsidRPr="006C3A33">
        <w:rPr>
          <w:rFonts w:asciiTheme="minorHAnsi" w:hAnsiTheme="minorHAnsi"/>
        </w:rPr>
        <w:t xml:space="preserve">. However, FNS expects that flexibilities under the waivers </w:t>
      </w:r>
      <w:r w:rsidR="005D3D88">
        <w:rPr>
          <w:rFonts w:asciiTheme="minorHAnsi" w:hAnsiTheme="minorHAnsi"/>
        </w:rPr>
        <w:t>below</w:t>
      </w:r>
      <w:r w:rsidR="00E74676" w:rsidRPr="006C3A33">
        <w:rPr>
          <w:rFonts w:asciiTheme="minorHAnsi" w:hAnsiTheme="minorHAnsi"/>
        </w:rPr>
        <w:t xml:space="preserve"> will only be implemented by Program operators when congregate meal service is li</w:t>
      </w:r>
      <w:r w:rsidR="00C2174D" w:rsidRPr="006C3A33">
        <w:rPr>
          <w:rFonts w:asciiTheme="minorHAnsi" w:hAnsiTheme="minorHAnsi"/>
        </w:rPr>
        <w:t>mited by the COVID-19 pandemic</w:t>
      </w:r>
      <w:r w:rsidR="007102F2" w:rsidRPr="006C3A33">
        <w:rPr>
          <w:rFonts w:asciiTheme="minorHAnsi" w:hAnsiTheme="minorHAnsi"/>
        </w:rPr>
        <w:t>.</w:t>
      </w:r>
    </w:p>
    <w:p w:rsidR="00E74676" w:rsidRPr="006C3A33" w:rsidRDefault="00E74676" w:rsidP="0015696D">
      <w:pPr>
        <w:pStyle w:val="BodyText"/>
        <w:kinsoku w:val="0"/>
        <w:overflowPunct w:val="0"/>
        <w:spacing w:before="228" w:line="274" w:lineRule="exact"/>
        <w:ind w:right="-10"/>
        <w:rPr>
          <w:rFonts w:asciiTheme="minorHAnsi" w:hAnsiTheme="minorHAnsi"/>
          <w:i/>
          <w:iCs/>
        </w:rPr>
      </w:pPr>
      <w:r w:rsidRPr="006C3A33">
        <w:rPr>
          <w:rFonts w:asciiTheme="minorHAnsi" w:hAnsiTheme="minorHAnsi"/>
          <w:i/>
          <w:iCs/>
          <w:u w:val="single"/>
        </w:rPr>
        <w:t>Waiver 1: Non-Congregate Meal Service during Summer 2022 (SFSP/SSO)</w:t>
      </w:r>
    </w:p>
    <w:p w:rsidR="00E74676" w:rsidRPr="006C3A33" w:rsidRDefault="00E74676" w:rsidP="0015696D">
      <w:pPr>
        <w:pStyle w:val="BodyText"/>
        <w:kinsoku w:val="0"/>
        <w:overflowPunct w:val="0"/>
        <w:spacing w:line="274" w:lineRule="exact"/>
        <w:ind w:right="-10"/>
        <w:rPr>
          <w:rFonts w:asciiTheme="minorHAnsi" w:hAnsiTheme="minorHAnsi"/>
        </w:rPr>
      </w:pPr>
      <w:r w:rsidRPr="006C3A33">
        <w:rPr>
          <w:rFonts w:asciiTheme="minorHAnsi" w:hAnsiTheme="minorHAnsi"/>
        </w:rPr>
        <w:t>Under the NSLA, 42 U.S.C. 1753(b)(1)(A), 42 U.S.C. 1761(a)(1)(D), and</w:t>
      </w:r>
    </w:p>
    <w:p w:rsidR="00E74676" w:rsidRPr="006C3A33" w:rsidRDefault="00E74676" w:rsidP="0015696D">
      <w:pPr>
        <w:pStyle w:val="BodyText"/>
        <w:kinsoku w:val="0"/>
        <w:overflowPunct w:val="0"/>
        <w:spacing w:before="14" w:line="237" w:lineRule="auto"/>
        <w:ind w:right="-10"/>
        <w:rPr>
          <w:rFonts w:asciiTheme="minorHAnsi" w:hAnsiTheme="minorHAnsi"/>
        </w:rPr>
      </w:pPr>
      <w:r w:rsidRPr="006C3A33">
        <w:rPr>
          <w:rFonts w:asciiTheme="minorHAnsi" w:hAnsiTheme="minorHAnsi"/>
        </w:rPr>
        <w:t>program regulations at 7 CFR 225.6(e)(15), meals must be served in a congregate setting and must be consumed by participants on site.</w:t>
      </w:r>
    </w:p>
    <w:p w:rsidR="00E74676" w:rsidRPr="006C3A33" w:rsidRDefault="00E74676" w:rsidP="0015696D">
      <w:pPr>
        <w:pStyle w:val="BodyText"/>
        <w:kinsoku w:val="0"/>
        <w:overflowPunct w:val="0"/>
        <w:spacing w:before="2"/>
        <w:ind w:right="-10"/>
        <w:rPr>
          <w:rFonts w:asciiTheme="minorHAnsi" w:hAnsiTheme="minorHAnsi"/>
        </w:rPr>
      </w:pPr>
    </w:p>
    <w:p w:rsidR="00E74676" w:rsidRPr="006C3A33" w:rsidRDefault="00E74676" w:rsidP="0015696D">
      <w:pPr>
        <w:pStyle w:val="BodyText"/>
        <w:kinsoku w:val="0"/>
        <w:overflowPunct w:val="0"/>
        <w:spacing w:line="242" w:lineRule="auto"/>
        <w:ind w:right="-10"/>
        <w:rPr>
          <w:rFonts w:asciiTheme="minorHAnsi" w:hAnsiTheme="minorHAnsi"/>
        </w:rPr>
      </w:pPr>
      <w:r w:rsidRPr="006C3A33">
        <w:rPr>
          <w:rFonts w:asciiTheme="minorHAnsi" w:hAnsiTheme="minorHAnsi"/>
        </w:rPr>
        <w:t>Pursuant to the waiver authority granted at Section 12(l) of the NSLA, FNS waives the aforementioned requirements to serve meals through the SFSP in a congregate setting this summer. Any other r</w:t>
      </w:r>
      <w:r w:rsidR="007102F2" w:rsidRPr="006C3A33">
        <w:rPr>
          <w:rFonts w:asciiTheme="minorHAnsi" w:hAnsiTheme="minorHAnsi"/>
        </w:rPr>
        <w:t xml:space="preserve">equirements referenced in these </w:t>
      </w:r>
      <w:r w:rsidRPr="006C3A33">
        <w:rPr>
          <w:rFonts w:asciiTheme="minorHAnsi" w:hAnsiTheme="minorHAnsi"/>
        </w:rPr>
        <w:t>provisions remain in effect. FNS also extends the non-congregate feeding flexibilities to SSO for the duration of this waiver.</w:t>
      </w:r>
    </w:p>
    <w:p w:rsidR="00E74676" w:rsidRPr="006C3A33" w:rsidRDefault="00E74676" w:rsidP="0015696D">
      <w:pPr>
        <w:pStyle w:val="BodyText"/>
        <w:kinsoku w:val="0"/>
        <w:overflowPunct w:val="0"/>
        <w:spacing w:before="3"/>
        <w:ind w:right="-10"/>
        <w:rPr>
          <w:rFonts w:asciiTheme="minorHAnsi" w:hAnsiTheme="minorHAnsi"/>
        </w:rPr>
      </w:pPr>
    </w:p>
    <w:p w:rsidR="00E74676" w:rsidRPr="006C3A33" w:rsidRDefault="00E74676" w:rsidP="0015696D">
      <w:pPr>
        <w:pStyle w:val="BodyText"/>
        <w:kinsoku w:val="0"/>
        <w:overflowPunct w:val="0"/>
        <w:spacing w:before="1"/>
        <w:ind w:right="-10"/>
        <w:rPr>
          <w:rFonts w:asciiTheme="minorHAnsi" w:hAnsiTheme="minorHAnsi"/>
          <w:i/>
          <w:iCs/>
        </w:rPr>
      </w:pPr>
      <w:r w:rsidRPr="006C3A33">
        <w:rPr>
          <w:rFonts w:asciiTheme="minorHAnsi" w:hAnsiTheme="minorHAnsi"/>
          <w:i/>
          <w:iCs/>
          <w:u w:val="single"/>
        </w:rPr>
        <w:t>Waiver 2: Parent and Guardian Meal Pick Up during Summer 2022 (SFSP/SSO)</w:t>
      </w:r>
    </w:p>
    <w:p w:rsidR="00E74676" w:rsidRPr="006C3A33" w:rsidRDefault="00E74676" w:rsidP="00500E35">
      <w:pPr>
        <w:pStyle w:val="BodyText"/>
        <w:kinsoku w:val="0"/>
        <w:overflowPunct w:val="0"/>
        <w:spacing w:before="12" w:line="274" w:lineRule="exact"/>
        <w:ind w:right="-10"/>
        <w:rPr>
          <w:rFonts w:asciiTheme="minorHAnsi" w:hAnsiTheme="minorHAnsi"/>
        </w:rPr>
      </w:pPr>
      <w:r w:rsidRPr="006C3A33">
        <w:rPr>
          <w:rFonts w:asciiTheme="minorHAnsi" w:hAnsiTheme="minorHAnsi"/>
        </w:rPr>
        <w:t>Under the NSLA, 42 U.S.C. 1761(f)(3) and program regulations at 7 CFR</w:t>
      </w:r>
      <w:r w:rsidR="00500E35">
        <w:rPr>
          <w:rFonts w:asciiTheme="minorHAnsi" w:hAnsiTheme="minorHAnsi"/>
        </w:rPr>
        <w:t xml:space="preserve"> </w:t>
      </w:r>
      <w:r w:rsidRPr="006C3A33">
        <w:rPr>
          <w:rFonts w:asciiTheme="minorHAnsi" w:hAnsiTheme="minorHAnsi"/>
        </w:rPr>
        <w:t xml:space="preserve">210.10(a), 7 CFR 220.2 </w:t>
      </w:r>
      <w:r w:rsidR="00500E35">
        <w:rPr>
          <w:rFonts w:asciiTheme="minorHAnsi" w:hAnsiTheme="minorHAnsi"/>
        </w:rPr>
        <w:t xml:space="preserve"> </w:t>
      </w:r>
      <w:r w:rsidRPr="006C3A33">
        <w:rPr>
          <w:rFonts w:asciiTheme="minorHAnsi" w:hAnsiTheme="minorHAnsi"/>
        </w:rPr>
        <w:t>Breakfast), 7 CFR 220.8(a), 7 CFR 225.2 (Meals), and 7CFR 225.9(d)(7) meals must be served to eligible children.</w:t>
      </w:r>
    </w:p>
    <w:p w:rsidR="00E74676" w:rsidRPr="006C3A33" w:rsidRDefault="00E74676" w:rsidP="0015696D">
      <w:pPr>
        <w:pStyle w:val="BodyText"/>
        <w:kinsoku w:val="0"/>
        <w:overflowPunct w:val="0"/>
        <w:spacing w:before="7"/>
        <w:ind w:right="-10"/>
        <w:rPr>
          <w:rFonts w:asciiTheme="minorHAnsi" w:hAnsiTheme="minorHAnsi"/>
        </w:rPr>
      </w:pPr>
    </w:p>
    <w:p w:rsidR="00E74676" w:rsidRPr="006C3A33" w:rsidRDefault="00E74676" w:rsidP="0015696D">
      <w:pPr>
        <w:pStyle w:val="BodyText"/>
        <w:kinsoku w:val="0"/>
        <w:overflowPunct w:val="0"/>
        <w:spacing w:before="1" w:line="274" w:lineRule="exact"/>
        <w:ind w:right="-10"/>
        <w:rPr>
          <w:rFonts w:asciiTheme="minorHAnsi" w:hAnsiTheme="minorHAnsi"/>
        </w:rPr>
      </w:pPr>
      <w:r w:rsidRPr="006C3A33">
        <w:rPr>
          <w:rFonts w:asciiTheme="minorHAnsi" w:hAnsiTheme="minorHAnsi"/>
        </w:rPr>
        <w:t>Pursuant to the waiver authority granted at</w:t>
      </w:r>
      <w:r w:rsidR="007102F2" w:rsidRPr="006C3A33">
        <w:rPr>
          <w:rFonts w:asciiTheme="minorHAnsi" w:hAnsiTheme="minorHAnsi"/>
        </w:rPr>
        <w:t xml:space="preserve"> Section 12(l) of the NSLA, FNS </w:t>
      </w:r>
      <w:r w:rsidRPr="006C3A33">
        <w:rPr>
          <w:rFonts w:asciiTheme="minorHAnsi" w:hAnsiTheme="minorHAnsi"/>
        </w:rPr>
        <w:t>waives the aforementioned requirement that meals may only be served directly to children this summer. Any other requirements</w:t>
      </w:r>
      <w:r w:rsidR="007102F2" w:rsidRPr="006C3A33">
        <w:rPr>
          <w:rFonts w:asciiTheme="minorHAnsi" w:hAnsiTheme="minorHAnsi"/>
        </w:rPr>
        <w:t xml:space="preserve"> referenced in these provisions </w:t>
      </w:r>
      <w:r w:rsidRPr="006C3A33">
        <w:rPr>
          <w:rFonts w:asciiTheme="minorHAnsi" w:hAnsiTheme="minorHAnsi"/>
        </w:rPr>
        <w:t xml:space="preserve">remain in </w:t>
      </w:r>
      <w:r w:rsidRPr="006C3A33">
        <w:rPr>
          <w:rFonts w:asciiTheme="minorHAnsi" w:hAnsiTheme="minorHAnsi"/>
          <w:spacing w:val="6"/>
        </w:rPr>
        <w:t xml:space="preserve">effect. </w:t>
      </w:r>
      <w:r w:rsidRPr="006C3A33">
        <w:rPr>
          <w:rFonts w:asciiTheme="minorHAnsi" w:hAnsiTheme="minorHAnsi"/>
        </w:rPr>
        <w:t xml:space="preserve">FNS also </w:t>
      </w:r>
      <w:r w:rsidRPr="006C3A33">
        <w:rPr>
          <w:rFonts w:asciiTheme="minorHAnsi" w:hAnsiTheme="minorHAnsi"/>
          <w:spacing w:val="4"/>
        </w:rPr>
        <w:t xml:space="preserve">extends </w:t>
      </w:r>
      <w:r w:rsidRPr="006C3A33">
        <w:rPr>
          <w:rFonts w:asciiTheme="minorHAnsi" w:hAnsiTheme="minorHAnsi"/>
        </w:rPr>
        <w:t xml:space="preserve">the </w:t>
      </w:r>
      <w:r w:rsidRPr="006C3A33">
        <w:rPr>
          <w:rFonts w:asciiTheme="minorHAnsi" w:hAnsiTheme="minorHAnsi"/>
          <w:spacing w:val="4"/>
        </w:rPr>
        <w:t xml:space="preserve">parent and </w:t>
      </w:r>
      <w:r w:rsidRPr="006C3A33">
        <w:rPr>
          <w:rFonts w:asciiTheme="minorHAnsi" w:hAnsiTheme="minorHAnsi"/>
        </w:rPr>
        <w:t xml:space="preserve">guardian </w:t>
      </w:r>
      <w:r w:rsidRPr="006C3A33">
        <w:rPr>
          <w:rFonts w:asciiTheme="minorHAnsi" w:hAnsiTheme="minorHAnsi"/>
          <w:spacing w:val="2"/>
        </w:rPr>
        <w:t xml:space="preserve">pick </w:t>
      </w:r>
      <w:r w:rsidRPr="006C3A33">
        <w:rPr>
          <w:rFonts w:asciiTheme="minorHAnsi" w:hAnsiTheme="minorHAnsi"/>
          <w:spacing w:val="3"/>
        </w:rPr>
        <w:t xml:space="preserve">up </w:t>
      </w:r>
      <w:r w:rsidRPr="006C3A33">
        <w:rPr>
          <w:rFonts w:asciiTheme="minorHAnsi" w:hAnsiTheme="minorHAnsi"/>
        </w:rPr>
        <w:t xml:space="preserve">flexibility to </w:t>
      </w:r>
      <w:r w:rsidRPr="006C3A33">
        <w:rPr>
          <w:rFonts w:asciiTheme="minorHAnsi" w:hAnsiTheme="minorHAnsi"/>
          <w:spacing w:val="-4"/>
        </w:rPr>
        <w:t xml:space="preserve">SSO </w:t>
      </w:r>
      <w:r w:rsidRPr="006C3A33">
        <w:rPr>
          <w:rFonts w:asciiTheme="minorHAnsi" w:hAnsiTheme="minorHAnsi"/>
          <w:spacing w:val="7"/>
        </w:rPr>
        <w:t xml:space="preserve">for </w:t>
      </w:r>
      <w:r w:rsidRPr="006C3A33">
        <w:rPr>
          <w:rFonts w:asciiTheme="minorHAnsi" w:hAnsiTheme="minorHAnsi"/>
        </w:rPr>
        <w:t xml:space="preserve">the </w:t>
      </w:r>
      <w:r w:rsidRPr="006C3A33">
        <w:rPr>
          <w:rFonts w:asciiTheme="minorHAnsi" w:hAnsiTheme="minorHAnsi"/>
          <w:spacing w:val="2"/>
        </w:rPr>
        <w:t xml:space="preserve">duration </w:t>
      </w:r>
      <w:r w:rsidRPr="006C3A33">
        <w:rPr>
          <w:rFonts w:asciiTheme="minorHAnsi" w:hAnsiTheme="minorHAnsi"/>
          <w:spacing w:val="3"/>
        </w:rPr>
        <w:t xml:space="preserve">of </w:t>
      </w:r>
      <w:r w:rsidRPr="006C3A33">
        <w:rPr>
          <w:rFonts w:asciiTheme="minorHAnsi" w:hAnsiTheme="minorHAnsi"/>
        </w:rPr>
        <w:t xml:space="preserve">this </w:t>
      </w:r>
      <w:r w:rsidRPr="006C3A33">
        <w:rPr>
          <w:rFonts w:asciiTheme="minorHAnsi" w:hAnsiTheme="minorHAnsi"/>
          <w:spacing w:val="2"/>
        </w:rPr>
        <w:t xml:space="preserve">waiver. </w:t>
      </w:r>
      <w:r w:rsidRPr="006C3A33">
        <w:rPr>
          <w:rFonts w:asciiTheme="minorHAnsi" w:hAnsiTheme="minorHAnsi"/>
        </w:rPr>
        <w:t>S</w:t>
      </w:r>
      <w:r w:rsidRPr="006C3A33">
        <w:rPr>
          <w:rFonts w:asciiTheme="minorHAnsi" w:hAnsiTheme="minorHAnsi"/>
          <w:color w:val="1B1B1B"/>
        </w:rPr>
        <w:t xml:space="preserve">tate </w:t>
      </w:r>
      <w:r w:rsidRPr="006C3A33">
        <w:rPr>
          <w:rFonts w:asciiTheme="minorHAnsi" w:hAnsiTheme="minorHAnsi"/>
          <w:color w:val="1B1B1B"/>
          <w:spacing w:val="2"/>
        </w:rPr>
        <w:t xml:space="preserve">agencies </w:t>
      </w:r>
      <w:r w:rsidRPr="006C3A33">
        <w:rPr>
          <w:rFonts w:asciiTheme="minorHAnsi" w:hAnsiTheme="minorHAnsi"/>
          <w:color w:val="1B1B1B"/>
        </w:rPr>
        <w:t xml:space="preserve">must </w:t>
      </w:r>
      <w:r w:rsidRPr="006C3A33">
        <w:rPr>
          <w:rFonts w:asciiTheme="minorHAnsi" w:hAnsiTheme="minorHAnsi"/>
          <w:color w:val="1B1B1B"/>
          <w:spacing w:val="5"/>
        </w:rPr>
        <w:t xml:space="preserve">have </w:t>
      </w:r>
      <w:r w:rsidRPr="006C3A33">
        <w:rPr>
          <w:rFonts w:asciiTheme="minorHAnsi" w:hAnsiTheme="minorHAnsi"/>
          <w:color w:val="1B1B1B"/>
        </w:rPr>
        <w:t xml:space="preserve">a </w:t>
      </w:r>
      <w:r w:rsidRPr="006C3A33">
        <w:rPr>
          <w:rFonts w:asciiTheme="minorHAnsi" w:hAnsiTheme="minorHAnsi"/>
          <w:color w:val="1B1B1B"/>
          <w:spacing w:val="2"/>
        </w:rPr>
        <w:t xml:space="preserve">plan for </w:t>
      </w:r>
      <w:r w:rsidRPr="006C3A33">
        <w:rPr>
          <w:rFonts w:asciiTheme="minorHAnsi" w:hAnsiTheme="minorHAnsi"/>
          <w:color w:val="1B1B1B"/>
        </w:rPr>
        <w:t xml:space="preserve">ensuring </w:t>
      </w:r>
      <w:r w:rsidRPr="006C3A33">
        <w:rPr>
          <w:rFonts w:asciiTheme="minorHAnsi" w:hAnsiTheme="minorHAnsi"/>
          <w:color w:val="1B1B1B"/>
          <w:spacing w:val="2"/>
        </w:rPr>
        <w:t xml:space="preserve">that </w:t>
      </w:r>
      <w:r w:rsidRPr="006C3A33">
        <w:rPr>
          <w:rFonts w:asciiTheme="minorHAnsi" w:hAnsiTheme="minorHAnsi"/>
          <w:color w:val="1B1B1B"/>
        </w:rPr>
        <w:t xml:space="preserve">program </w:t>
      </w:r>
      <w:r w:rsidRPr="006C3A33">
        <w:rPr>
          <w:rFonts w:asciiTheme="minorHAnsi" w:hAnsiTheme="minorHAnsi"/>
          <w:color w:val="1B1B1B"/>
          <w:spacing w:val="3"/>
        </w:rPr>
        <w:t xml:space="preserve">operators </w:t>
      </w:r>
      <w:r w:rsidRPr="006C3A33">
        <w:rPr>
          <w:rFonts w:asciiTheme="minorHAnsi" w:hAnsiTheme="minorHAnsi"/>
          <w:color w:val="1B1B1B"/>
        </w:rPr>
        <w:t xml:space="preserve">are </w:t>
      </w:r>
      <w:r w:rsidRPr="006C3A33">
        <w:rPr>
          <w:rFonts w:asciiTheme="minorHAnsi" w:hAnsiTheme="minorHAnsi"/>
          <w:color w:val="1B1B1B"/>
          <w:spacing w:val="2"/>
        </w:rPr>
        <w:t xml:space="preserve">able </w:t>
      </w:r>
      <w:r w:rsidRPr="006C3A33">
        <w:rPr>
          <w:rFonts w:asciiTheme="minorHAnsi" w:hAnsiTheme="minorHAnsi"/>
          <w:color w:val="1B1B1B"/>
        </w:rPr>
        <w:t xml:space="preserve">to maintain accountability </w:t>
      </w:r>
      <w:r w:rsidRPr="006C3A33">
        <w:rPr>
          <w:rFonts w:asciiTheme="minorHAnsi" w:hAnsiTheme="minorHAnsi"/>
          <w:color w:val="1B1B1B"/>
          <w:spacing w:val="4"/>
        </w:rPr>
        <w:t xml:space="preserve">and </w:t>
      </w:r>
      <w:r w:rsidRPr="006C3A33">
        <w:rPr>
          <w:rFonts w:asciiTheme="minorHAnsi" w:hAnsiTheme="minorHAnsi"/>
          <w:color w:val="1B1B1B"/>
        </w:rPr>
        <w:t xml:space="preserve">program integrity. This </w:t>
      </w:r>
      <w:r w:rsidRPr="006C3A33">
        <w:rPr>
          <w:rFonts w:asciiTheme="minorHAnsi" w:hAnsiTheme="minorHAnsi"/>
          <w:color w:val="1B1B1B"/>
          <w:spacing w:val="3"/>
        </w:rPr>
        <w:t xml:space="preserve">includes </w:t>
      </w:r>
      <w:r w:rsidRPr="006C3A33">
        <w:rPr>
          <w:rFonts w:asciiTheme="minorHAnsi" w:hAnsiTheme="minorHAnsi"/>
          <w:color w:val="1B1B1B"/>
        </w:rPr>
        <w:t xml:space="preserve">putting in </w:t>
      </w:r>
      <w:r w:rsidRPr="006C3A33">
        <w:rPr>
          <w:rFonts w:asciiTheme="minorHAnsi" w:hAnsiTheme="minorHAnsi"/>
          <w:color w:val="1B1B1B"/>
          <w:spacing w:val="2"/>
        </w:rPr>
        <w:t xml:space="preserve">place </w:t>
      </w:r>
      <w:r w:rsidRPr="006C3A33">
        <w:rPr>
          <w:rFonts w:asciiTheme="minorHAnsi" w:hAnsiTheme="minorHAnsi"/>
          <w:color w:val="1B1B1B"/>
          <w:spacing w:val="3"/>
        </w:rPr>
        <w:t xml:space="preserve">processes </w:t>
      </w:r>
      <w:r w:rsidRPr="006C3A33">
        <w:rPr>
          <w:rFonts w:asciiTheme="minorHAnsi" w:hAnsiTheme="minorHAnsi"/>
          <w:color w:val="1B1B1B"/>
        </w:rPr>
        <w:t xml:space="preserve">to ensure </w:t>
      </w:r>
      <w:r w:rsidRPr="006C3A33">
        <w:rPr>
          <w:rFonts w:asciiTheme="minorHAnsi" w:hAnsiTheme="minorHAnsi"/>
          <w:color w:val="1B1B1B"/>
          <w:spacing w:val="2"/>
        </w:rPr>
        <w:t xml:space="preserve">that meals </w:t>
      </w:r>
      <w:r w:rsidRPr="006C3A33">
        <w:rPr>
          <w:rFonts w:asciiTheme="minorHAnsi" w:hAnsiTheme="minorHAnsi"/>
          <w:color w:val="1B1B1B"/>
        </w:rPr>
        <w:t xml:space="preserve">are distributed </w:t>
      </w:r>
      <w:r w:rsidRPr="006C3A33">
        <w:rPr>
          <w:rFonts w:asciiTheme="minorHAnsi" w:hAnsiTheme="minorHAnsi"/>
          <w:color w:val="1B1B1B"/>
          <w:spacing w:val="2"/>
        </w:rPr>
        <w:t xml:space="preserve">only </w:t>
      </w:r>
      <w:r w:rsidRPr="006C3A33">
        <w:rPr>
          <w:rFonts w:asciiTheme="minorHAnsi" w:hAnsiTheme="minorHAnsi"/>
          <w:color w:val="1B1B1B"/>
        </w:rPr>
        <w:t>to</w:t>
      </w:r>
      <w:r w:rsidRPr="006C3A33">
        <w:rPr>
          <w:rFonts w:asciiTheme="minorHAnsi" w:hAnsiTheme="minorHAnsi"/>
          <w:color w:val="1B1B1B"/>
          <w:spacing w:val="-5"/>
        </w:rPr>
        <w:t xml:space="preserve"> </w:t>
      </w:r>
      <w:r w:rsidRPr="006C3A33">
        <w:rPr>
          <w:rFonts w:asciiTheme="minorHAnsi" w:hAnsiTheme="minorHAnsi"/>
          <w:color w:val="1B1B1B"/>
          <w:spacing w:val="3"/>
        </w:rPr>
        <w:t>parents</w:t>
      </w:r>
      <w:r w:rsidRPr="006C3A33">
        <w:rPr>
          <w:rFonts w:asciiTheme="minorHAnsi" w:hAnsiTheme="minorHAnsi"/>
          <w:color w:val="1B1B1B"/>
          <w:spacing w:val="-9"/>
        </w:rPr>
        <w:t xml:space="preserve"> </w:t>
      </w:r>
      <w:r w:rsidRPr="006C3A33">
        <w:rPr>
          <w:rFonts w:asciiTheme="minorHAnsi" w:hAnsiTheme="minorHAnsi"/>
          <w:color w:val="1B1B1B"/>
          <w:spacing w:val="3"/>
        </w:rPr>
        <w:t>or</w:t>
      </w:r>
      <w:r w:rsidRPr="006C3A33">
        <w:rPr>
          <w:rFonts w:asciiTheme="minorHAnsi" w:hAnsiTheme="minorHAnsi"/>
          <w:color w:val="1B1B1B"/>
          <w:spacing w:val="-11"/>
        </w:rPr>
        <w:t xml:space="preserve"> </w:t>
      </w:r>
      <w:r w:rsidRPr="006C3A33">
        <w:rPr>
          <w:rFonts w:asciiTheme="minorHAnsi" w:hAnsiTheme="minorHAnsi"/>
          <w:color w:val="1B1B1B"/>
          <w:spacing w:val="2"/>
        </w:rPr>
        <w:t>guardians</w:t>
      </w:r>
      <w:r w:rsidRPr="006C3A33">
        <w:rPr>
          <w:rFonts w:asciiTheme="minorHAnsi" w:hAnsiTheme="minorHAnsi"/>
          <w:color w:val="1B1B1B"/>
          <w:spacing w:val="-9"/>
        </w:rPr>
        <w:t xml:space="preserve"> </w:t>
      </w:r>
      <w:r w:rsidRPr="006C3A33">
        <w:rPr>
          <w:rFonts w:asciiTheme="minorHAnsi" w:hAnsiTheme="minorHAnsi"/>
          <w:color w:val="1B1B1B"/>
          <w:spacing w:val="3"/>
        </w:rPr>
        <w:t>of</w:t>
      </w:r>
      <w:r w:rsidRPr="006C3A33">
        <w:rPr>
          <w:rFonts w:asciiTheme="minorHAnsi" w:hAnsiTheme="minorHAnsi"/>
          <w:color w:val="1B1B1B"/>
          <w:spacing w:val="5"/>
        </w:rPr>
        <w:t xml:space="preserve"> </w:t>
      </w:r>
      <w:r w:rsidRPr="006C3A33">
        <w:rPr>
          <w:rFonts w:asciiTheme="minorHAnsi" w:hAnsiTheme="minorHAnsi"/>
          <w:color w:val="1B1B1B"/>
        </w:rPr>
        <w:t>eligible</w:t>
      </w:r>
      <w:r w:rsidRPr="006C3A33">
        <w:rPr>
          <w:rFonts w:asciiTheme="minorHAnsi" w:hAnsiTheme="minorHAnsi"/>
          <w:color w:val="1B1B1B"/>
          <w:spacing w:val="-6"/>
        </w:rPr>
        <w:t xml:space="preserve"> </w:t>
      </w:r>
      <w:r w:rsidRPr="006C3A33">
        <w:rPr>
          <w:rFonts w:asciiTheme="minorHAnsi" w:hAnsiTheme="minorHAnsi"/>
          <w:color w:val="1B1B1B"/>
          <w:spacing w:val="2"/>
        </w:rPr>
        <w:t>children,</w:t>
      </w:r>
      <w:r w:rsidRPr="006C3A33">
        <w:rPr>
          <w:rFonts w:asciiTheme="minorHAnsi" w:hAnsiTheme="minorHAnsi"/>
          <w:color w:val="1B1B1B"/>
          <w:spacing w:val="-8"/>
        </w:rPr>
        <w:t xml:space="preserve"> </w:t>
      </w:r>
      <w:r w:rsidRPr="006C3A33">
        <w:rPr>
          <w:rFonts w:asciiTheme="minorHAnsi" w:hAnsiTheme="minorHAnsi"/>
          <w:color w:val="1B1B1B"/>
          <w:spacing w:val="4"/>
        </w:rPr>
        <w:t>and</w:t>
      </w:r>
      <w:r w:rsidRPr="006C3A33">
        <w:rPr>
          <w:rFonts w:asciiTheme="minorHAnsi" w:hAnsiTheme="minorHAnsi"/>
          <w:color w:val="1B1B1B"/>
          <w:spacing w:val="-19"/>
        </w:rPr>
        <w:t xml:space="preserve"> </w:t>
      </w:r>
      <w:r w:rsidRPr="006C3A33">
        <w:rPr>
          <w:rFonts w:asciiTheme="minorHAnsi" w:hAnsiTheme="minorHAnsi"/>
          <w:color w:val="1B1B1B"/>
          <w:spacing w:val="2"/>
        </w:rPr>
        <w:t>that</w:t>
      </w:r>
      <w:r w:rsidRPr="006C3A33">
        <w:rPr>
          <w:rFonts w:asciiTheme="minorHAnsi" w:hAnsiTheme="minorHAnsi"/>
          <w:color w:val="1B1B1B"/>
          <w:spacing w:val="-15"/>
        </w:rPr>
        <w:t xml:space="preserve"> </w:t>
      </w:r>
      <w:r w:rsidRPr="006C3A33">
        <w:rPr>
          <w:rFonts w:asciiTheme="minorHAnsi" w:hAnsiTheme="minorHAnsi"/>
          <w:color w:val="1B1B1B"/>
        </w:rPr>
        <w:t>duplicate</w:t>
      </w:r>
      <w:r w:rsidRPr="006C3A33">
        <w:rPr>
          <w:rFonts w:asciiTheme="minorHAnsi" w:hAnsiTheme="minorHAnsi"/>
          <w:color w:val="1B1B1B"/>
          <w:spacing w:val="-6"/>
        </w:rPr>
        <w:t xml:space="preserve"> </w:t>
      </w:r>
      <w:r w:rsidRPr="006C3A33">
        <w:rPr>
          <w:rFonts w:asciiTheme="minorHAnsi" w:hAnsiTheme="minorHAnsi"/>
          <w:color w:val="1B1B1B"/>
          <w:spacing w:val="-5"/>
        </w:rPr>
        <w:t>SFSP</w:t>
      </w:r>
      <w:r w:rsidRPr="006C3A33">
        <w:rPr>
          <w:rFonts w:asciiTheme="minorHAnsi" w:hAnsiTheme="minorHAnsi"/>
          <w:color w:val="1B1B1B"/>
          <w:spacing w:val="-17"/>
        </w:rPr>
        <w:t xml:space="preserve"> </w:t>
      </w:r>
      <w:r w:rsidRPr="006C3A33">
        <w:rPr>
          <w:rFonts w:asciiTheme="minorHAnsi" w:hAnsiTheme="minorHAnsi"/>
          <w:color w:val="1B1B1B"/>
          <w:spacing w:val="3"/>
        </w:rPr>
        <w:t>or</w:t>
      </w:r>
      <w:r w:rsidRPr="006C3A33">
        <w:rPr>
          <w:rFonts w:asciiTheme="minorHAnsi" w:hAnsiTheme="minorHAnsi"/>
          <w:color w:val="1B1B1B"/>
          <w:spacing w:val="-11"/>
        </w:rPr>
        <w:t xml:space="preserve"> </w:t>
      </w:r>
      <w:r w:rsidRPr="006C3A33">
        <w:rPr>
          <w:rFonts w:asciiTheme="minorHAnsi" w:hAnsiTheme="minorHAnsi"/>
          <w:color w:val="1B1B1B"/>
          <w:spacing w:val="-4"/>
        </w:rPr>
        <w:t>SSO</w:t>
      </w:r>
      <w:r w:rsidRPr="006C3A33">
        <w:rPr>
          <w:rFonts w:asciiTheme="minorHAnsi" w:hAnsiTheme="minorHAnsi"/>
          <w:color w:val="1B1B1B"/>
          <w:spacing w:val="7"/>
        </w:rPr>
        <w:t xml:space="preserve"> </w:t>
      </w:r>
      <w:r w:rsidRPr="006C3A33">
        <w:rPr>
          <w:rFonts w:asciiTheme="minorHAnsi" w:hAnsiTheme="minorHAnsi"/>
          <w:color w:val="1B1B1B"/>
          <w:spacing w:val="2"/>
        </w:rPr>
        <w:t xml:space="preserve">meals </w:t>
      </w:r>
      <w:r w:rsidRPr="006C3A33">
        <w:rPr>
          <w:rFonts w:asciiTheme="minorHAnsi" w:hAnsiTheme="minorHAnsi"/>
          <w:color w:val="1B1B1B"/>
        </w:rPr>
        <w:t xml:space="preserve">are </w:t>
      </w:r>
      <w:r w:rsidRPr="006C3A33">
        <w:rPr>
          <w:rFonts w:asciiTheme="minorHAnsi" w:hAnsiTheme="minorHAnsi"/>
          <w:color w:val="1B1B1B"/>
          <w:spacing w:val="4"/>
        </w:rPr>
        <w:t xml:space="preserve">not </w:t>
      </w:r>
      <w:r w:rsidRPr="006C3A33">
        <w:rPr>
          <w:rFonts w:asciiTheme="minorHAnsi" w:hAnsiTheme="minorHAnsi"/>
          <w:color w:val="1B1B1B"/>
        </w:rPr>
        <w:t xml:space="preserve">distributed to </w:t>
      </w:r>
      <w:r w:rsidRPr="006C3A33">
        <w:rPr>
          <w:rFonts w:asciiTheme="minorHAnsi" w:hAnsiTheme="minorHAnsi"/>
          <w:color w:val="1B1B1B"/>
          <w:spacing w:val="4"/>
        </w:rPr>
        <w:t>any</w:t>
      </w:r>
      <w:r w:rsidRPr="006C3A33">
        <w:rPr>
          <w:rFonts w:asciiTheme="minorHAnsi" w:hAnsiTheme="minorHAnsi"/>
          <w:color w:val="1B1B1B"/>
          <w:spacing w:val="-40"/>
        </w:rPr>
        <w:t xml:space="preserve"> </w:t>
      </w:r>
      <w:r w:rsidRPr="006C3A33">
        <w:rPr>
          <w:rFonts w:asciiTheme="minorHAnsi" w:hAnsiTheme="minorHAnsi"/>
          <w:color w:val="1B1B1B"/>
          <w:spacing w:val="3"/>
        </w:rPr>
        <w:t>child.</w:t>
      </w:r>
    </w:p>
    <w:p w:rsidR="008B1735" w:rsidRPr="006C3A33" w:rsidRDefault="008B1735" w:rsidP="0015696D">
      <w:pPr>
        <w:pStyle w:val="BodyText"/>
        <w:kinsoku w:val="0"/>
        <w:overflowPunct w:val="0"/>
        <w:spacing w:before="8"/>
        <w:ind w:right="-10"/>
        <w:rPr>
          <w:rFonts w:asciiTheme="minorHAnsi" w:hAnsiTheme="minorHAnsi"/>
        </w:rPr>
      </w:pPr>
    </w:p>
    <w:p w:rsidR="00E74676" w:rsidRPr="006C3A33" w:rsidRDefault="00E74676" w:rsidP="0015696D">
      <w:pPr>
        <w:pStyle w:val="Heading1"/>
        <w:kinsoku w:val="0"/>
        <w:overflowPunct w:val="0"/>
        <w:ind w:left="90" w:right="-10"/>
        <w:rPr>
          <w:rFonts w:asciiTheme="minorHAnsi" w:hAnsiTheme="minorHAnsi"/>
          <w:sz w:val="32"/>
          <w:u w:val="none"/>
        </w:rPr>
      </w:pPr>
      <w:r w:rsidRPr="006C3A33">
        <w:rPr>
          <w:rFonts w:asciiTheme="minorHAnsi" w:hAnsiTheme="minorHAnsi"/>
          <w:sz w:val="32"/>
          <w:u w:color="000000"/>
        </w:rPr>
        <w:t xml:space="preserve">School </w:t>
      </w:r>
      <w:r w:rsidRPr="006C3A33">
        <w:rPr>
          <w:rFonts w:asciiTheme="minorHAnsi" w:hAnsiTheme="minorHAnsi"/>
          <w:spacing w:val="3"/>
          <w:sz w:val="32"/>
          <w:u w:color="000000"/>
        </w:rPr>
        <w:t xml:space="preserve">Year </w:t>
      </w:r>
      <w:r w:rsidRPr="006C3A33">
        <w:rPr>
          <w:rFonts w:asciiTheme="minorHAnsi" w:hAnsiTheme="minorHAnsi"/>
          <w:sz w:val="32"/>
          <w:u w:color="000000"/>
        </w:rPr>
        <w:t>Operations</w:t>
      </w:r>
      <w:r w:rsidRPr="006C3A33">
        <w:rPr>
          <w:rFonts w:asciiTheme="minorHAnsi" w:hAnsiTheme="minorHAnsi"/>
          <w:spacing w:val="1"/>
          <w:sz w:val="32"/>
          <w:u w:color="000000"/>
        </w:rPr>
        <w:t xml:space="preserve"> </w:t>
      </w:r>
      <w:r w:rsidRPr="006C3A33">
        <w:rPr>
          <w:rFonts w:asciiTheme="minorHAnsi" w:hAnsiTheme="minorHAnsi"/>
          <w:spacing w:val="-3"/>
          <w:sz w:val="32"/>
          <w:u w:color="000000"/>
        </w:rPr>
        <w:t>(NSLP/SBP)</w:t>
      </w:r>
    </w:p>
    <w:p w:rsidR="00E74676" w:rsidRPr="006C3A33" w:rsidRDefault="00137DDF" w:rsidP="0015696D">
      <w:pPr>
        <w:pStyle w:val="BodyText"/>
        <w:kinsoku w:val="0"/>
        <w:overflowPunct w:val="0"/>
        <w:spacing w:line="242" w:lineRule="auto"/>
        <w:ind w:left="90" w:right="-10"/>
        <w:rPr>
          <w:rFonts w:asciiTheme="minorHAnsi" w:hAnsiTheme="minorHAnsi"/>
          <w:color w:val="1B1B1B"/>
        </w:rPr>
      </w:pPr>
      <w:r w:rsidRPr="00137DDF">
        <w:rPr>
          <w:rFonts w:asciiTheme="minorHAnsi" w:hAnsiTheme="minorHAnsi"/>
          <w:b/>
          <w:i/>
          <w:color w:val="1B1B1B"/>
        </w:rPr>
        <w:t xml:space="preserve">Effective </w:t>
      </w:r>
      <w:r w:rsidR="00E74676" w:rsidRPr="003B4D5B">
        <w:rPr>
          <w:rFonts w:asciiTheme="minorHAnsi" w:hAnsiTheme="minorHAnsi"/>
          <w:b/>
          <w:i/>
          <w:color w:val="1B1B1B"/>
        </w:rPr>
        <w:t>through June 30, 2023</w:t>
      </w:r>
      <w:r>
        <w:rPr>
          <w:rFonts w:asciiTheme="minorHAnsi" w:hAnsiTheme="minorHAnsi"/>
          <w:color w:val="1B1B1B"/>
        </w:rPr>
        <w:t>. F</w:t>
      </w:r>
      <w:r w:rsidR="00E74676" w:rsidRPr="006C3A33">
        <w:rPr>
          <w:rFonts w:asciiTheme="minorHAnsi" w:hAnsiTheme="minorHAnsi"/>
          <w:color w:val="1B1B1B"/>
        </w:rPr>
        <w:t>lexibilities under these waivers should only be</w:t>
      </w:r>
      <w:r w:rsidR="003B4D5B">
        <w:rPr>
          <w:rFonts w:asciiTheme="minorHAnsi" w:hAnsiTheme="minorHAnsi"/>
          <w:color w:val="1B1B1B"/>
        </w:rPr>
        <w:t xml:space="preserve"> </w:t>
      </w:r>
      <w:r w:rsidR="00E74676" w:rsidRPr="006C3A33">
        <w:rPr>
          <w:rFonts w:asciiTheme="minorHAnsi" w:hAnsiTheme="minorHAnsi"/>
          <w:color w:val="1B1B1B"/>
        </w:rPr>
        <w:t>implemented by Program operators when congregate meal service is limited by the COVID-19 pandemic.</w:t>
      </w:r>
    </w:p>
    <w:p w:rsidR="00E74676" w:rsidRPr="006C3A33" w:rsidRDefault="00E74676" w:rsidP="0015696D">
      <w:pPr>
        <w:pStyle w:val="BodyText"/>
        <w:kinsoku w:val="0"/>
        <w:overflowPunct w:val="0"/>
        <w:spacing w:before="10"/>
        <w:ind w:right="-10"/>
        <w:rPr>
          <w:rFonts w:asciiTheme="minorHAnsi" w:hAnsiTheme="minorHAnsi"/>
        </w:rPr>
      </w:pPr>
    </w:p>
    <w:p w:rsidR="00E74676" w:rsidRPr="006C3A33" w:rsidRDefault="00E74676" w:rsidP="0015696D">
      <w:pPr>
        <w:pStyle w:val="BodyText"/>
        <w:kinsoku w:val="0"/>
        <w:overflowPunct w:val="0"/>
        <w:ind w:right="-10"/>
        <w:rPr>
          <w:rFonts w:asciiTheme="minorHAnsi" w:hAnsiTheme="minorHAnsi"/>
          <w:i/>
          <w:iCs/>
        </w:rPr>
      </w:pPr>
      <w:r w:rsidRPr="006C3A33">
        <w:rPr>
          <w:rFonts w:asciiTheme="minorHAnsi" w:hAnsiTheme="minorHAnsi"/>
          <w:i/>
          <w:iCs/>
          <w:u w:val="single" w:color="000000"/>
        </w:rPr>
        <w:t>Waiver 3: Non-Congregate Meal Service (NSLP and SBP)</w:t>
      </w:r>
    </w:p>
    <w:p w:rsidR="00E74676" w:rsidRPr="006C3A33" w:rsidRDefault="00E74676" w:rsidP="0015696D">
      <w:pPr>
        <w:pStyle w:val="BodyText"/>
        <w:kinsoku w:val="0"/>
        <w:overflowPunct w:val="0"/>
        <w:spacing w:before="15" w:line="237" w:lineRule="auto"/>
        <w:ind w:right="-10"/>
        <w:rPr>
          <w:rFonts w:asciiTheme="minorHAnsi" w:hAnsiTheme="minorHAnsi"/>
        </w:rPr>
      </w:pPr>
      <w:r w:rsidRPr="006C3A33">
        <w:rPr>
          <w:rFonts w:asciiTheme="minorHAnsi" w:hAnsiTheme="minorHAnsi"/>
        </w:rPr>
        <w:t>Under the NSLA, 42 U.S.C. 1753(b)(1)(A), the Child Nutrition Act, 42 U.S.C. 1773(b)(1)(A), NSLP and SBP meals must be served in a congregate setting and must be consumed by participants on site.</w:t>
      </w:r>
    </w:p>
    <w:p w:rsidR="00E74676" w:rsidRPr="006C3A33" w:rsidRDefault="00E74676" w:rsidP="0015696D">
      <w:pPr>
        <w:pStyle w:val="BodyText"/>
        <w:kinsoku w:val="0"/>
        <w:overflowPunct w:val="0"/>
        <w:spacing w:before="8"/>
        <w:ind w:left="720" w:right="-10"/>
        <w:rPr>
          <w:rFonts w:asciiTheme="minorHAnsi" w:hAnsiTheme="minorHAnsi"/>
        </w:rPr>
      </w:pPr>
    </w:p>
    <w:p w:rsidR="00E74676" w:rsidRPr="006C3A33" w:rsidRDefault="00E74676" w:rsidP="0015696D">
      <w:pPr>
        <w:pStyle w:val="BodyText"/>
        <w:kinsoku w:val="0"/>
        <w:overflowPunct w:val="0"/>
        <w:spacing w:line="237" w:lineRule="auto"/>
        <w:ind w:right="-10"/>
        <w:rPr>
          <w:rFonts w:asciiTheme="minorHAnsi" w:hAnsiTheme="minorHAnsi"/>
        </w:rPr>
      </w:pPr>
      <w:r w:rsidRPr="006C3A33">
        <w:rPr>
          <w:rFonts w:asciiTheme="minorHAnsi" w:hAnsiTheme="minorHAnsi"/>
        </w:rPr>
        <w:lastRenderedPageBreak/>
        <w:t>Pursuant to the waiver authority granted at Section 12(l) of the NSLA, FNS waives the aforementioned requirements to serve meals through the NSLP and SBP in a congregate setting. Any other r</w:t>
      </w:r>
      <w:r w:rsidR="007102F2" w:rsidRPr="006C3A33">
        <w:rPr>
          <w:rFonts w:asciiTheme="minorHAnsi" w:hAnsiTheme="minorHAnsi"/>
        </w:rPr>
        <w:t xml:space="preserve">equirements referenced in these </w:t>
      </w:r>
      <w:r w:rsidRPr="006C3A33">
        <w:rPr>
          <w:rFonts w:asciiTheme="minorHAnsi" w:hAnsiTheme="minorHAnsi"/>
        </w:rPr>
        <w:t>provisions remain in effect.</w:t>
      </w:r>
    </w:p>
    <w:p w:rsidR="00E74676" w:rsidRPr="006C3A33" w:rsidRDefault="00E74676" w:rsidP="0015696D">
      <w:pPr>
        <w:pStyle w:val="BodyText"/>
        <w:kinsoku w:val="0"/>
        <w:overflowPunct w:val="0"/>
        <w:spacing w:before="214" w:line="274" w:lineRule="exact"/>
        <w:ind w:right="-10"/>
        <w:rPr>
          <w:rFonts w:asciiTheme="minorHAnsi" w:hAnsiTheme="minorHAnsi"/>
          <w:i/>
          <w:iCs/>
        </w:rPr>
      </w:pPr>
      <w:r w:rsidRPr="006C3A33">
        <w:rPr>
          <w:rFonts w:asciiTheme="minorHAnsi" w:hAnsiTheme="minorHAnsi"/>
          <w:i/>
          <w:iCs/>
          <w:u w:val="single" w:color="000000"/>
        </w:rPr>
        <w:t>Waiver 4: Parent and Guardian Meal Pick Up (NSLP and SBP)</w:t>
      </w:r>
    </w:p>
    <w:p w:rsidR="00E74676" w:rsidRPr="006C3A33" w:rsidRDefault="00E74676" w:rsidP="0015696D">
      <w:pPr>
        <w:pStyle w:val="BodyText"/>
        <w:kinsoku w:val="0"/>
        <w:overflowPunct w:val="0"/>
        <w:spacing w:line="237" w:lineRule="auto"/>
        <w:ind w:right="-10"/>
        <w:jc w:val="both"/>
        <w:rPr>
          <w:rFonts w:asciiTheme="minorHAnsi" w:hAnsiTheme="minorHAnsi"/>
        </w:rPr>
      </w:pPr>
      <w:r w:rsidRPr="006C3A33">
        <w:rPr>
          <w:rFonts w:asciiTheme="minorHAnsi" w:hAnsiTheme="minorHAnsi"/>
        </w:rPr>
        <w:t>Under program regulations at 7 CFR 210.10(a), 7 CFR 220.2 (Breakfast), and 7 CFR 220.8(a), meals must be served to eligible children.</w:t>
      </w:r>
    </w:p>
    <w:p w:rsidR="00E74676" w:rsidRPr="006C3A33" w:rsidRDefault="00E74676" w:rsidP="0015696D">
      <w:pPr>
        <w:pStyle w:val="BodyText"/>
        <w:kinsoku w:val="0"/>
        <w:overflowPunct w:val="0"/>
        <w:spacing w:before="9"/>
        <w:ind w:right="-10"/>
        <w:rPr>
          <w:rFonts w:asciiTheme="minorHAnsi" w:hAnsiTheme="minorHAnsi"/>
        </w:rPr>
      </w:pPr>
    </w:p>
    <w:p w:rsidR="00E74676" w:rsidRPr="006C3A33" w:rsidRDefault="00E74676" w:rsidP="0015696D">
      <w:pPr>
        <w:pStyle w:val="BodyText"/>
        <w:kinsoku w:val="0"/>
        <w:overflowPunct w:val="0"/>
        <w:spacing w:before="1" w:line="237" w:lineRule="auto"/>
        <w:ind w:right="-10"/>
        <w:jc w:val="both"/>
        <w:rPr>
          <w:rFonts w:asciiTheme="minorHAnsi" w:hAnsiTheme="minorHAnsi"/>
        </w:rPr>
      </w:pPr>
      <w:r w:rsidRPr="006C3A33">
        <w:rPr>
          <w:rFonts w:asciiTheme="minorHAnsi" w:hAnsiTheme="minorHAnsi"/>
        </w:rPr>
        <w:t>Pursuant to the waiver authority granted at Section 12(l) of the NSLA, FNS waives the requirement that meals may only be s</w:t>
      </w:r>
      <w:r w:rsidR="007102F2" w:rsidRPr="006C3A33">
        <w:rPr>
          <w:rFonts w:asciiTheme="minorHAnsi" w:hAnsiTheme="minorHAnsi"/>
        </w:rPr>
        <w:t xml:space="preserve">erved directly to children. Any </w:t>
      </w:r>
      <w:r w:rsidRPr="006C3A33">
        <w:rPr>
          <w:rFonts w:asciiTheme="minorHAnsi" w:hAnsiTheme="minorHAnsi"/>
        </w:rPr>
        <w:t>other requirements referenced in these provisions remain in effect. S</w:t>
      </w:r>
      <w:r w:rsidRPr="006C3A33">
        <w:rPr>
          <w:rFonts w:asciiTheme="minorHAnsi" w:hAnsiTheme="minorHAnsi"/>
          <w:color w:val="1B1B1B"/>
        </w:rPr>
        <w:t>tate agencies opting to use this flexibility must have a plan for ensuring that local operators are able to maintain accountability and program inte</w:t>
      </w:r>
      <w:r w:rsidR="007102F2" w:rsidRPr="006C3A33">
        <w:rPr>
          <w:rFonts w:asciiTheme="minorHAnsi" w:hAnsiTheme="minorHAnsi"/>
          <w:color w:val="1B1B1B"/>
        </w:rPr>
        <w:t xml:space="preserve">grity. This includes putting in </w:t>
      </w:r>
      <w:r w:rsidRPr="006C3A33">
        <w:rPr>
          <w:rFonts w:asciiTheme="minorHAnsi" w:hAnsiTheme="minorHAnsi"/>
          <w:color w:val="1B1B1B"/>
        </w:rPr>
        <w:t>place processes to ensure that meals are distributed only to parents or guardians of eligible children, and that duplicate meals are not distributed to any child.</w:t>
      </w:r>
    </w:p>
    <w:p w:rsidR="00E74676" w:rsidRPr="006C3A33" w:rsidRDefault="00E74676" w:rsidP="0015696D">
      <w:pPr>
        <w:pStyle w:val="BodyText"/>
        <w:kinsoku w:val="0"/>
        <w:overflowPunct w:val="0"/>
        <w:ind w:right="-10"/>
        <w:rPr>
          <w:rFonts w:asciiTheme="minorHAnsi" w:hAnsiTheme="minorHAnsi"/>
        </w:rPr>
      </w:pPr>
    </w:p>
    <w:p w:rsidR="00E74676" w:rsidRPr="006C3A33" w:rsidRDefault="00E74676" w:rsidP="0015696D">
      <w:pPr>
        <w:pStyle w:val="BodyText"/>
        <w:kinsoku w:val="0"/>
        <w:overflowPunct w:val="0"/>
        <w:spacing w:line="274" w:lineRule="exact"/>
        <w:ind w:right="-10"/>
        <w:jc w:val="both"/>
        <w:rPr>
          <w:rFonts w:asciiTheme="minorHAnsi" w:hAnsiTheme="minorHAnsi"/>
          <w:i/>
          <w:iCs/>
        </w:rPr>
      </w:pPr>
      <w:r w:rsidRPr="006C3A33">
        <w:rPr>
          <w:rFonts w:asciiTheme="minorHAnsi" w:hAnsiTheme="minorHAnsi"/>
          <w:i/>
          <w:iCs/>
          <w:u w:val="single" w:color="000000"/>
        </w:rPr>
        <w:t>Waiver 5: Meal Service Times (NSLP and SBP)</w:t>
      </w:r>
    </w:p>
    <w:p w:rsidR="00E74676" w:rsidRPr="006C3A33" w:rsidRDefault="00E74676" w:rsidP="0015696D">
      <w:pPr>
        <w:pStyle w:val="BodyText"/>
        <w:kinsoku w:val="0"/>
        <w:overflowPunct w:val="0"/>
        <w:spacing w:before="1" w:line="237" w:lineRule="auto"/>
        <w:ind w:right="-10"/>
        <w:jc w:val="both"/>
        <w:rPr>
          <w:rFonts w:asciiTheme="minorHAnsi" w:hAnsiTheme="minorHAnsi"/>
        </w:rPr>
      </w:pPr>
      <w:r w:rsidRPr="006C3A33">
        <w:rPr>
          <w:rFonts w:asciiTheme="minorHAnsi" w:hAnsiTheme="minorHAnsi"/>
        </w:rPr>
        <w:t>Under program regulations at 7 CFR 210.10(l) and 7 CFR 220.8(l), meals served in the NSLP and SBP must follow meal service time requirements.</w:t>
      </w:r>
    </w:p>
    <w:p w:rsidR="00E74676" w:rsidRPr="006C3A33" w:rsidRDefault="00E74676" w:rsidP="0015696D">
      <w:pPr>
        <w:pStyle w:val="BodyText"/>
        <w:kinsoku w:val="0"/>
        <w:overflowPunct w:val="0"/>
        <w:spacing w:before="9"/>
        <w:ind w:right="-10"/>
        <w:rPr>
          <w:rFonts w:asciiTheme="minorHAnsi" w:hAnsiTheme="minorHAnsi"/>
        </w:rPr>
      </w:pPr>
    </w:p>
    <w:p w:rsidR="00E74676" w:rsidRPr="006C3A33" w:rsidRDefault="00E74676" w:rsidP="0015696D">
      <w:pPr>
        <w:pStyle w:val="BodyText"/>
        <w:kinsoku w:val="0"/>
        <w:overflowPunct w:val="0"/>
        <w:spacing w:line="237" w:lineRule="auto"/>
        <w:ind w:right="-10"/>
        <w:rPr>
          <w:rFonts w:asciiTheme="minorHAnsi" w:hAnsiTheme="minorHAnsi"/>
        </w:rPr>
      </w:pPr>
      <w:r w:rsidRPr="006C3A33">
        <w:rPr>
          <w:rFonts w:asciiTheme="minorHAnsi" w:hAnsiTheme="minorHAnsi"/>
        </w:rPr>
        <w:t>Pursuant to the waiver authority granted at Section 12(l) of the NSLA, FNS waives the aforementioned requirements that set meal time parameters for school lunch and breakfast.</w:t>
      </w:r>
    </w:p>
    <w:p w:rsidR="00E74676" w:rsidRPr="006C3A33" w:rsidRDefault="00E74676" w:rsidP="0015696D">
      <w:pPr>
        <w:pStyle w:val="BodyText"/>
        <w:kinsoku w:val="0"/>
        <w:overflowPunct w:val="0"/>
        <w:spacing w:before="6"/>
        <w:ind w:right="-10"/>
        <w:rPr>
          <w:rFonts w:asciiTheme="minorHAnsi" w:hAnsiTheme="minorHAnsi"/>
        </w:rPr>
      </w:pPr>
    </w:p>
    <w:p w:rsidR="00E74676" w:rsidRPr="006C3A33" w:rsidRDefault="00E74676" w:rsidP="0015696D">
      <w:pPr>
        <w:pStyle w:val="BodyText"/>
        <w:kinsoku w:val="0"/>
        <w:overflowPunct w:val="0"/>
        <w:spacing w:line="274" w:lineRule="exact"/>
        <w:ind w:right="-10"/>
        <w:rPr>
          <w:rFonts w:asciiTheme="minorHAnsi" w:hAnsiTheme="minorHAnsi"/>
          <w:i/>
          <w:iCs/>
        </w:rPr>
      </w:pPr>
      <w:r w:rsidRPr="006C3A33">
        <w:rPr>
          <w:rFonts w:asciiTheme="minorHAnsi" w:hAnsiTheme="minorHAnsi"/>
          <w:i/>
          <w:iCs/>
          <w:u w:val="single" w:color="000000"/>
        </w:rPr>
        <w:t>Waiver 6: Offer Versus Serve (NSLP)</w:t>
      </w:r>
    </w:p>
    <w:p w:rsidR="00E74676" w:rsidRPr="006C3A33" w:rsidRDefault="00E74676" w:rsidP="0015696D">
      <w:pPr>
        <w:pStyle w:val="BodyText"/>
        <w:kinsoku w:val="0"/>
        <w:overflowPunct w:val="0"/>
        <w:spacing w:line="272" w:lineRule="exact"/>
        <w:ind w:right="-10"/>
        <w:rPr>
          <w:rFonts w:asciiTheme="minorHAnsi" w:hAnsiTheme="minorHAnsi"/>
        </w:rPr>
      </w:pPr>
      <w:r w:rsidRPr="006C3A33">
        <w:rPr>
          <w:rFonts w:asciiTheme="minorHAnsi" w:hAnsiTheme="minorHAnsi"/>
        </w:rPr>
        <w:t>Under the NSLA, 42 U.S.C. 1758(a)(3) and program regulations at 7 CFR</w:t>
      </w:r>
    </w:p>
    <w:p w:rsidR="00E74676" w:rsidRPr="006C3A33" w:rsidRDefault="00E74676" w:rsidP="0015696D">
      <w:pPr>
        <w:pStyle w:val="BodyText"/>
        <w:kinsoku w:val="0"/>
        <w:overflowPunct w:val="0"/>
        <w:spacing w:line="249" w:lineRule="auto"/>
        <w:ind w:right="-10"/>
        <w:rPr>
          <w:rFonts w:asciiTheme="minorHAnsi" w:hAnsiTheme="minorHAnsi"/>
        </w:rPr>
      </w:pPr>
      <w:r w:rsidRPr="006C3A33">
        <w:rPr>
          <w:rFonts w:asciiTheme="minorHAnsi" w:hAnsiTheme="minorHAnsi"/>
        </w:rPr>
        <w:t>210.10(e), Program operators of senior high schools (as defined by the State education agency) must participate in offer versus serve at lunch.</w:t>
      </w:r>
    </w:p>
    <w:p w:rsidR="00E74676" w:rsidRPr="006C3A33" w:rsidRDefault="00E74676" w:rsidP="0015696D">
      <w:pPr>
        <w:pStyle w:val="BodyText"/>
        <w:kinsoku w:val="0"/>
        <w:overflowPunct w:val="0"/>
        <w:spacing w:before="3"/>
        <w:ind w:right="-10"/>
        <w:rPr>
          <w:rFonts w:asciiTheme="minorHAnsi" w:hAnsiTheme="minorHAnsi"/>
        </w:rPr>
      </w:pPr>
    </w:p>
    <w:p w:rsidR="00E74676" w:rsidRPr="006C3A33" w:rsidRDefault="00E74676" w:rsidP="0015696D">
      <w:pPr>
        <w:pStyle w:val="BodyText"/>
        <w:kinsoku w:val="0"/>
        <w:overflowPunct w:val="0"/>
        <w:spacing w:line="242" w:lineRule="auto"/>
        <w:ind w:right="-10"/>
        <w:rPr>
          <w:rFonts w:asciiTheme="minorHAnsi" w:hAnsiTheme="minorHAnsi"/>
        </w:rPr>
      </w:pPr>
      <w:r w:rsidRPr="006C3A33">
        <w:rPr>
          <w:rFonts w:asciiTheme="minorHAnsi" w:hAnsiTheme="minorHAnsi"/>
        </w:rPr>
        <w:t>Pursuant to the waiver authority granted at Section 12(l) of the NSLA, FNS waives the requirement to serve school lunches to senior high sch</w:t>
      </w:r>
      <w:r w:rsidR="00BA6779" w:rsidRPr="006C3A33">
        <w:rPr>
          <w:rFonts w:asciiTheme="minorHAnsi" w:hAnsiTheme="minorHAnsi"/>
        </w:rPr>
        <w:t xml:space="preserve">ool students using offer versus </w:t>
      </w:r>
      <w:r w:rsidRPr="006C3A33">
        <w:rPr>
          <w:rFonts w:asciiTheme="minorHAnsi" w:hAnsiTheme="minorHAnsi"/>
        </w:rPr>
        <w:t>serve. FNS also extends the of</w:t>
      </w:r>
      <w:r w:rsidR="007102F2" w:rsidRPr="006C3A33">
        <w:rPr>
          <w:rFonts w:asciiTheme="minorHAnsi" w:hAnsiTheme="minorHAnsi"/>
        </w:rPr>
        <w:t xml:space="preserve">fer versus serve flexibility to </w:t>
      </w:r>
      <w:r w:rsidRPr="006C3A33">
        <w:rPr>
          <w:rFonts w:asciiTheme="minorHAnsi" w:hAnsiTheme="minorHAnsi"/>
        </w:rPr>
        <w:t>SSO for the duration of this waiver, when there is an unanticipated school closure during the school year.</w:t>
      </w:r>
    </w:p>
    <w:p w:rsidR="00E74676" w:rsidRPr="006C3A33" w:rsidRDefault="00E74676" w:rsidP="0015696D">
      <w:pPr>
        <w:pStyle w:val="BodyText"/>
        <w:kinsoku w:val="0"/>
        <w:overflowPunct w:val="0"/>
        <w:spacing w:before="6"/>
        <w:ind w:right="-10"/>
        <w:rPr>
          <w:rFonts w:asciiTheme="minorHAnsi" w:hAnsiTheme="minorHAnsi"/>
        </w:rPr>
      </w:pPr>
    </w:p>
    <w:p w:rsidR="00097D25" w:rsidRPr="006C3A33" w:rsidRDefault="00E74676" w:rsidP="0015696D">
      <w:pPr>
        <w:pStyle w:val="Heading1"/>
        <w:kinsoku w:val="0"/>
        <w:overflowPunct w:val="0"/>
        <w:spacing w:line="240" w:lineRule="auto"/>
        <w:ind w:left="0" w:right="-10"/>
        <w:rPr>
          <w:rFonts w:asciiTheme="minorHAnsi" w:hAnsiTheme="minorHAnsi"/>
          <w:u w:color="000000"/>
        </w:rPr>
      </w:pPr>
      <w:r w:rsidRPr="006C3A33">
        <w:rPr>
          <w:rFonts w:asciiTheme="minorHAnsi" w:hAnsiTheme="minorHAnsi"/>
          <w:sz w:val="32"/>
          <w:u w:color="000000"/>
        </w:rPr>
        <w:t>Special Milk Program Operations</w:t>
      </w:r>
    </w:p>
    <w:p w:rsidR="00E74676" w:rsidRPr="006C3A33" w:rsidRDefault="00137DDF" w:rsidP="0015696D">
      <w:pPr>
        <w:pStyle w:val="Heading1"/>
        <w:kinsoku w:val="0"/>
        <w:overflowPunct w:val="0"/>
        <w:spacing w:line="240" w:lineRule="auto"/>
        <w:ind w:left="0" w:right="-10"/>
        <w:rPr>
          <w:rFonts w:asciiTheme="minorHAnsi" w:hAnsiTheme="minorHAnsi"/>
          <w:b w:val="0"/>
          <w:color w:val="000000"/>
          <w:u w:val="none"/>
        </w:rPr>
      </w:pPr>
      <w:r w:rsidRPr="00137DDF">
        <w:rPr>
          <w:rFonts w:asciiTheme="minorHAnsi" w:hAnsiTheme="minorHAnsi"/>
          <w:i/>
          <w:color w:val="1B1B1B"/>
          <w:u w:val="none"/>
        </w:rPr>
        <w:t>E</w:t>
      </w:r>
      <w:r w:rsidR="00E74676" w:rsidRPr="003B4D5B">
        <w:rPr>
          <w:rFonts w:asciiTheme="minorHAnsi" w:hAnsiTheme="minorHAnsi"/>
          <w:i/>
          <w:u w:val="none"/>
        </w:rPr>
        <w:t>ffective July 1, 2022, through June 30, 2023</w:t>
      </w:r>
      <w:r w:rsidR="00E74676" w:rsidRPr="006C3A33">
        <w:rPr>
          <w:rFonts w:asciiTheme="minorHAnsi" w:hAnsiTheme="minorHAnsi"/>
          <w:b w:val="0"/>
          <w:u w:val="none"/>
        </w:rPr>
        <w:t>. However, FNS expects that flexibilities under these waivers will only be implemented by Program operators when congregate service is limited by the COVID-19 pandemic.</w:t>
      </w:r>
    </w:p>
    <w:p w:rsidR="00E74676" w:rsidRPr="006C3A33" w:rsidRDefault="00E74676" w:rsidP="0015696D">
      <w:pPr>
        <w:pStyle w:val="BodyText"/>
        <w:kinsoku w:val="0"/>
        <w:overflowPunct w:val="0"/>
        <w:spacing w:before="10"/>
        <w:ind w:right="-10"/>
        <w:rPr>
          <w:rFonts w:asciiTheme="minorHAnsi" w:hAnsiTheme="minorHAnsi"/>
        </w:rPr>
      </w:pPr>
    </w:p>
    <w:p w:rsidR="00E74676" w:rsidRPr="006C3A33" w:rsidRDefault="00E74676" w:rsidP="0015696D">
      <w:pPr>
        <w:pStyle w:val="BodyText"/>
        <w:kinsoku w:val="0"/>
        <w:overflowPunct w:val="0"/>
        <w:ind w:left="1080" w:right="-10" w:hanging="1118"/>
        <w:rPr>
          <w:rFonts w:asciiTheme="minorHAnsi" w:hAnsiTheme="minorHAnsi"/>
          <w:i/>
          <w:iCs/>
        </w:rPr>
      </w:pPr>
      <w:r w:rsidRPr="006C3A33">
        <w:rPr>
          <w:rFonts w:asciiTheme="minorHAnsi" w:hAnsiTheme="minorHAnsi"/>
          <w:i/>
          <w:iCs/>
          <w:u w:val="single"/>
        </w:rPr>
        <w:t>Waiver 12: Non-Congregate Milk Service (SMP)</w:t>
      </w:r>
    </w:p>
    <w:p w:rsidR="00E74676" w:rsidRPr="006C3A33" w:rsidRDefault="00E74676" w:rsidP="00500E35">
      <w:pPr>
        <w:pStyle w:val="BodyText"/>
        <w:kinsoku w:val="0"/>
        <w:overflowPunct w:val="0"/>
        <w:spacing w:before="12" w:line="274" w:lineRule="exact"/>
        <w:ind w:right="-10"/>
        <w:rPr>
          <w:rFonts w:asciiTheme="minorHAnsi" w:hAnsiTheme="minorHAnsi"/>
        </w:rPr>
      </w:pPr>
      <w:r w:rsidRPr="006C3A33">
        <w:rPr>
          <w:rFonts w:asciiTheme="minorHAnsi" w:hAnsiTheme="minorHAnsi"/>
        </w:rPr>
        <w:t>Section 3(a)(1) of the Child Nutrition Act of 1966 (42 U.S.C. 1772(a)(1)) and</w:t>
      </w:r>
      <w:r w:rsidR="00500E35">
        <w:rPr>
          <w:rFonts w:asciiTheme="minorHAnsi" w:hAnsiTheme="minorHAnsi"/>
        </w:rPr>
        <w:t xml:space="preserve"> program regulations at 7 </w:t>
      </w:r>
      <w:r w:rsidRPr="006C3A33">
        <w:rPr>
          <w:rFonts w:asciiTheme="minorHAnsi" w:hAnsiTheme="minorHAnsi"/>
        </w:rPr>
        <w:t>CFR 215.1 require SMP milk to be s</w:t>
      </w:r>
      <w:r w:rsidR="00097D25" w:rsidRPr="006C3A33">
        <w:rPr>
          <w:rFonts w:asciiTheme="minorHAnsi" w:hAnsiTheme="minorHAnsi"/>
        </w:rPr>
        <w:t>erved and consumed in nonprofit</w:t>
      </w:r>
      <w:r w:rsidR="00500E35">
        <w:rPr>
          <w:rFonts w:asciiTheme="minorHAnsi" w:hAnsiTheme="minorHAnsi"/>
        </w:rPr>
        <w:t xml:space="preserve"> </w:t>
      </w:r>
      <w:r w:rsidRPr="006C3A33">
        <w:rPr>
          <w:rFonts w:asciiTheme="minorHAnsi" w:hAnsiTheme="minorHAnsi"/>
        </w:rPr>
        <w:t>schools, which do not participate in a mea</w:t>
      </w:r>
      <w:r w:rsidR="00097D25" w:rsidRPr="006C3A33">
        <w:rPr>
          <w:rFonts w:asciiTheme="minorHAnsi" w:hAnsiTheme="minorHAnsi"/>
        </w:rPr>
        <w:t xml:space="preserve">l service program </w:t>
      </w:r>
      <w:r w:rsidRPr="006C3A33">
        <w:rPr>
          <w:rFonts w:asciiTheme="minorHAnsi" w:hAnsiTheme="minorHAnsi"/>
        </w:rPr>
        <w:t>a</w:t>
      </w:r>
      <w:r w:rsidR="00097D25" w:rsidRPr="006C3A33">
        <w:rPr>
          <w:rFonts w:asciiTheme="minorHAnsi" w:hAnsiTheme="minorHAnsi"/>
        </w:rPr>
        <w:t xml:space="preserve">uthorized by the NSLA, or other </w:t>
      </w:r>
      <w:r w:rsidRPr="006C3A33">
        <w:rPr>
          <w:rFonts w:asciiTheme="minorHAnsi" w:hAnsiTheme="minorHAnsi"/>
        </w:rPr>
        <w:t>eligible institutions devoted to the care of children.</w:t>
      </w:r>
    </w:p>
    <w:p w:rsidR="00E74676" w:rsidRPr="006C3A33" w:rsidRDefault="00E74676" w:rsidP="0015696D">
      <w:pPr>
        <w:pStyle w:val="BodyText"/>
        <w:tabs>
          <w:tab w:val="left" w:pos="90"/>
        </w:tabs>
        <w:kinsoku w:val="0"/>
        <w:overflowPunct w:val="0"/>
        <w:spacing w:before="173"/>
        <w:ind w:right="-10"/>
        <w:jc w:val="both"/>
        <w:rPr>
          <w:rFonts w:asciiTheme="minorHAnsi" w:hAnsiTheme="minorHAnsi"/>
        </w:rPr>
      </w:pPr>
      <w:r w:rsidRPr="006C3A33">
        <w:rPr>
          <w:rFonts w:asciiTheme="minorHAnsi" w:hAnsiTheme="minorHAnsi"/>
        </w:rPr>
        <w:t>Pursuant to the waiver authority granted at</w:t>
      </w:r>
      <w:r w:rsidR="00FB7555">
        <w:rPr>
          <w:rFonts w:asciiTheme="minorHAnsi" w:hAnsiTheme="minorHAnsi"/>
        </w:rPr>
        <w:t xml:space="preserve"> Section 12(l) of the NSLA, FNS </w:t>
      </w:r>
      <w:r w:rsidRPr="006C3A33">
        <w:rPr>
          <w:rFonts w:asciiTheme="minorHAnsi" w:hAnsiTheme="minorHAnsi"/>
        </w:rPr>
        <w:t>waives the aforementioned requirements, which require the service of SMP milk in a congregate setting. This flexibility will allow milk to be made available and consumed off site.</w:t>
      </w:r>
    </w:p>
    <w:p w:rsidR="00E74676" w:rsidRPr="006C3A33" w:rsidRDefault="00E74676" w:rsidP="0015696D">
      <w:pPr>
        <w:pStyle w:val="BodyText"/>
        <w:kinsoku w:val="0"/>
        <w:overflowPunct w:val="0"/>
        <w:spacing w:before="4"/>
        <w:ind w:right="-10"/>
        <w:rPr>
          <w:rFonts w:asciiTheme="minorHAnsi" w:hAnsiTheme="minorHAnsi"/>
        </w:rPr>
      </w:pPr>
    </w:p>
    <w:p w:rsidR="00E74676" w:rsidRPr="006C3A33" w:rsidRDefault="00E74676" w:rsidP="0015696D">
      <w:pPr>
        <w:pStyle w:val="BodyText"/>
        <w:kinsoku w:val="0"/>
        <w:overflowPunct w:val="0"/>
        <w:ind w:right="-10"/>
        <w:rPr>
          <w:rFonts w:asciiTheme="minorHAnsi" w:hAnsiTheme="minorHAnsi"/>
          <w:i/>
          <w:iCs/>
        </w:rPr>
      </w:pPr>
      <w:r w:rsidRPr="006C3A33">
        <w:rPr>
          <w:rFonts w:asciiTheme="minorHAnsi" w:hAnsiTheme="minorHAnsi"/>
          <w:i/>
          <w:iCs/>
          <w:u w:val="single"/>
        </w:rPr>
        <w:t>Waiver 13: Parent and Guardian Milk Pick Up (SMP)</w:t>
      </w:r>
    </w:p>
    <w:p w:rsidR="00E74676" w:rsidRPr="006C3A33" w:rsidRDefault="00E74676" w:rsidP="0015696D">
      <w:pPr>
        <w:pStyle w:val="BodyText"/>
        <w:kinsoku w:val="0"/>
        <w:overflowPunct w:val="0"/>
        <w:spacing w:before="28" w:line="249" w:lineRule="auto"/>
        <w:ind w:right="-10"/>
        <w:rPr>
          <w:rFonts w:asciiTheme="minorHAnsi" w:hAnsiTheme="minorHAnsi"/>
        </w:rPr>
      </w:pPr>
      <w:r w:rsidRPr="006C3A33">
        <w:rPr>
          <w:rFonts w:asciiTheme="minorHAnsi" w:hAnsiTheme="minorHAnsi"/>
        </w:rPr>
        <w:t>SMP distribution requirements at Section 3(a)(7) of the Child Nutrition Act of 1966 (42 U.S.C. 1772(a)(7)) and 7 CFR 215.7(</w:t>
      </w:r>
      <w:r w:rsidR="00097D25" w:rsidRPr="006C3A33">
        <w:rPr>
          <w:rFonts w:asciiTheme="minorHAnsi" w:hAnsiTheme="minorHAnsi"/>
        </w:rPr>
        <w:t xml:space="preserve">d)(2)(i) and 215.13a(a) require </w:t>
      </w:r>
      <w:r w:rsidRPr="006C3A33">
        <w:rPr>
          <w:rFonts w:asciiTheme="minorHAnsi" w:hAnsiTheme="minorHAnsi"/>
        </w:rPr>
        <w:t>SMP operators to provide milk directly to children, not to parents and guardians.</w:t>
      </w:r>
    </w:p>
    <w:p w:rsidR="00E74676" w:rsidRPr="006C3A33" w:rsidRDefault="00E74676" w:rsidP="0015696D">
      <w:pPr>
        <w:pStyle w:val="BodyText"/>
        <w:kinsoku w:val="0"/>
        <w:overflowPunct w:val="0"/>
        <w:spacing w:before="1"/>
        <w:ind w:right="-10"/>
        <w:rPr>
          <w:rFonts w:asciiTheme="minorHAnsi" w:hAnsiTheme="minorHAnsi"/>
        </w:rPr>
      </w:pPr>
    </w:p>
    <w:p w:rsidR="00E74676" w:rsidRPr="006C3A33" w:rsidRDefault="00E74676" w:rsidP="0015696D">
      <w:pPr>
        <w:pStyle w:val="BodyText"/>
        <w:kinsoku w:val="0"/>
        <w:overflowPunct w:val="0"/>
        <w:ind w:right="-10"/>
        <w:rPr>
          <w:rFonts w:asciiTheme="minorHAnsi" w:hAnsiTheme="minorHAnsi"/>
          <w:color w:val="1B1B1B"/>
        </w:rPr>
      </w:pPr>
      <w:r w:rsidRPr="006C3A33">
        <w:rPr>
          <w:rFonts w:asciiTheme="minorHAnsi" w:hAnsiTheme="minorHAnsi"/>
        </w:rPr>
        <w:t>Pursuant to the waiver authority granted at Section 12(l) of the NSLA, FNS waives the aforementioned requirements to allow the distribution of SMP milk to a parent or guardian to take home to their children. S</w:t>
      </w:r>
      <w:r w:rsidRPr="006C3A33">
        <w:rPr>
          <w:rFonts w:asciiTheme="minorHAnsi" w:hAnsiTheme="minorHAnsi"/>
          <w:color w:val="1B1B1B"/>
        </w:rPr>
        <w:t>tate agencies opting to use this flexibility must have a plan for ensuring that Program operators are able to maintain accountability and program integrity. This includes putting in place</w:t>
      </w:r>
      <w:r w:rsidR="00097D25" w:rsidRPr="006C3A33">
        <w:rPr>
          <w:rFonts w:asciiTheme="minorHAnsi" w:hAnsiTheme="minorHAnsi"/>
          <w:color w:val="1B1B1B"/>
        </w:rPr>
        <w:t xml:space="preserve"> </w:t>
      </w:r>
      <w:r w:rsidRPr="006C3A33">
        <w:rPr>
          <w:rFonts w:asciiTheme="minorHAnsi" w:hAnsiTheme="minorHAnsi"/>
          <w:color w:val="1B1B1B"/>
        </w:rPr>
        <w:t>processes to ensure that SMP milk is distributed only to parents or guardians of eligible children, and that duplicate servings are not distributed to any child.</w:t>
      </w:r>
    </w:p>
    <w:p w:rsidR="00E74676" w:rsidRPr="006C3A33" w:rsidRDefault="00E74676" w:rsidP="0015696D">
      <w:pPr>
        <w:pStyle w:val="Heading1"/>
        <w:kinsoku w:val="0"/>
        <w:overflowPunct w:val="0"/>
        <w:spacing w:before="190" w:line="240" w:lineRule="auto"/>
        <w:ind w:left="0" w:right="-10"/>
        <w:jc w:val="both"/>
        <w:rPr>
          <w:rFonts w:asciiTheme="minorHAnsi" w:hAnsiTheme="minorHAnsi"/>
          <w:sz w:val="32"/>
          <w:u w:val="none"/>
        </w:rPr>
      </w:pPr>
      <w:r w:rsidRPr="006C3A33">
        <w:rPr>
          <w:rFonts w:asciiTheme="minorHAnsi" w:hAnsiTheme="minorHAnsi"/>
          <w:sz w:val="32"/>
          <w:u w:color="000000"/>
        </w:rPr>
        <w:t>Fresh Fruit and Vegetable Program Operations</w:t>
      </w:r>
    </w:p>
    <w:p w:rsidR="00E74676" w:rsidRPr="006C3A33" w:rsidRDefault="00CC18FE" w:rsidP="0015696D">
      <w:pPr>
        <w:pStyle w:val="BodyText"/>
        <w:kinsoku w:val="0"/>
        <w:overflowPunct w:val="0"/>
        <w:spacing w:before="28" w:line="256" w:lineRule="auto"/>
        <w:ind w:right="-10"/>
        <w:jc w:val="both"/>
        <w:rPr>
          <w:rFonts w:asciiTheme="minorHAnsi" w:hAnsiTheme="minorHAnsi"/>
        </w:rPr>
      </w:pPr>
      <w:r>
        <w:rPr>
          <w:rFonts w:asciiTheme="minorHAnsi" w:hAnsiTheme="minorHAnsi"/>
          <w:b/>
          <w:i/>
        </w:rPr>
        <w:t>E</w:t>
      </w:r>
      <w:r w:rsidR="00E74676" w:rsidRPr="003B4D5B">
        <w:rPr>
          <w:rFonts w:asciiTheme="minorHAnsi" w:hAnsiTheme="minorHAnsi"/>
          <w:b/>
          <w:i/>
        </w:rPr>
        <w:t>ffective July 1, 2022, through June 30, 2023</w:t>
      </w:r>
      <w:r w:rsidR="00E74676" w:rsidRPr="006C3A33">
        <w:rPr>
          <w:rFonts w:asciiTheme="minorHAnsi" w:hAnsiTheme="minorHAnsi"/>
        </w:rPr>
        <w:t>. However, FNS expects that flexibilities under these waivers will only be implemented by Program operators when congregate service is limited by the COVID-19 pandemic.</w:t>
      </w:r>
    </w:p>
    <w:p w:rsidR="00E74676" w:rsidRPr="006C3A33" w:rsidRDefault="00E74676" w:rsidP="0015696D">
      <w:pPr>
        <w:pStyle w:val="BodyText"/>
        <w:kinsoku w:val="0"/>
        <w:overflowPunct w:val="0"/>
        <w:spacing w:before="1"/>
        <w:ind w:right="-10"/>
        <w:rPr>
          <w:rFonts w:asciiTheme="minorHAnsi" w:hAnsiTheme="minorHAnsi"/>
        </w:rPr>
      </w:pPr>
    </w:p>
    <w:p w:rsidR="00E74676" w:rsidRPr="006C3A33" w:rsidRDefault="00E74676" w:rsidP="0015696D">
      <w:pPr>
        <w:pStyle w:val="BodyText"/>
        <w:kinsoku w:val="0"/>
        <w:overflowPunct w:val="0"/>
        <w:spacing w:line="274" w:lineRule="exact"/>
        <w:ind w:right="-10"/>
        <w:rPr>
          <w:rFonts w:asciiTheme="minorHAnsi" w:hAnsiTheme="minorHAnsi"/>
          <w:i/>
          <w:iCs/>
        </w:rPr>
      </w:pPr>
      <w:r w:rsidRPr="006C3A33">
        <w:rPr>
          <w:rFonts w:asciiTheme="minorHAnsi" w:hAnsiTheme="minorHAnsi"/>
          <w:i/>
          <w:iCs/>
          <w:u w:val="single" w:color="000000"/>
        </w:rPr>
        <w:t>Waiver 14: Parent and Guardian Pick Up (FFVP)</w:t>
      </w:r>
    </w:p>
    <w:p w:rsidR="00E74676" w:rsidRPr="006C3A33" w:rsidRDefault="00E74676" w:rsidP="0015696D">
      <w:pPr>
        <w:pStyle w:val="BodyText"/>
        <w:kinsoku w:val="0"/>
        <w:overflowPunct w:val="0"/>
        <w:spacing w:before="1" w:line="237" w:lineRule="auto"/>
        <w:ind w:right="-10" w:hanging="1"/>
        <w:rPr>
          <w:rFonts w:asciiTheme="minorHAnsi" w:hAnsiTheme="minorHAnsi"/>
        </w:rPr>
      </w:pPr>
      <w:r w:rsidRPr="006C3A33">
        <w:rPr>
          <w:rFonts w:asciiTheme="minorHAnsi" w:hAnsiTheme="minorHAnsi"/>
        </w:rPr>
        <w:t>Section 19(b) of the NSLA (42 U.S.C. 1769a), requires Program operators to provide FFVP foods directly to students, not to parents and guardians.</w:t>
      </w:r>
    </w:p>
    <w:p w:rsidR="00E74676" w:rsidRPr="006C3A33" w:rsidRDefault="00E74676" w:rsidP="0015696D">
      <w:pPr>
        <w:pStyle w:val="BodyText"/>
        <w:kinsoku w:val="0"/>
        <w:overflowPunct w:val="0"/>
        <w:spacing w:before="7"/>
        <w:ind w:right="-10"/>
        <w:rPr>
          <w:rFonts w:asciiTheme="minorHAnsi" w:hAnsiTheme="minorHAnsi"/>
        </w:rPr>
      </w:pPr>
    </w:p>
    <w:p w:rsidR="00E74676" w:rsidRPr="006C3A33" w:rsidRDefault="00E74676" w:rsidP="0015696D">
      <w:pPr>
        <w:pStyle w:val="BodyText"/>
        <w:kinsoku w:val="0"/>
        <w:overflowPunct w:val="0"/>
        <w:ind w:right="-10"/>
        <w:rPr>
          <w:rFonts w:asciiTheme="minorHAnsi" w:hAnsiTheme="minorHAnsi"/>
        </w:rPr>
      </w:pPr>
      <w:r w:rsidRPr="006C3A33">
        <w:rPr>
          <w:rFonts w:asciiTheme="minorHAnsi" w:hAnsiTheme="minorHAnsi"/>
        </w:rPr>
        <w:t>Pursuant to the waiver authority granted at Section 12(l) of the NSLA, this waiver allows the State agency to approve SFAs participating in FFVP to provide FFVP foods to parents or guardians of children whose elementary school is closed and who are learning virtually.</w:t>
      </w:r>
    </w:p>
    <w:p w:rsidR="00E74676" w:rsidRPr="006C3A33" w:rsidRDefault="00E74676" w:rsidP="0015696D">
      <w:pPr>
        <w:pStyle w:val="BodyText"/>
        <w:kinsoku w:val="0"/>
        <w:overflowPunct w:val="0"/>
        <w:spacing w:before="214" w:line="274" w:lineRule="exact"/>
        <w:ind w:right="-10"/>
        <w:rPr>
          <w:rFonts w:asciiTheme="minorHAnsi" w:hAnsiTheme="minorHAnsi"/>
          <w:i/>
          <w:iCs/>
        </w:rPr>
      </w:pPr>
      <w:r w:rsidRPr="006C3A33">
        <w:rPr>
          <w:rFonts w:asciiTheme="minorHAnsi" w:hAnsiTheme="minorHAnsi"/>
          <w:i/>
          <w:iCs/>
          <w:u w:val="single" w:color="000000"/>
        </w:rPr>
        <w:t>Waiver 15: Alternate Site (FFVP)</w:t>
      </w:r>
    </w:p>
    <w:p w:rsidR="00E74676" w:rsidRPr="006C3A33" w:rsidRDefault="00E74676" w:rsidP="0015696D">
      <w:pPr>
        <w:pStyle w:val="BodyText"/>
        <w:kinsoku w:val="0"/>
        <w:overflowPunct w:val="0"/>
        <w:spacing w:line="237" w:lineRule="auto"/>
        <w:ind w:right="-10"/>
        <w:rPr>
          <w:rFonts w:asciiTheme="minorHAnsi" w:hAnsiTheme="minorHAnsi"/>
        </w:rPr>
      </w:pPr>
      <w:r w:rsidRPr="006C3A33">
        <w:rPr>
          <w:rFonts w:asciiTheme="minorHAnsi" w:hAnsiTheme="minorHAnsi"/>
        </w:rPr>
        <w:t>Section 19(a) of the NSLA (42 U.S.C. 1769a(a)), limits availability of FFVP foods to elementary schools.</w:t>
      </w:r>
    </w:p>
    <w:p w:rsidR="00E74676" w:rsidRPr="006C3A33" w:rsidRDefault="00E74676" w:rsidP="0015696D">
      <w:pPr>
        <w:pStyle w:val="BodyText"/>
        <w:kinsoku w:val="0"/>
        <w:overflowPunct w:val="0"/>
        <w:spacing w:before="9"/>
        <w:ind w:right="-10"/>
        <w:rPr>
          <w:rFonts w:asciiTheme="minorHAnsi" w:hAnsiTheme="minorHAnsi"/>
        </w:rPr>
      </w:pPr>
    </w:p>
    <w:p w:rsidR="00E74676" w:rsidRPr="006C3A33" w:rsidRDefault="00E74676" w:rsidP="0015696D">
      <w:pPr>
        <w:pStyle w:val="BodyText"/>
        <w:kinsoku w:val="0"/>
        <w:overflowPunct w:val="0"/>
        <w:spacing w:before="1" w:line="237" w:lineRule="auto"/>
        <w:ind w:right="-10"/>
        <w:rPr>
          <w:rFonts w:asciiTheme="minorHAnsi" w:hAnsiTheme="minorHAnsi"/>
        </w:rPr>
      </w:pPr>
      <w:r w:rsidRPr="006C3A33">
        <w:rPr>
          <w:rFonts w:asciiTheme="minorHAnsi" w:hAnsiTheme="minorHAnsi"/>
        </w:rPr>
        <w:t>Pursuant to the waiver authority granted at Section 12(l) of the NSLA, this waiver allows the State agency to approve SFAs participating in FFVP to provide FFVP foods at sites that are not FFVP elementa</w:t>
      </w:r>
      <w:r w:rsidR="00C87C39" w:rsidRPr="006C3A33">
        <w:rPr>
          <w:rFonts w:asciiTheme="minorHAnsi" w:hAnsiTheme="minorHAnsi"/>
        </w:rPr>
        <w:t xml:space="preserve">ry schools when FFVP elementary </w:t>
      </w:r>
      <w:r w:rsidRPr="006C3A33">
        <w:rPr>
          <w:rFonts w:asciiTheme="minorHAnsi" w:hAnsiTheme="minorHAnsi"/>
        </w:rPr>
        <w:t>schools are closed.</w:t>
      </w:r>
    </w:p>
    <w:p w:rsidR="00CC18FE" w:rsidRDefault="00CC18FE" w:rsidP="0015696D">
      <w:pPr>
        <w:pStyle w:val="Heading1"/>
        <w:kinsoku w:val="0"/>
        <w:overflowPunct w:val="0"/>
        <w:spacing w:line="240" w:lineRule="auto"/>
        <w:ind w:left="0" w:right="-10"/>
        <w:rPr>
          <w:rFonts w:asciiTheme="minorHAnsi" w:hAnsiTheme="minorHAnsi"/>
          <w:sz w:val="32"/>
          <w:u w:color="000000"/>
        </w:rPr>
      </w:pPr>
      <w:r>
        <w:rPr>
          <w:rFonts w:asciiTheme="minorHAnsi" w:hAnsiTheme="minorHAnsi"/>
          <w:sz w:val="32"/>
          <w:u w:color="000000"/>
        </w:rPr>
        <w:br w:type="page"/>
      </w:r>
    </w:p>
    <w:p w:rsidR="00E74676" w:rsidRPr="006C3A33" w:rsidRDefault="00E74676" w:rsidP="0015696D">
      <w:pPr>
        <w:pStyle w:val="Heading1"/>
        <w:kinsoku w:val="0"/>
        <w:overflowPunct w:val="0"/>
        <w:spacing w:line="240" w:lineRule="auto"/>
        <w:ind w:left="0" w:right="-10"/>
        <w:rPr>
          <w:rFonts w:asciiTheme="minorHAnsi" w:hAnsiTheme="minorHAnsi"/>
          <w:sz w:val="32"/>
          <w:u w:val="none"/>
        </w:rPr>
      </w:pPr>
      <w:r w:rsidRPr="006C3A33">
        <w:rPr>
          <w:rFonts w:asciiTheme="minorHAnsi" w:hAnsiTheme="minorHAnsi"/>
          <w:sz w:val="32"/>
          <w:u w:color="000000"/>
        </w:rPr>
        <w:t>Unanticipated School Closures</w:t>
      </w:r>
    </w:p>
    <w:p w:rsidR="00CC18FE" w:rsidRDefault="00CC18FE" w:rsidP="0015696D">
      <w:pPr>
        <w:pStyle w:val="BodyText"/>
        <w:kinsoku w:val="0"/>
        <w:overflowPunct w:val="0"/>
        <w:spacing w:before="44" w:line="274" w:lineRule="exact"/>
        <w:ind w:right="-10"/>
        <w:rPr>
          <w:rFonts w:ascii="Calibri" w:hAnsi="Calibri"/>
        </w:rPr>
      </w:pPr>
      <w:r>
        <w:rPr>
          <w:rFonts w:ascii="Calibri" w:hAnsi="Calibri"/>
          <w:b/>
          <w:i/>
        </w:rPr>
        <w:t>E</w:t>
      </w:r>
      <w:r w:rsidRPr="00CC18FE">
        <w:rPr>
          <w:rFonts w:ascii="Calibri" w:hAnsi="Calibri"/>
          <w:b/>
          <w:i/>
        </w:rPr>
        <w:t>ffective October 1, 2022, through April 30, 2023</w:t>
      </w:r>
      <w:r w:rsidRPr="00CC18FE">
        <w:rPr>
          <w:rFonts w:ascii="Calibri" w:hAnsi="Calibri"/>
        </w:rPr>
        <w:t>.</w:t>
      </w:r>
      <w:r>
        <w:rPr>
          <w:rFonts w:ascii="Calibri" w:hAnsi="Calibri"/>
        </w:rPr>
        <w:t xml:space="preserve"> Per regulation, if a sponsor experiences an unanticipated school closure, they may operate congregate SFSP or SSO to ensure meal service continues during the closure. </w:t>
      </w:r>
    </w:p>
    <w:p w:rsidR="00CC18FE" w:rsidRDefault="00CC18FE" w:rsidP="0015696D">
      <w:pPr>
        <w:pStyle w:val="BodyText"/>
        <w:kinsoku w:val="0"/>
        <w:overflowPunct w:val="0"/>
        <w:spacing w:before="44" w:line="274" w:lineRule="exact"/>
        <w:ind w:right="-10"/>
        <w:rPr>
          <w:rFonts w:ascii="Calibri" w:hAnsi="Calibri"/>
        </w:rPr>
      </w:pPr>
    </w:p>
    <w:p w:rsidR="00CC18FE" w:rsidRDefault="00CC18FE" w:rsidP="0015696D">
      <w:pPr>
        <w:pStyle w:val="BodyText"/>
        <w:kinsoku w:val="0"/>
        <w:overflowPunct w:val="0"/>
        <w:spacing w:before="44" w:line="274" w:lineRule="exact"/>
        <w:ind w:right="-10"/>
        <w:rPr>
          <w:rFonts w:asciiTheme="minorHAnsi" w:hAnsiTheme="minorHAnsi"/>
        </w:rPr>
      </w:pPr>
      <w:r>
        <w:rPr>
          <w:rFonts w:asciiTheme="minorHAnsi" w:hAnsiTheme="minorHAnsi"/>
        </w:rPr>
        <w:t xml:space="preserve">If the sponsor is experiencing an unanticipated school closure </w:t>
      </w:r>
      <w:r w:rsidRPr="00CC18FE">
        <w:rPr>
          <w:rFonts w:asciiTheme="minorHAnsi" w:hAnsiTheme="minorHAnsi"/>
          <w:b/>
          <w:u w:val="single"/>
        </w:rPr>
        <w:t>and</w:t>
      </w:r>
      <w:r>
        <w:rPr>
          <w:rFonts w:asciiTheme="minorHAnsi" w:hAnsiTheme="minorHAnsi"/>
        </w:rPr>
        <w:t xml:space="preserve"> is unable to serve congregate meals due to one of the following, they may apply for the waivers below</w:t>
      </w:r>
      <w:r w:rsidR="00F209DB" w:rsidRPr="00F209DB">
        <w:rPr>
          <w:rFonts w:ascii="Calibri" w:hAnsi="Calibri"/>
        </w:rPr>
        <w:t xml:space="preserve">, via the </w:t>
      </w:r>
      <w:hyperlink r:id="rId10" w:history="1">
        <w:r w:rsidR="00500E35">
          <w:rPr>
            <w:rStyle w:val="Hyperlink"/>
            <w:rFonts w:ascii="Calibri" w:hAnsi="Calibri"/>
          </w:rPr>
          <w:t>2022-2023 Oregon Waivers Form</w:t>
        </w:r>
      </w:hyperlink>
      <w:r>
        <w:rPr>
          <w:rFonts w:asciiTheme="minorHAnsi" w:hAnsiTheme="minorHAnsi"/>
        </w:rPr>
        <w:t xml:space="preserve">. </w:t>
      </w:r>
    </w:p>
    <w:p w:rsidR="00CC18FE" w:rsidRPr="00CC18FE" w:rsidRDefault="00CC18FE" w:rsidP="0015696D">
      <w:pPr>
        <w:numPr>
          <w:ilvl w:val="0"/>
          <w:numId w:val="2"/>
        </w:numPr>
        <w:ind w:right="-10"/>
        <w:rPr>
          <w:rFonts w:ascii="Calibri" w:hAnsi="Calibri"/>
          <w:sz w:val="24"/>
          <w:szCs w:val="24"/>
        </w:rPr>
      </w:pPr>
      <w:r w:rsidRPr="00CC18FE">
        <w:rPr>
          <w:rFonts w:ascii="Calibri" w:hAnsi="Calibri"/>
          <w:sz w:val="24"/>
          <w:szCs w:val="24"/>
        </w:rPr>
        <w:t xml:space="preserve">Their county is current in a High (Orange) risk Community Level according to the </w:t>
      </w:r>
      <w:hyperlink r:id="rId11" w:anchor="county-view?list_select_state=Oregon&amp;data-type=CommunityLevels&amp;list_select_county=41039" w:history="1">
        <w:r w:rsidRPr="00CC18FE">
          <w:rPr>
            <w:rStyle w:val="Hyperlink"/>
            <w:rFonts w:ascii="Calibri" w:hAnsi="Calibri"/>
            <w:sz w:val="24"/>
            <w:szCs w:val="24"/>
          </w:rPr>
          <w:t>CDC COVID-19 Data Tracker</w:t>
        </w:r>
      </w:hyperlink>
    </w:p>
    <w:p w:rsidR="00CC18FE" w:rsidRPr="00CC18FE" w:rsidRDefault="00CC18FE" w:rsidP="0015696D">
      <w:pPr>
        <w:numPr>
          <w:ilvl w:val="0"/>
          <w:numId w:val="2"/>
        </w:numPr>
        <w:ind w:right="-10"/>
        <w:rPr>
          <w:rFonts w:ascii="Calibri" w:hAnsi="Calibri"/>
          <w:sz w:val="24"/>
          <w:szCs w:val="24"/>
        </w:rPr>
      </w:pPr>
      <w:r w:rsidRPr="00CC18FE">
        <w:rPr>
          <w:rFonts w:ascii="Calibri" w:hAnsi="Calibri"/>
          <w:sz w:val="24"/>
          <w:szCs w:val="24"/>
        </w:rPr>
        <w:t xml:space="preserve">They are currently experiencing a staffing shortage due to staff illness/quarantine due to COVID-19 and are unable to operate </w:t>
      </w:r>
      <w:r w:rsidRPr="00FF4FB6">
        <w:rPr>
          <w:rFonts w:ascii="Calibri" w:hAnsi="Calibri"/>
          <w:sz w:val="24"/>
          <w:szCs w:val="24"/>
        </w:rPr>
        <w:t xml:space="preserve">congregate </w:t>
      </w:r>
      <w:r w:rsidRPr="00CC18FE">
        <w:rPr>
          <w:rFonts w:ascii="Calibri" w:hAnsi="Calibri"/>
          <w:sz w:val="24"/>
          <w:szCs w:val="24"/>
        </w:rPr>
        <w:t xml:space="preserve">meal service. </w:t>
      </w:r>
    </w:p>
    <w:p w:rsidR="00E74676" w:rsidRPr="006C3A33" w:rsidRDefault="00E74676" w:rsidP="0015696D">
      <w:pPr>
        <w:pStyle w:val="BodyText"/>
        <w:kinsoku w:val="0"/>
        <w:overflowPunct w:val="0"/>
        <w:spacing w:before="44" w:line="274" w:lineRule="exact"/>
        <w:ind w:right="-10"/>
        <w:rPr>
          <w:rFonts w:asciiTheme="minorHAnsi" w:hAnsiTheme="minorHAnsi"/>
        </w:rPr>
      </w:pPr>
      <w:r w:rsidRPr="006C3A33">
        <w:rPr>
          <w:rFonts w:asciiTheme="minorHAnsi" w:hAnsiTheme="minorHAnsi"/>
        </w:rPr>
        <w:t xml:space="preserve">FNS expects that flexibilities under these waivers will only be implemented by Program operators </w:t>
      </w:r>
      <w:r w:rsidR="003B4D5B">
        <w:rPr>
          <w:rFonts w:asciiTheme="minorHAnsi" w:hAnsiTheme="minorHAnsi"/>
        </w:rPr>
        <w:t xml:space="preserve">when congregate meal service is </w:t>
      </w:r>
      <w:r w:rsidRPr="006C3A33">
        <w:rPr>
          <w:rFonts w:asciiTheme="minorHAnsi" w:hAnsiTheme="minorHAnsi"/>
        </w:rPr>
        <w:t>limited by the COVID-19 pandemic.</w:t>
      </w:r>
    </w:p>
    <w:p w:rsidR="00E74676" w:rsidRPr="006C3A33" w:rsidRDefault="00E74676" w:rsidP="0015696D">
      <w:pPr>
        <w:pStyle w:val="BodyText"/>
        <w:kinsoku w:val="0"/>
        <w:overflowPunct w:val="0"/>
        <w:spacing w:before="1"/>
        <w:ind w:right="-10"/>
        <w:rPr>
          <w:rFonts w:asciiTheme="minorHAnsi" w:hAnsiTheme="minorHAnsi"/>
        </w:rPr>
      </w:pPr>
    </w:p>
    <w:p w:rsidR="00E74676" w:rsidRPr="006C3A33" w:rsidRDefault="00E74676" w:rsidP="0015696D">
      <w:pPr>
        <w:pStyle w:val="BodyText"/>
        <w:kinsoku w:val="0"/>
        <w:overflowPunct w:val="0"/>
        <w:spacing w:line="237" w:lineRule="auto"/>
        <w:ind w:right="-10"/>
        <w:rPr>
          <w:rFonts w:asciiTheme="minorHAnsi" w:hAnsiTheme="minorHAnsi"/>
          <w:i/>
          <w:iCs/>
        </w:rPr>
      </w:pPr>
      <w:r w:rsidRPr="006C3A33">
        <w:rPr>
          <w:rFonts w:asciiTheme="minorHAnsi" w:hAnsiTheme="minorHAnsi"/>
          <w:i/>
          <w:iCs/>
          <w:u w:val="single" w:color="000000"/>
        </w:rPr>
        <w:t>Waiver 16: Non-Congregate Meal Service during Unanticipated School Closures</w:t>
      </w:r>
      <w:r w:rsidRPr="006C3A33">
        <w:rPr>
          <w:rFonts w:asciiTheme="minorHAnsi" w:hAnsiTheme="minorHAnsi"/>
          <w:i/>
          <w:iCs/>
        </w:rPr>
        <w:t xml:space="preserve"> </w:t>
      </w:r>
      <w:r w:rsidRPr="006C3A33">
        <w:rPr>
          <w:rFonts w:asciiTheme="minorHAnsi" w:hAnsiTheme="minorHAnsi"/>
          <w:i/>
          <w:iCs/>
          <w:u w:val="single" w:color="000000"/>
        </w:rPr>
        <w:t>(SFSP/SSO)</w:t>
      </w:r>
    </w:p>
    <w:p w:rsidR="00E74676" w:rsidRPr="006C3A33" w:rsidRDefault="00E74676" w:rsidP="0015696D">
      <w:pPr>
        <w:pStyle w:val="BodyText"/>
        <w:kinsoku w:val="0"/>
        <w:overflowPunct w:val="0"/>
        <w:spacing w:before="11" w:line="274" w:lineRule="exact"/>
        <w:ind w:right="-10"/>
        <w:rPr>
          <w:rFonts w:asciiTheme="minorHAnsi" w:hAnsiTheme="minorHAnsi"/>
        </w:rPr>
      </w:pPr>
      <w:r w:rsidRPr="006C3A33">
        <w:rPr>
          <w:rFonts w:asciiTheme="minorHAnsi" w:hAnsiTheme="minorHAnsi"/>
        </w:rPr>
        <w:t>Under NSLA, 42 U.S.C. 1753(b)(1)(A), 42 U.</w:t>
      </w:r>
      <w:r w:rsidR="00C87C39" w:rsidRPr="006C3A33">
        <w:rPr>
          <w:rFonts w:asciiTheme="minorHAnsi" w:hAnsiTheme="minorHAnsi"/>
        </w:rPr>
        <w:t xml:space="preserve">S.C. 1761(a)(1)(D), and program </w:t>
      </w:r>
      <w:r w:rsidRPr="006C3A33">
        <w:rPr>
          <w:rFonts w:asciiTheme="minorHAnsi" w:hAnsiTheme="minorHAnsi"/>
        </w:rPr>
        <w:t>regulations at 7 CFR 225.6(e)(15), SFSP meals must be served in a congregate setting and must be consumed by participants on site.</w:t>
      </w:r>
    </w:p>
    <w:p w:rsidR="00E74676" w:rsidRPr="006C3A33" w:rsidRDefault="00E74676" w:rsidP="0015696D">
      <w:pPr>
        <w:pStyle w:val="BodyText"/>
        <w:kinsoku w:val="0"/>
        <w:overflowPunct w:val="0"/>
        <w:spacing w:before="9"/>
        <w:ind w:right="-10"/>
        <w:rPr>
          <w:rFonts w:asciiTheme="minorHAnsi" w:hAnsiTheme="minorHAnsi"/>
        </w:rPr>
      </w:pPr>
    </w:p>
    <w:p w:rsidR="00E74676" w:rsidRPr="006C3A33" w:rsidRDefault="00E74676" w:rsidP="0015696D">
      <w:pPr>
        <w:pStyle w:val="BodyText"/>
        <w:kinsoku w:val="0"/>
        <w:overflowPunct w:val="0"/>
        <w:spacing w:line="237" w:lineRule="auto"/>
        <w:ind w:right="-10"/>
        <w:rPr>
          <w:rFonts w:asciiTheme="minorHAnsi" w:hAnsiTheme="minorHAnsi"/>
        </w:rPr>
      </w:pPr>
      <w:r w:rsidRPr="006C3A33">
        <w:rPr>
          <w:rFonts w:asciiTheme="minorHAnsi" w:hAnsiTheme="minorHAnsi"/>
        </w:rPr>
        <w:t>Pursuant to the waiver authority granted at Section 12(l) of the NSLA, FNS waives the aforementioned requirements to serve meals through the SFSP during an unanticipated school closure in a congregate setting. Any other requirements referenced in these provisions remain in ef</w:t>
      </w:r>
      <w:r w:rsidR="00C87C39" w:rsidRPr="006C3A33">
        <w:rPr>
          <w:rFonts w:asciiTheme="minorHAnsi" w:hAnsiTheme="minorHAnsi"/>
        </w:rPr>
        <w:t>fect. FNS also extends the non-</w:t>
      </w:r>
      <w:r w:rsidRPr="006C3A33">
        <w:rPr>
          <w:rFonts w:asciiTheme="minorHAnsi" w:hAnsiTheme="minorHAnsi"/>
        </w:rPr>
        <w:t>congregate feeding flexibility to SSO for the duration of this waiver.</w:t>
      </w:r>
    </w:p>
    <w:p w:rsidR="00E74676" w:rsidRPr="006C3A33" w:rsidRDefault="00E74676" w:rsidP="0015696D">
      <w:pPr>
        <w:pStyle w:val="BodyText"/>
        <w:kinsoku w:val="0"/>
        <w:overflowPunct w:val="0"/>
        <w:spacing w:before="1"/>
        <w:ind w:right="-10"/>
        <w:rPr>
          <w:rFonts w:asciiTheme="minorHAnsi" w:hAnsiTheme="minorHAnsi"/>
        </w:rPr>
      </w:pPr>
    </w:p>
    <w:p w:rsidR="00E74676" w:rsidRPr="006C3A33" w:rsidRDefault="00E74676" w:rsidP="0015696D">
      <w:pPr>
        <w:pStyle w:val="BodyText"/>
        <w:kinsoku w:val="0"/>
        <w:overflowPunct w:val="0"/>
        <w:spacing w:line="264" w:lineRule="auto"/>
        <w:ind w:right="-10"/>
        <w:rPr>
          <w:rFonts w:asciiTheme="minorHAnsi" w:hAnsiTheme="minorHAnsi"/>
          <w:i/>
          <w:iCs/>
        </w:rPr>
      </w:pPr>
      <w:r w:rsidRPr="006C3A33">
        <w:rPr>
          <w:rFonts w:asciiTheme="minorHAnsi" w:hAnsiTheme="minorHAnsi"/>
          <w:i/>
          <w:iCs/>
          <w:u w:val="single" w:color="000000"/>
        </w:rPr>
        <w:t>Waiver 17: Parent and Guardian Meal Pick-Up during Unanticipated School</w:t>
      </w:r>
      <w:r w:rsidRPr="006C3A33">
        <w:rPr>
          <w:rFonts w:asciiTheme="minorHAnsi" w:hAnsiTheme="minorHAnsi"/>
          <w:i/>
          <w:iCs/>
        </w:rPr>
        <w:t xml:space="preserve"> </w:t>
      </w:r>
      <w:r w:rsidRPr="006C3A33">
        <w:rPr>
          <w:rFonts w:asciiTheme="minorHAnsi" w:hAnsiTheme="minorHAnsi"/>
          <w:i/>
          <w:iCs/>
          <w:u w:val="single" w:color="000000"/>
        </w:rPr>
        <w:t>Closures (SFSP/SSO)</w:t>
      </w:r>
    </w:p>
    <w:p w:rsidR="00E74676" w:rsidRPr="006C3A33" w:rsidRDefault="00E74676" w:rsidP="0015696D">
      <w:pPr>
        <w:pStyle w:val="BodyText"/>
        <w:kinsoku w:val="0"/>
        <w:overflowPunct w:val="0"/>
        <w:spacing w:before="1"/>
        <w:ind w:right="-10"/>
        <w:rPr>
          <w:rFonts w:asciiTheme="minorHAnsi" w:hAnsiTheme="minorHAnsi"/>
        </w:rPr>
      </w:pPr>
      <w:r w:rsidRPr="006C3A33">
        <w:rPr>
          <w:rFonts w:asciiTheme="minorHAnsi" w:hAnsiTheme="minorHAnsi"/>
        </w:rPr>
        <w:t>Under the NSLA, 42 U.S.C. 1761(f)(3) and Program regulations at 7 CFR</w:t>
      </w:r>
    </w:p>
    <w:p w:rsidR="00E74676" w:rsidRPr="006C3A33" w:rsidRDefault="00E74676" w:rsidP="0015696D">
      <w:pPr>
        <w:pStyle w:val="BodyText"/>
        <w:kinsoku w:val="0"/>
        <w:overflowPunct w:val="0"/>
        <w:spacing w:before="12"/>
        <w:ind w:right="-10"/>
        <w:rPr>
          <w:rFonts w:asciiTheme="minorHAnsi" w:hAnsiTheme="minorHAnsi"/>
        </w:rPr>
      </w:pPr>
      <w:r w:rsidRPr="006C3A33">
        <w:rPr>
          <w:rFonts w:asciiTheme="minorHAnsi" w:hAnsiTheme="minorHAnsi"/>
        </w:rPr>
        <w:t>210.10(a), 7 CFR 220.2 (Breakfast), 7 CFR 220.8</w:t>
      </w:r>
      <w:r w:rsidR="00C87C39" w:rsidRPr="006C3A33">
        <w:rPr>
          <w:rFonts w:asciiTheme="minorHAnsi" w:hAnsiTheme="minorHAnsi"/>
        </w:rPr>
        <w:t xml:space="preserve">(a), 7 CFR 225.2 (Meals), and 7 </w:t>
      </w:r>
      <w:r w:rsidRPr="006C3A33">
        <w:rPr>
          <w:rFonts w:asciiTheme="minorHAnsi" w:hAnsiTheme="minorHAnsi"/>
        </w:rPr>
        <w:t>CFR 225.9(d)(7) meals must be served to eligible children.</w:t>
      </w:r>
    </w:p>
    <w:p w:rsidR="00E74676" w:rsidRPr="006C3A33" w:rsidRDefault="00E74676" w:rsidP="0015696D">
      <w:pPr>
        <w:pStyle w:val="BodyText"/>
        <w:kinsoku w:val="0"/>
        <w:overflowPunct w:val="0"/>
        <w:spacing w:before="6"/>
        <w:ind w:right="-10"/>
        <w:rPr>
          <w:rFonts w:asciiTheme="minorHAnsi" w:hAnsiTheme="minorHAnsi"/>
        </w:rPr>
      </w:pPr>
    </w:p>
    <w:p w:rsidR="00E74676" w:rsidRPr="006C3A33" w:rsidRDefault="00E74676" w:rsidP="0015696D">
      <w:pPr>
        <w:pStyle w:val="BodyText"/>
        <w:kinsoku w:val="0"/>
        <w:overflowPunct w:val="0"/>
        <w:ind w:right="-10"/>
        <w:rPr>
          <w:rFonts w:asciiTheme="minorHAnsi" w:hAnsiTheme="minorHAnsi"/>
        </w:rPr>
      </w:pPr>
      <w:r w:rsidRPr="006C3A33">
        <w:rPr>
          <w:rFonts w:asciiTheme="minorHAnsi" w:hAnsiTheme="minorHAnsi"/>
        </w:rPr>
        <w:t>Pursuant to the waiver authority granted at</w:t>
      </w:r>
      <w:r w:rsidR="0015696D">
        <w:rPr>
          <w:rFonts w:asciiTheme="minorHAnsi" w:hAnsiTheme="minorHAnsi"/>
        </w:rPr>
        <w:t xml:space="preserve"> Section 12(l) of the NSLA, FNS </w:t>
      </w:r>
      <w:r w:rsidRPr="006C3A33">
        <w:rPr>
          <w:rFonts w:asciiTheme="minorHAnsi" w:hAnsiTheme="minorHAnsi"/>
        </w:rPr>
        <w:t>waives the aforementioned requirement that meals may only be served directly to children. Any other requirements referenced in the</w:t>
      </w:r>
      <w:r w:rsidR="00C87C39" w:rsidRPr="006C3A33">
        <w:rPr>
          <w:rFonts w:asciiTheme="minorHAnsi" w:hAnsiTheme="minorHAnsi"/>
        </w:rPr>
        <w:t xml:space="preserve">se provisions remain in effect. </w:t>
      </w:r>
      <w:r w:rsidRPr="006C3A33">
        <w:rPr>
          <w:rFonts w:asciiTheme="minorHAnsi" w:hAnsiTheme="minorHAnsi"/>
        </w:rPr>
        <w:t>FNS also extends the parent and guardian pick up flexibility to SSO for the duration of this waiver.</w:t>
      </w:r>
    </w:p>
    <w:p w:rsidR="00E74676" w:rsidRPr="006C3A33" w:rsidRDefault="00E74676" w:rsidP="0015696D">
      <w:pPr>
        <w:pStyle w:val="BodyText"/>
        <w:kinsoku w:val="0"/>
        <w:overflowPunct w:val="0"/>
        <w:spacing w:before="7"/>
        <w:ind w:right="-10"/>
        <w:rPr>
          <w:rFonts w:asciiTheme="minorHAnsi" w:hAnsiTheme="minorHAnsi"/>
        </w:rPr>
      </w:pPr>
    </w:p>
    <w:p w:rsidR="00E74676" w:rsidRPr="006C3A33" w:rsidRDefault="00E74676" w:rsidP="0015696D">
      <w:pPr>
        <w:pStyle w:val="BodyText"/>
        <w:kinsoku w:val="0"/>
        <w:overflowPunct w:val="0"/>
        <w:spacing w:line="242" w:lineRule="auto"/>
        <w:ind w:right="-10"/>
        <w:rPr>
          <w:rFonts w:asciiTheme="minorHAnsi" w:hAnsiTheme="minorHAnsi"/>
        </w:rPr>
      </w:pPr>
      <w:r w:rsidRPr="006C3A33">
        <w:rPr>
          <w:rFonts w:asciiTheme="minorHAnsi" w:hAnsiTheme="minorHAnsi"/>
          <w:i/>
          <w:iCs/>
          <w:u w:val="single" w:color="000000"/>
        </w:rPr>
        <w:t>Waiver 18: Meal Service Times for Unanticipated School Closures (SFSP/SSO)</w:t>
      </w:r>
      <w:r w:rsidRPr="006C3A33">
        <w:rPr>
          <w:rFonts w:asciiTheme="minorHAnsi" w:hAnsiTheme="minorHAnsi"/>
          <w:i/>
          <w:iCs/>
        </w:rPr>
        <w:t xml:space="preserve"> </w:t>
      </w:r>
      <w:r w:rsidRPr="006C3A33">
        <w:rPr>
          <w:rFonts w:asciiTheme="minorHAnsi" w:hAnsiTheme="minorHAnsi"/>
        </w:rPr>
        <w:t>Under program regulations at 7 CFR 225.16(c)(1) and (2) meals served in the SFSP must follow meal service time requirements.</w:t>
      </w:r>
    </w:p>
    <w:p w:rsidR="00E74676" w:rsidRPr="006C3A33" w:rsidRDefault="00E74676" w:rsidP="00500E35">
      <w:pPr>
        <w:pStyle w:val="BodyText"/>
        <w:kinsoku w:val="0"/>
        <w:overflowPunct w:val="0"/>
        <w:spacing w:before="214" w:line="274" w:lineRule="exact"/>
        <w:ind w:right="-10"/>
        <w:rPr>
          <w:rFonts w:asciiTheme="minorHAnsi" w:hAnsiTheme="minorHAnsi"/>
        </w:rPr>
      </w:pPr>
      <w:r w:rsidRPr="006C3A33">
        <w:rPr>
          <w:rFonts w:asciiTheme="minorHAnsi" w:hAnsiTheme="minorHAnsi"/>
        </w:rPr>
        <w:t>Pursuant to the waiver authority granted at Section 12(l) of the NSLA, FNS</w:t>
      </w:r>
      <w:r w:rsidR="00C87C39" w:rsidRPr="006C3A33">
        <w:rPr>
          <w:rFonts w:asciiTheme="minorHAnsi" w:hAnsiTheme="minorHAnsi"/>
        </w:rPr>
        <w:t xml:space="preserve"> </w:t>
      </w:r>
      <w:r w:rsidRPr="006C3A33">
        <w:rPr>
          <w:rFonts w:asciiTheme="minorHAnsi" w:hAnsiTheme="minorHAnsi"/>
        </w:rPr>
        <w:t xml:space="preserve">waives the aforementioned requirements that set meal time parameters for SFSP sites. Any other requirements referenced in these provisions remain in effect. FNS also extends the meal service times flexibility </w:t>
      </w:r>
      <w:r w:rsidR="00C87C39" w:rsidRPr="006C3A33">
        <w:rPr>
          <w:rFonts w:asciiTheme="minorHAnsi" w:hAnsiTheme="minorHAnsi"/>
        </w:rPr>
        <w:t xml:space="preserve">to SSO for the duration of this </w:t>
      </w:r>
      <w:r w:rsidR="00500E35">
        <w:rPr>
          <w:rFonts w:asciiTheme="minorHAnsi" w:hAnsiTheme="minorHAnsi"/>
        </w:rPr>
        <w:t>waiver.</w:t>
      </w:r>
    </w:p>
    <w:p w:rsidR="00FA54F0" w:rsidRDefault="00FA54F0" w:rsidP="0015696D">
      <w:pPr>
        <w:pStyle w:val="BodyText"/>
        <w:kinsoku w:val="0"/>
        <w:overflowPunct w:val="0"/>
        <w:spacing w:before="1" w:line="249" w:lineRule="auto"/>
        <w:ind w:left="720" w:right="-10"/>
        <w:rPr>
          <w:rFonts w:asciiTheme="minorHAnsi" w:hAnsiTheme="minorHAnsi"/>
          <w:i/>
          <w:iCs/>
          <w:u w:val="single" w:color="000000"/>
        </w:rPr>
      </w:pPr>
    </w:p>
    <w:p w:rsidR="00E74676" w:rsidRPr="006C3A33" w:rsidRDefault="00E74676" w:rsidP="0015696D">
      <w:pPr>
        <w:pStyle w:val="BodyText"/>
        <w:kinsoku w:val="0"/>
        <w:overflowPunct w:val="0"/>
        <w:spacing w:before="1" w:line="249" w:lineRule="auto"/>
        <w:ind w:left="90" w:right="-10"/>
        <w:rPr>
          <w:rFonts w:asciiTheme="minorHAnsi" w:hAnsiTheme="minorHAnsi"/>
          <w:i/>
          <w:iCs/>
        </w:rPr>
      </w:pPr>
      <w:r w:rsidRPr="006C3A33">
        <w:rPr>
          <w:rFonts w:asciiTheme="minorHAnsi" w:hAnsiTheme="minorHAnsi"/>
          <w:i/>
          <w:iCs/>
          <w:u w:val="single" w:color="000000"/>
        </w:rPr>
        <w:lastRenderedPageBreak/>
        <w:t>Waiver 19: Service of Meals at School Sites during Unanticipated School</w:t>
      </w:r>
      <w:r w:rsidRPr="006C3A33">
        <w:rPr>
          <w:rFonts w:asciiTheme="minorHAnsi" w:hAnsiTheme="minorHAnsi"/>
          <w:i/>
          <w:iCs/>
        </w:rPr>
        <w:t xml:space="preserve"> </w:t>
      </w:r>
      <w:r w:rsidRPr="006C3A33">
        <w:rPr>
          <w:rFonts w:asciiTheme="minorHAnsi" w:hAnsiTheme="minorHAnsi"/>
          <w:i/>
          <w:iCs/>
          <w:u w:val="single" w:color="000000"/>
        </w:rPr>
        <w:t>Closures</w:t>
      </w:r>
    </w:p>
    <w:p w:rsidR="00E74676" w:rsidRPr="006C3A33" w:rsidRDefault="00E74676" w:rsidP="0015696D">
      <w:pPr>
        <w:pStyle w:val="BodyText"/>
        <w:kinsoku w:val="0"/>
        <w:overflowPunct w:val="0"/>
        <w:spacing w:line="237" w:lineRule="auto"/>
        <w:ind w:left="90" w:right="-10"/>
        <w:rPr>
          <w:rFonts w:asciiTheme="minorHAnsi" w:hAnsiTheme="minorHAnsi"/>
        </w:rPr>
      </w:pPr>
      <w:r w:rsidRPr="006C3A33">
        <w:rPr>
          <w:rFonts w:asciiTheme="minorHAnsi" w:hAnsiTheme="minorHAnsi"/>
        </w:rPr>
        <w:t>Under the NSLA, 42 U.S.C. 1761(c)(1) a</w:t>
      </w:r>
      <w:r w:rsidR="00C87C39" w:rsidRPr="006C3A33">
        <w:rPr>
          <w:rFonts w:asciiTheme="minorHAnsi" w:hAnsiTheme="minorHAnsi"/>
        </w:rPr>
        <w:t xml:space="preserve">nd program regulations at 7 CFR </w:t>
      </w:r>
      <w:r w:rsidRPr="006C3A33">
        <w:rPr>
          <w:rFonts w:asciiTheme="minorHAnsi" w:hAnsiTheme="minorHAnsi"/>
        </w:rPr>
        <w:t>225.6(d)(1)(iv), State agencies are required to only approve meal service operations at non-school sites during unanticipated school closures.</w:t>
      </w:r>
    </w:p>
    <w:p w:rsidR="00E74676" w:rsidRPr="006C3A33" w:rsidRDefault="00E74676" w:rsidP="0015696D">
      <w:pPr>
        <w:pStyle w:val="BodyText"/>
        <w:kinsoku w:val="0"/>
        <w:overflowPunct w:val="0"/>
        <w:spacing w:before="5"/>
        <w:ind w:left="90" w:right="-10"/>
        <w:rPr>
          <w:rFonts w:asciiTheme="minorHAnsi" w:hAnsiTheme="minorHAnsi"/>
        </w:rPr>
      </w:pPr>
    </w:p>
    <w:p w:rsidR="00E74676" w:rsidRPr="006C3A33" w:rsidRDefault="00E74676" w:rsidP="0015696D">
      <w:pPr>
        <w:pStyle w:val="BodyText"/>
        <w:kinsoku w:val="0"/>
        <w:overflowPunct w:val="0"/>
        <w:ind w:left="90" w:right="-10"/>
        <w:rPr>
          <w:rFonts w:asciiTheme="minorHAnsi" w:hAnsiTheme="minorHAnsi"/>
        </w:rPr>
      </w:pPr>
      <w:r w:rsidRPr="006C3A33">
        <w:rPr>
          <w:rFonts w:asciiTheme="minorHAnsi" w:hAnsiTheme="minorHAnsi"/>
        </w:rPr>
        <w:t>Pursuant to the waiver authority granted at Section 12</w:t>
      </w:r>
      <w:r w:rsidR="00FB7555">
        <w:rPr>
          <w:rFonts w:asciiTheme="minorHAnsi" w:hAnsiTheme="minorHAnsi"/>
        </w:rPr>
        <w:t xml:space="preserve">(l) of the NSLA, FNS waives the </w:t>
      </w:r>
      <w:r w:rsidRPr="006C3A33">
        <w:rPr>
          <w:rFonts w:asciiTheme="minorHAnsi" w:hAnsiTheme="minorHAnsi"/>
        </w:rPr>
        <w:t xml:space="preserve">aforementioned requirement that limits the operation of SFSP during an unanticipated school closure to non-school sites. FNS also extends the service </w:t>
      </w:r>
      <w:r w:rsidR="00C87C39" w:rsidRPr="006C3A33">
        <w:rPr>
          <w:rFonts w:asciiTheme="minorHAnsi" w:hAnsiTheme="minorHAnsi"/>
        </w:rPr>
        <w:t xml:space="preserve">of meals at school sites during </w:t>
      </w:r>
      <w:r w:rsidRPr="006C3A33">
        <w:rPr>
          <w:rFonts w:asciiTheme="minorHAnsi" w:hAnsiTheme="minorHAnsi"/>
        </w:rPr>
        <w:t>unanticipated school closures flexibility to SSO for the duration of this waiver.</w:t>
      </w:r>
    </w:p>
    <w:p w:rsidR="00E74676" w:rsidRPr="006C3A33" w:rsidRDefault="00E74676" w:rsidP="0015696D">
      <w:pPr>
        <w:pStyle w:val="BodyText"/>
        <w:kinsoku w:val="0"/>
        <w:overflowPunct w:val="0"/>
        <w:spacing w:before="4"/>
        <w:ind w:right="-10"/>
        <w:rPr>
          <w:rFonts w:asciiTheme="minorHAnsi" w:hAnsiTheme="minorHAnsi"/>
        </w:rPr>
      </w:pPr>
    </w:p>
    <w:p w:rsidR="00E74676" w:rsidRPr="006C3A33" w:rsidRDefault="00E74676" w:rsidP="0015696D">
      <w:pPr>
        <w:pStyle w:val="Heading1"/>
        <w:kinsoku w:val="0"/>
        <w:overflowPunct w:val="0"/>
        <w:spacing w:line="240" w:lineRule="auto"/>
        <w:ind w:left="-90" w:right="-10"/>
        <w:rPr>
          <w:rFonts w:asciiTheme="minorHAnsi" w:hAnsiTheme="minorHAnsi"/>
          <w:u w:val="none"/>
        </w:rPr>
      </w:pPr>
      <w:r w:rsidRPr="006C3A33">
        <w:rPr>
          <w:rFonts w:asciiTheme="minorHAnsi" w:hAnsiTheme="minorHAnsi"/>
          <w:sz w:val="32"/>
          <w:u w:color="000000"/>
        </w:rPr>
        <w:t>Child and Adult Care Food Program Operations</w:t>
      </w:r>
    </w:p>
    <w:p w:rsidR="005C2257" w:rsidRPr="005C2257" w:rsidRDefault="00CC18FE" w:rsidP="0015696D">
      <w:pPr>
        <w:ind w:right="-10"/>
        <w:rPr>
          <w:rFonts w:ascii="Calibri" w:hAnsi="Calibri"/>
          <w:sz w:val="24"/>
          <w:szCs w:val="24"/>
        </w:rPr>
      </w:pPr>
      <w:r w:rsidRPr="00137DDF">
        <w:rPr>
          <w:rFonts w:asciiTheme="minorHAnsi" w:hAnsiTheme="minorHAnsi"/>
          <w:b/>
          <w:i/>
          <w:sz w:val="24"/>
          <w:szCs w:val="24"/>
        </w:rPr>
        <w:t>E</w:t>
      </w:r>
      <w:r w:rsidR="00E74676" w:rsidRPr="00137DDF">
        <w:rPr>
          <w:rFonts w:asciiTheme="minorHAnsi" w:hAnsiTheme="minorHAnsi"/>
          <w:b/>
          <w:i/>
          <w:sz w:val="24"/>
          <w:szCs w:val="24"/>
        </w:rPr>
        <w:t>ffective July 1, 2022, through June 30, 2023</w:t>
      </w:r>
      <w:r w:rsidR="00E74676" w:rsidRPr="00137DDF">
        <w:rPr>
          <w:rFonts w:asciiTheme="minorHAnsi" w:hAnsiTheme="minorHAnsi"/>
          <w:sz w:val="24"/>
          <w:szCs w:val="24"/>
        </w:rPr>
        <w:t>.</w:t>
      </w:r>
      <w:r w:rsidR="005C2257" w:rsidRPr="005C2257">
        <w:rPr>
          <w:rFonts w:asciiTheme="minorHAnsi" w:hAnsiTheme="minorHAnsi"/>
          <w:sz w:val="24"/>
          <w:szCs w:val="24"/>
        </w:rPr>
        <w:t xml:space="preserve"> </w:t>
      </w:r>
      <w:r w:rsidR="005C2257">
        <w:rPr>
          <w:rFonts w:asciiTheme="minorHAnsi" w:hAnsiTheme="minorHAnsi"/>
          <w:sz w:val="24"/>
          <w:szCs w:val="24"/>
        </w:rPr>
        <w:t xml:space="preserve">CACFP </w:t>
      </w:r>
      <w:r w:rsidR="005C2257" w:rsidRPr="005C2257">
        <w:rPr>
          <w:rFonts w:ascii="Calibri" w:hAnsi="Calibri"/>
          <w:sz w:val="24"/>
          <w:szCs w:val="24"/>
        </w:rPr>
        <w:t>Sponsors may apply</w:t>
      </w:r>
      <w:r w:rsidR="00F209DB" w:rsidRPr="00F209DB">
        <w:rPr>
          <w:rFonts w:ascii="Calibri" w:hAnsi="Calibri"/>
          <w:sz w:val="24"/>
          <w:szCs w:val="24"/>
        </w:rPr>
        <w:t xml:space="preserve">, via the </w:t>
      </w:r>
      <w:hyperlink r:id="rId12" w:history="1">
        <w:r w:rsidR="00500E35">
          <w:rPr>
            <w:rStyle w:val="Hyperlink"/>
            <w:rFonts w:ascii="Calibri" w:hAnsi="Calibri"/>
            <w:sz w:val="24"/>
            <w:szCs w:val="24"/>
          </w:rPr>
          <w:t>2022-2023 Oregon Waivers Form</w:t>
        </w:r>
      </w:hyperlink>
      <w:r w:rsidR="00F209DB" w:rsidRPr="00F209DB">
        <w:rPr>
          <w:rFonts w:ascii="Calibri" w:hAnsi="Calibri"/>
          <w:sz w:val="24"/>
          <w:szCs w:val="24"/>
        </w:rPr>
        <w:t>,</w:t>
      </w:r>
      <w:r w:rsidR="005C2257" w:rsidRPr="005C2257">
        <w:rPr>
          <w:rFonts w:ascii="Calibri" w:hAnsi="Calibri"/>
          <w:sz w:val="24"/>
          <w:szCs w:val="24"/>
        </w:rPr>
        <w:t xml:space="preserve"> for the waivers listed below if they are experiencing the following issues related to COVID-19:</w:t>
      </w:r>
    </w:p>
    <w:p w:rsidR="005C2257" w:rsidRDefault="005C2257" w:rsidP="0015696D">
      <w:pPr>
        <w:numPr>
          <w:ilvl w:val="0"/>
          <w:numId w:val="2"/>
        </w:numPr>
        <w:ind w:right="-10"/>
        <w:rPr>
          <w:rFonts w:ascii="Calibri" w:hAnsi="Calibri"/>
          <w:sz w:val="24"/>
          <w:szCs w:val="24"/>
        </w:rPr>
      </w:pPr>
      <w:r w:rsidRPr="005C2257">
        <w:rPr>
          <w:rFonts w:ascii="Calibri" w:hAnsi="Calibri"/>
          <w:sz w:val="24"/>
          <w:szCs w:val="24"/>
        </w:rPr>
        <w:t>Their county is current in a High (Orange) risk Community Level according to the CDC COVID-19 Data Tracker</w:t>
      </w:r>
    </w:p>
    <w:p w:rsidR="005C2257" w:rsidRDefault="005C2257" w:rsidP="0015696D">
      <w:pPr>
        <w:numPr>
          <w:ilvl w:val="0"/>
          <w:numId w:val="2"/>
        </w:numPr>
        <w:ind w:right="-10"/>
        <w:rPr>
          <w:rFonts w:ascii="Calibri" w:hAnsi="Calibri"/>
          <w:sz w:val="24"/>
          <w:szCs w:val="24"/>
        </w:rPr>
      </w:pPr>
      <w:r w:rsidRPr="005C2257">
        <w:rPr>
          <w:rFonts w:ascii="Calibri" w:hAnsi="Calibri"/>
          <w:sz w:val="24"/>
          <w:szCs w:val="24"/>
        </w:rPr>
        <w:t xml:space="preserve">They are currently experiencing a staffing shortage due to staff illness/quarantine due to COVID-19 and are unable to operate congregate meal service. </w:t>
      </w:r>
    </w:p>
    <w:p w:rsidR="00824E66" w:rsidRDefault="00824E66" w:rsidP="0015696D">
      <w:pPr>
        <w:ind w:right="-10"/>
        <w:rPr>
          <w:rFonts w:asciiTheme="minorHAnsi" w:hAnsiTheme="minorHAnsi"/>
        </w:rPr>
      </w:pPr>
    </w:p>
    <w:p w:rsidR="00E74676" w:rsidRPr="00824E66" w:rsidRDefault="00E74676" w:rsidP="0015696D">
      <w:pPr>
        <w:ind w:right="-10"/>
        <w:rPr>
          <w:rFonts w:ascii="Calibri" w:hAnsi="Calibri"/>
          <w:sz w:val="28"/>
          <w:szCs w:val="24"/>
        </w:rPr>
      </w:pPr>
      <w:r w:rsidRPr="00824E66">
        <w:rPr>
          <w:rFonts w:asciiTheme="minorHAnsi" w:hAnsiTheme="minorHAnsi"/>
          <w:sz w:val="24"/>
        </w:rPr>
        <w:t>However, FNS expects that flexibilities under these waivers will only be implemented by Program operators when congregate meal service is limited by the COVID-19 pandemic.</w:t>
      </w:r>
    </w:p>
    <w:p w:rsidR="00E74676" w:rsidRPr="006C3A33" w:rsidRDefault="00E74676" w:rsidP="0015696D">
      <w:pPr>
        <w:pStyle w:val="BodyText"/>
        <w:kinsoku w:val="0"/>
        <w:overflowPunct w:val="0"/>
        <w:spacing w:before="10"/>
        <w:ind w:right="-10"/>
        <w:rPr>
          <w:rFonts w:asciiTheme="minorHAnsi" w:hAnsiTheme="minorHAnsi"/>
        </w:rPr>
      </w:pPr>
    </w:p>
    <w:p w:rsidR="00E74676" w:rsidRPr="006C3A33" w:rsidRDefault="00E74676" w:rsidP="0015696D">
      <w:pPr>
        <w:pStyle w:val="BodyText"/>
        <w:kinsoku w:val="0"/>
        <w:overflowPunct w:val="0"/>
        <w:spacing w:line="274" w:lineRule="exact"/>
        <w:ind w:right="-10"/>
        <w:rPr>
          <w:rFonts w:asciiTheme="minorHAnsi" w:hAnsiTheme="minorHAnsi"/>
          <w:i/>
          <w:iCs/>
        </w:rPr>
      </w:pPr>
      <w:r w:rsidRPr="006C3A33">
        <w:rPr>
          <w:rFonts w:asciiTheme="minorHAnsi" w:hAnsiTheme="minorHAnsi"/>
          <w:i/>
          <w:iCs/>
          <w:u w:val="single" w:color="000000"/>
        </w:rPr>
        <w:t>Waiver 20: Non-Congregate Meal Service (CACFP)</w:t>
      </w:r>
    </w:p>
    <w:p w:rsidR="00E74676" w:rsidRPr="006C3A33" w:rsidRDefault="00E74676" w:rsidP="0015696D">
      <w:pPr>
        <w:pStyle w:val="BodyText"/>
        <w:kinsoku w:val="0"/>
        <w:overflowPunct w:val="0"/>
        <w:spacing w:line="274" w:lineRule="exact"/>
        <w:ind w:right="-10"/>
        <w:rPr>
          <w:rFonts w:asciiTheme="minorHAnsi" w:hAnsiTheme="minorHAnsi"/>
        </w:rPr>
      </w:pPr>
      <w:r w:rsidRPr="006C3A33">
        <w:rPr>
          <w:rFonts w:asciiTheme="minorHAnsi" w:hAnsiTheme="minorHAnsi"/>
        </w:rPr>
        <w:t>Under the NSLA, 42 U.S.C. 1753(b)(1)(A) and program regulations at 7 CFR</w:t>
      </w:r>
    </w:p>
    <w:p w:rsidR="00E74676" w:rsidRPr="006C3A33" w:rsidRDefault="00E74676" w:rsidP="0015696D">
      <w:pPr>
        <w:pStyle w:val="BodyText"/>
        <w:kinsoku w:val="0"/>
        <w:overflowPunct w:val="0"/>
        <w:spacing w:before="14" w:line="237" w:lineRule="auto"/>
        <w:ind w:right="-10"/>
        <w:rPr>
          <w:rFonts w:asciiTheme="minorHAnsi" w:hAnsiTheme="minorHAnsi"/>
        </w:rPr>
      </w:pPr>
      <w:r w:rsidRPr="006C3A33">
        <w:rPr>
          <w:rFonts w:asciiTheme="minorHAnsi" w:hAnsiTheme="minorHAnsi"/>
        </w:rPr>
        <w:t>226.19(b)(6)(iii), CACFP meals must be served in a congregate setting and must be consumed by participants on site.</w:t>
      </w:r>
    </w:p>
    <w:p w:rsidR="00E74676" w:rsidRPr="006C3A33" w:rsidRDefault="00E74676" w:rsidP="0015696D">
      <w:pPr>
        <w:pStyle w:val="BodyText"/>
        <w:kinsoku w:val="0"/>
        <w:overflowPunct w:val="0"/>
        <w:spacing w:before="2"/>
        <w:ind w:right="-10"/>
        <w:rPr>
          <w:rFonts w:asciiTheme="minorHAnsi" w:hAnsiTheme="minorHAnsi"/>
        </w:rPr>
      </w:pPr>
    </w:p>
    <w:p w:rsidR="00E74676" w:rsidRPr="006C3A33" w:rsidRDefault="00E74676" w:rsidP="0015696D">
      <w:pPr>
        <w:pStyle w:val="BodyText"/>
        <w:kinsoku w:val="0"/>
        <w:overflowPunct w:val="0"/>
        <w:spacing w:before="1" w:line="249" w:lineRule="auto"/>
        <w:ind w:right="-10"/>
        <w:rPr>
          <w:rFonts w:asciiTheme="minorHAnsi" w:hAnsiTheme="minorHAnsi"/>
        </w:rPr>
      </w:pPr>
      <w:r w:rsidRPr="006C3A33">
        <w:rPr>
          <w:rFonts w:asciiTheme="minorHAnsi" w:hAnsiTheme="minorHAnsi"/>
        </w:rPr>
        <w:t>Pursuant to the waiver authority granted at Section 12(l) of the NSLA, FNS waives the aforementioned requirement to</w:t>
      </w:r>
      <w:r w:rsidR="00C87C39" w:rsidRPr="006C3A33">
        <w:rPr>
          <w:rFonts w:asciiTheme="minorHAnsi" w:hAnsiTheme="minorHAnsi"/>
        </w:rPr>
        <w:t xml:space="preserve"> serve meals through CACFP in a </w:t>
      </w:r>
      <w:r w:rsidRPr="006C3A33">
        <w:rPr>
          <w:rFonts w:asciiTheme="minorHAnsi" w:hAnsiTheme="minorHAnsi"/>
        </w:rPr>
        <w:t>congregate setting. Any other requirements referenced in this provision remain in effect.</w:t>
      </w:r>
    </w:p>
    <w:p w:rsidR="00E74676" w:rsidRPr="006C3A33" w:rsidRDefault="00E74676" w:rsidP="0015696D">
      <w:pPr>
        <w:pStyle w:val="BodyText"/>
        <w:kinsoku w:val="0"/>
        <w:overflowPunct w:val="0"/>
        <w:ind w:right="-10"/>
        <w:rPr>
          <w:rFonts w:asciiTheme="minorHAnsi" w:hAnsiTheme="minorHAnsi"/>
        </w:rPr>
      </w:pPr>
    </w:p>
    <w:p w:rsidR="00E74676" w:rsidRPr="006C3A33" w:rsidRDefault="00E74676" w:rsidP="0015696D">
      <w:pPr>
        <w:pStyle w:val="BodyText"/>
        <w:kinsoku w:val="0"/>
        <w:overflowPunct w:val="0"/>
        <w:spacing w:line="274" w:lineRule="exact"/>
        <w:ind w:right="-10"/>
        <w:rPr>
          <w:rFonts w:asciiTheme="minorHAnsi" w:hAnsiTheme="minorHAnsi"/>
          <w:i/>
          <w:iCs/>
        </w:rPr>
      </w:pPr>
      <w:r w:rsidRPr="006C3A33">
        <w:rPr>
          <w:rFonts w:asciiTheme="minorHAnsi" w:hAnsiTheme="minorHAnsi"/>
          <w:i/>
          <w:iCs/>
          <w:u w:val="single" w:color="000000"/>
        </w:rPr>
        <w:t>Waiver 21: Parent and Guardian Meal Pick Up (CACFP)</w:t>
      </w:r>
    </w:p>
    <w:p w:rsidR="00E74676" w:rsidRPr="006C3A33" w:rsidRDefault="00E74676" w:rsidP="0015696D">
      <w:pPr>
        <w:pStyle w:val="BodyText"/>
        <w:kinsoku w:val="0"/>
        <w:overflowPunct w:val="0"/>
        <w:spacing w:line="249" w:lineRule="auto"/>
        <w:ind w:right="-10"/>
        <w:rPr>
          <w:rFonts w:asciiTheme="minorHAnsi" w:hAnsiTheme="minorHAnsi"/>
        </w:rPr>
      </w:pPr>
      <w:r w:rsidRPr="006C3A33">
        <w:rPr>
          <w:rFonts w:asciiTheme="minorHAnsi" w:hAnsiTheme="minorHAnsi"/>
        </w:rPr>
        <w:t>Under Program regulations at 7 CFR 226.2 (Meals), meals must be served to eligible children and eligible adult participants.</w:t>
      </w:r>
    </w:p>
    <w:p w:rsidR="00E74676" w:rsidRPr="006C3A33" w:rsidRDefault="00E74676" w:rsidP="0015696D">
      <w:pPr>
        <w:pStyle w:val="BodyText"/>
        <w:kinsoku w:val="0"/>
        <w:overflowPunct w:val="0"/>
        <w:spacing w:before="3"/>
        <w:ind w:right="-10"/>
        <w:rPr>
          <w:rFonts w:asciiTheme="minorHAnsi" w:hAnsiTheme="minorHAnsi"/>
        </w:rPr>
      </w:pPr>
    </w:p>
    <w:p w:rsidR="00E74676" w:rsidRPr="006C3A33" w:rsidRDefault="00E74676" w:rsidP="0015696D">
      <w:pPr>
        <w:pStyle w:val="BodyText"/>
        <w:kinsoku w:val="0"/>
        <w:overflowPunct w:val="0"/>
        <w:spacing w:line="274" w:lineRule="exact"/>
        <w:ind w:right="-10"/>
        <w:rPr>
          <w:rFonts w:asciiTheme="minorHAnsi" w:hAnsiTheme="minorHAnsi"/>
        </w:rPr>
      </w:pPr>
      <w:r w:rsidRPr="006C3A33">
        <w:rPr>
          <w:rFonts w:asciiTheme="minorHAnsi" w:hAnsiTheme="minorHAnsi"/>
        </w:rPr>
        <w:t>Pursuant to the waiver authority granted at</w:t>
      </w:r>
      <w:r w:rsidR="00C87C39" w:rsidRPr="006C3A33">
        <w:rPr>
          <w:rFonts w:asciiTheme="minorHAnsi" w:hAnsiTheme="minorHAnsi"/>
        </w:rPr>
        <w:t xml:space="preserve"> Section 12(l) of the NSLA, FNS </w:t>
      </w:r>
      <w:r w:rsidRPr="006C3A33">
        <w:rPr>
          <w:rFonts w:asciiTheme="minorHAnsi" w:hAnsiTheme="minorHAnsi"/>
        </w:rPr>
        <w:t>waives the aforementioned requirement that meals may only be served directly to children and adult participants. Any other r</w:t>
      </w:r>
      <w:r w:rsidR="00C87C39" w:rsidRPr="006C3A33">
        <w:rPr>
          <w:rFonts w:asciiTheme="minorHAnsi" w:hAnsiTheme="minorHAnsi"/>
        </w:rPr>
        <w:t xml:space="preserve">equirements referenced in these </w:t>
      </w:r>
      <w:r w:rsidRPr="006C3A33">
        <w:rPr>
          <w:rFonts w:asciiTheme="minorHAnsi" w:hAnsiTheme="minorHAnsi"/>
        </w:rPr>
        <w:t>provisions remain in effect.</w:t>
      </w:r>
    </w:p>
    <w:p w:rsidR="00E74676" w:rsidRPr="006C3A33" w:rsidRDefault="00E74676" w:rsidP="0015696D">
      <w:pPr>
        <w:pStyle w:val="BodyText"/>
        <w:kinsoku w:val="0"/>
        <w:overflowPunct w:val="0"/>
        <w:spacing w:before="1"/>
        <w:ind w:right="-10"/>
        <w:rPr>
          <w:rFonts w:asciiTheme="minorHAnsi" w:hAnsiTheme="minorHAnsi"/>
        </w:rPr>
      </w:pPr>
    </w:p>
    <w:p w:rsidR="00C87C39" w:rsidRPr="006C3A33" w:rsidRDefault="00E74676" w:rsidP="0015696D">
      <w:pPr>
        <w:pStyle w:val="BodyText"/>
        <w:kinsoku w:val="0"/>
        <w:overflowPunct w:val="0"/>
        <w:spacing w:before="1"/>
        <w:ind w:right="-10"/>
        <w:rPr>
          <w:rFonts w:asciiTheme="minorHAnsi" w:hAnsiTheme="minorHAnsi"/>
          <w:i/>
          <w:iCs/>
          <w:u w:val="single" w:color="000000"/>
        </w:rPr>
      </w:pPr>
      <w:r w:rsidRPr="006C3A33">
        <w:rPr>
          <w:rFonts w:asciiTheme="minorHAnsi" w:hAnsiTheme="minorHAnsi"/>
          <w:i/>
          <w:iCs/>
          <w:u w:val="single" w:color="000000"/>
        </w:rPr>
        <w:t>Waiver 22: Meal Service Times (CACFP)</w:t>
      </w:r>
    </w:p>
    <w:p w:rsidR="00E74676" w:rsidRPr="006C3A33" w:rsidRDefault="00E74676" w:rsidP="0015696D">
      <w:pPr>
        <w:pStyle w:val="BodyText"/>
        <w:kinsoku w:val="0"/>
        <w:overflowPunct w:val="0"/>
        <w:spacing w:before="1"/>
        <w:ind w:right="-10"/>
        <w:rPr>
          <w:rFonts w:asciiTheme="minorHAnsi" w:hAnsiTheme="minorHAnsi"/>
        </w:rPr>
      </w:pPr>
      <w:r w:rsidRPr="006C3A33">
        <w:rPr>
          <w:rFonts w:asciiTheme="minorHAnsi" w:hAnsiTheme="minorHAnsi"/>
        </w:rPr>
        <w:t>Under Program regulations at 7 CFR 226.20(k) meals served in the CACFP must follow meal service time requirements.</w:t>
      </w:r>
    </w:p>
    <w:p w:rsidR="00E74676" w:rsidRPr="006C3A33" w:rsidRDefault="00E74676" w:rsidP="0015696D">
      <w:pPr>
        <w:pStyle w:val="BodyText"/>
        <w:kinsoku w:val="0"/>
        <w:overflowPunct w:val="0"/>
        <w:spacing w:before="9"/>
        <w:ind w:right="-10"/>
        <w:rPr>
          <w:rFonts w:asciiTheme="minorHAnsi" w:hAnsiTheme="minorHAnsi"/>
        </w:rPr>
      </w:pPr>
    </w:p>
    <w:p w:rsidR="00E74676" w:rsidRDefault="00E74676" w:rsidP="0015696D">
      <w:pPr>
        <w:pStyle w:val="BodyText"/>
        <w:kinsoku w:val="0"/>
        <w:overflowPunct w:val="0"/>
        <w:spacing w:before="1" w:line="237" w:lineRule="auto"/>
        <w:ind w:right="-10"/>
        <w:rPr>
          <w:rFonts w:asciiTheme="minorHAnsi" w:hAnsiTheme="minorHAnsi"/>
        </w:rPr>
      </w:pPr>
      <w:r w:rsidRPr="006C3A33">
        <w:rPr>
          <w:rFonts w:asciiTheme="minorHAnsi" w:hAnsiTheme="minorHAnsi"/>
        </w:rPr>
        <w:t>Pursuant to the waiver authority granted at Section 12(l) of the NSLA, FNS waives the aforementioned requirements that set meal time parameters for CACFP institutions and facilities.</w:t>
      </w:r>
    </w:p>
    <w:p w:rsidR="00C91869" w:rsidRPr="006C3A33" w:rsidRDefault="00C91869" w:rsidP="0015696D">
      <w:pPr>
        <w:pStyle w:val="BodyText"/>
        <w:kinsoku w:val="0"/>
        <w:overflowPunct w:val="0"/>
        <w:spacing w:before="1" w:line="237" w:lineRule="auto"/>
        <w:ind w:left="720" w:right="-10"/>
        <w:rPr>
          <w:rFonts w:asciiTheme="minorHAnsi" w:hAnsiTheme="minorHAnsi"/>
        </w:rPr>
      </w:pPr>
    </w:p>
    <w:p w:rsidR="008B1735" w:rsidRPr="00451C7E" w:rsidRDefault="00451C7E" w:rsidP="0015696D">
      <w:pPr>
        <w:pStyle w:val="BodyText"/>
        <w:kinsoku w:val="0"/>
        <w:overflowPunct w:val="0"/>
        <w:spacing w:line="237" w:lineRule="auto"/>
        <w:ind w:left="720" w:right="-10"/>
        <w:jc w:val="center"/>
        <w:rPr>
          <w:rFonts w:asciiTheme="minorHAnsi" w:hAnsiTheme="minorHAnsi"/>
          <w:b/>
        </w:rPr>
      </w:pPr>
      <w:r w:rsidRPr="00451C7E">
        <w:rPr>
          <w:rFonts w:ascii="Calibri" w:hAnsi="Calibri"/>
          <w:b/>
          <w:sz w:val="36"/>
        </w:rPr>
        <w:t>Child Nutrition Program Administration Waiver Summary</w:t>
      </w:r>
    </w:p>
    <w:p w:rsidR="00451C7E" w:rsidRDefault="00451C7E" w:rsidP="0015696D">
      <w:pPr>
        <w:pStyle w:val="BodyText"/>
        <w:kinsoku w:val="0"/>
        <w:overflowPunct w:val="0"/>
        <w:ind w:right="-10"/>
        <w:rPr>
          <w:rFonts w:ascii="Calibri" w:hAnsi="Calibri"/>
          <w:color w:val="000000"/>
        </w:rPr>
      </w:pPr>
      <w:r>
        <w:rPr>
          <w:rFonts w:ascii="Calibri" w:hAnsi="Calibri"/>
          <w:color w:val="1B1B1B"/>
        </w:rPr>
        <w:t xml:space="preserve">The waivers below </w:t>
      </w:r>
      <w:r w:rsidRPr="00F209DB">
        <w:rPr>
          <w:rFonts w:ascii="Calibri" w:hAnsi="Calibri"/>
          <w:b/>
          <w:color w:val="1B1B1B"/>
          <w:u w:val="single"/>
        </w:rPr>
        <w:t>do not require</w:t>
      </w:r>
      <w:r>
        <w:rPr>
          <w:rFonts w:ascii="Calibri" w:hAnsi="Calibri"/>
          <w:color w:val="1B1B1B"/>
        </w:rPr>
        <w:t xml:space="preserve"> a sponsor to verify that their county is in High (Orange) risk status per the CDC or that they are experiencing staffing shortages due to COVID-19 illness, prior to applying</w:t>
      </w:r>
      <w:r w:rsidRPr="00F209DB">
        <w:rPr>
          <w:rFonts w:ascii="Calibri" w:hAnsi="Calibri"/>
        </w:rPr>
        <w:t xml:space="preserve">, via the </w:t>
      </w:r>
      <w:hyperlink r:id="rId13" w:history="1">
        <w:r w:rsidR="00500E35">
          <w:rPr>
            <w:rStyle w:val="Hyperlink"/>
            <w:rFonts w:ascii="Calibri" w:hAnsi="Calibri"/>
          </w:rPr>
          <w:t>2022-2023 Oregon Waivers Form</w:t>
        </w:r>
      </w:hyperlink>
      <w:r>
        <w:rPr>
          <w:rFonts w:ascii="Calibri" w:hAnsi="Calibri"/>
          <w:color w:val="1B1B1B"/>
        </w:rPr>
        <w:t>.</w:t>
      </w:r>
      <w:r>
        <w:rPr>
          <w:rFonts w:ascii="Calibri" w:hAnsi="Calibri"/>
          <w:color w:val="000000"/>
        </w:rPr>
        <w:t xml:space="preserve"> </w:t>
      </w:r>
    </w:p>
    <w:p w:rsidR="00FA54F0" w:rsidRDefault="00FA54F0" w:rsidP="0015696D">
      <w:pPr>
        <w:pStyle w:val="BodyText"/>
        <w:kinsoku w:val="0"/>
        <w:overflowPunct w:val="0"/>
        <w:ind w:right="-10"/>
        <w:rPr>
          <w:rFonts w:ascii="Calibri" w:hAnsi="Calibri"/>
          <w:color w:val="000000"/>
        </w:rPr>
      </w:pPr>
    </w:p>
    <w:p w:rsidR="00451C7E" w:rsidRDefault="00451C7E" w:rsidP="0015696D">
      <w:pPr>
        <w:pStyle w:val="BodyText"/>
        <w:kinsoku w:val="0"/>
        <w:overflowPunct w:val="0"/>
        <w:ind w:right="-10"/>
        <w:rPr>
          <w:rFonts w:ascii="Calibri" w:hAnsi="Calibri"/>
          <w:color w:val="000000"/>
        </w:rPr>
      </w:pPr>
      <w:r>
        <w:rPr>
          <w:rFonts w:ascii="Calibri" w:hAnsi="Calibri"/>
          <w:color w:val="000000"/>
        </w:rPr>
        <w:t xml:space="preserve">These waivers are meant to alleviate some of the administration burden that these program carry. </w:t>
      </w:r>
    </w:p>
    <w:p w:rsidR="00451C7E" w:rsidRPr="008B1735" w:rsidRDefault="00451C7E" w:rsidP="0015696D">
      <w:pPr>
        <w:pStyle w:val="BodyText"/>
        <w:kinsoku w:val="0"/>
        <w:overflowPunct w:val="0"/>
        <w:ind w:right="-10"/>
        <w:rPr>
          <w:rFonts w:ascii="Calibri" w:hAnsi="Calibri"/>
          <w:color w:val="000000"/>
        </w:rPr>
      </w:pPr>
      <w:r w:rsidRPr="008B1735">
        <w:rPr>
          <w:rFonts w:ascii="Calibri" w:hAnsi="Calibri"/>
          <w:color w:val="000000"/>
        </w:rPr>
        <w:t>FNS</w:t>
      </w:r>
      <w:r w:rsidRPr="008B1735">
        <w:rPr>
          <w:rFonts w:ascii="Calibri" w:hAnsi="Calibri"/>
          <w:color w:val="000000"/>
          <w:spacing w:val="-15"/>
        </w:rPr>
        <w:t xml:space="preserve"> </w:t>
      </w:r>
      <w:r w:rsidRPr="008B1735">
        <w:rPr>
          <w:rFonts w:ascii="Calibri" w:hAnsi="Calibri"/>
          <w:color w:val="000000"/>
          <w:spacing w:val="3"/>
        </w:rPr>
        <w:t>expects</w:t>
      </w:r>
      <w:r w:rsidRPr="008B1735">
        <w:rPr>
          <w:rFonts w:ascii="Calibri" w:hAnsi="Calibri"/>
          <w:color w:val="000000"/>
          <w:spacing w:val="-7"/>
        </w:rPr>
        <w:t xml:space="preserve"> </w:t>
      </w:r>
      <w:r w:rsidRPr="008B1735">
        <w:rPr>
          <w:rFonts w:ascii="Calibri" w:hAnsi="Calibri"/>
          <w:color w:val="000000"/>
        </w:rPr>
        <w:t xml:space="preserve">program </w:t>
      </w:r>
      <w:r w:rsidRPr="008B1735">
        <w:rPr>
          <w:rFonts w:ascii="Calibri" w:hAnsi="Calibri"/>
          <w:spacing w:val="3"/>
        </w:rPr>
        <w:t>operators</w:t>
      </w:r>
      <w:r w:rsidRPr="008B1735">
        <w:rPr>
          <w:rFonts w:ascii="Calibri" w:hAnsi="Calibri"/>
          <w:spacing w:val="-7"/>
        </w:rPr>
        <w:t xml:space="preserve"> </w:t>
      </w:r>
      <w:r w:rsidRPr="008B1735">
        <w:rPr>
          <w:rFonts w:ascii="Calibri" w:hAnsi="Calibri"/>
        </w:rPr>
        <w:t>to</w:t>
      </w:r>
      <w:r w:rsidRPr="008B1735">
        <w:rPr>
          <w:rFonts w:ascii="Calibri" w:hAnsi="Calibri"/>
          <w:spacing w:val="-1"/>
        </w:rPr>
        <w:t xml:space="preserve"> </w:t>
      </w:r>
      <w:r w:rsidRPr="008B1735">
        <w:rPr>
          <w:rFonts w:ascii="Calibri" w:hAnsi="Calibri"/>
          <w:spacing w:val="3"/>
        </w:rPr>
        <w:t>use</w:t>
      </w:r>
      <w:r w:rsidRPr="008B1735">
        <w:rPr>
          <w:rFonts w:ascii="Calibri" w:hAnsi="Calibri"/>
          <w:spacing w:val="-4"/>
        </w:rPr>
        <w:t xml:space="preserve"> </w:t>
      </w:r>
      <w:r w:rsidRPr="008B1735">
        <w:rPr>
          <w:rFonts w:ascii="Calibri" w:hAnsi="Calibri"/>
        </w:rPr>
        <w:t>the</w:t>
      </w:r>
      <w:r w:rsidRPr="008B1735">
        <w:rPr>
          <w:rFonts w:ascii="Calibri" w:hAnsi="Calibri"/>
          <w:spacing w:val="-3"/>
        </w:rPr>
        <w:t xml:space="preserve"> </w:t>
      </w:r>
      <w:r w:rsidRPr="008B1735">
        <w:rPr>
          <w:rFonts w:ascii="Calibri" w:hAnsi="Calibri"/>
        </w:rPr>
        <w:t>flexibilities</w:t>
      </w:r>
      <w:r w:rsidRPr="008B1735">
        <w:rPr>
          <w:rFonts w:ascii="Calibri" w:hAnsi="Calibri"/>
          <w:spacing w:val="-7"/>
        </w:rPr>
        <w:t xml:space="preserve"> </w:t>
      </w:r>
      <w:r w:rsidRPr="008B1735">
        <w:rPr>
          <w:rFonts w:ascii="Calibri" w:hAnsi="Calibri"/>
          <w:spacing w:val="2"/>
        </w:rPr>
        <w:t>for</w:t>
      </w:r>
      <w:r w:rsidRPr="008B1735">
        <w:rPr>
          <w:rFonts w:ascii="Calibri" w:hAnsi="Calibri"/>
          <w:spacing w:val="-9"/>
        </w:rPr>
        <w:t xml:space="preserve"> </w:t>
      </w:r>
      <w:r w:rsidRPr="008B1735">
        <w:rPr>
          <w:rFonts w:ascii="Calibri" w:hAnsi="Calibri"/>
          <w:spacing w:val="2"/>
        </w:rPr>
        <w:t>only</w:t>
      </w:r>
      <w:r w:rsidRPr="008B1735">
        <w:rPr>
          <w:rFonts w:ascii="Calibri" w:hAnsi="Calibri"/>
          <w:spacing w:val="-1"/>
        </w:rPr>
        <w:t xml:space="preserve"> </w:t>
      </w:r>
      <w:r w:rsidRPr="008B1735">
        <w:rPr>
          <w:rFonts w:ascii="Calibri" w:hAnsi="Calibri"/>
        </w:rPr>
        <w:t>the</w:t>
      </w:r>
      <w:r w:rsidRPr="008B1735">
        <w:rPr>
          <w:rFonts w:ascii="Calibri" w:hAnsi="Calibri"/>
          <w:spacing w:val="-3"/>
        </w:rPr>
        <w:t xml:space="preserve"> </w:t>
      </w:r>
      <w:r w:rsidRPr="008B1735">
        <w:rPr>
          <w:rFonts w:ascii="Calibri" w:hAnsi="Calibri"/>
        </w:rPr>
        <w:t>duration</w:t>
      </w:r>
      <w:r w:rsidRPr="008B1735">
        <w:rPr>
          <w:rFonts w:ascii="Calibri" w:hAnsi="Calibri"/>
          <w:spacing w:val="-2"/>
        </w:rPr>
        <w:t xml:space="preserve"> </w:t>
      </w:r>
      <w:r w:rsidRPr="008B1735">
        <w:rPr>
          <w:rFonts w:ascii="Calibri" w:hAnsi="Calibri"/>
        </w:rPr>
        <w:t>and</w:t>
      </w:r>
      <w:r w:rsidRPr="008B1735">
        <w:rPr>
          <w:rFonts w:ascii="Calibri" w:hAnsi="Calibri"/>
          <w:spacing w:val="-1"/>
        </w:rPr>
        <w:t xml:space="preserve"> </w:t>
      </w:r>
      <w:r w:rsidRPr="008B1735">
        <w:rPr>
          <w:rFonts w:ascii="Calibri" w:hAnsi="Calibri"/>
        </w:rPr>
        <w:t>extent</w:t>
      </w:r>
      <w:r w:rsidRPr="008B1735">
        <w:rPr>
          <w:rFonts w:ascii="Calibri" w:hAnsi="Calibri"/>
          <w:spacing w:val="-12"/>
        </w:rPr>
        <w:t xml:space="preserve"> </w:t>
      </w:r>
      <w:r w:rsidRPr="008B1735">
        <w:rPr>
          <w:rFonts w:ascii="Calibri" w:hAnsi="Calibri"/>
          <w:spacing w:val="2"/>
        </w:rPr>
        <w:t>that</w:t>
      </w:r>
      <w:r w:rsidRPr="008B1735">
        <w:rPr>
          <w:rFonts w:ascii="Calibri" w:hAnsi="Calibri"/>
          <w:spacing w:val="-12"/>
        </w:rPr>
        <w:t xml:space="preserve"> </w:t>
      </w:r>
      <w:r w:rsidRPr="008B1735">
        <w:rPr>
          <w:rFonts w:ascii="Calibri" w:hAnsi="Calibri"/>
          <w:spacing w:val="2"/>
        </w:rPr>
        <w:t>they</w:t>
      </w:r>
      <w:r w:rsidRPr="008B1735">
        <w:rPr>
          <w:rFonts w:ascii="Calibri" w:hAnsi="Calibri"/>
          <w:spacing w:val="-1"/>
        </w:rPr>
        <w:t xml:space="preserve"> </w:t>
      </w:r>
      <w:r w:rsidRPr="008B1735">
        <w:rPr>
          <w:rFonts w:ascii="Calibri" w:hAnsi="Calibri"/>
        </w:rPr>
        <w:t>are</w:t>
      </w:r>
      <w:r w:rsidRPr="008B1735">
        <w:rPr>
          <w:rFonts w:ascii="Calibri" w:hAnsi="Calibri"/>
          <w:spacing w:val="-3"/>
        </w:rPr>
        <w:t xml:space="preserve"> </w:t>
      </w:r>
      <w:r w:rsidRPr="008B1735">
        <w:rPr>
          <w:rFonts w:ascii="Calibri" w:hAnsi="Calibri"/>
        </w:rPr>
        <w:t>needed.</w:t>
      </w:r>
    </w:p>
    <w:p w:rsidR="00451C7E" w:rsidRDefault="00451C7E" w:rsidP="0015696D">
      <w:pPr>
        <w:pStyle w:val="Heading1"/>
        <w:kinsoku w:val="0"/>
        <w:overflowPunct w:val="0"/>
        <w:ind w:left="0" w:right="-10"/>
        <w:rPr>
          <w:rFonts w:ascii="Calibri" w:hAnsi="Calibri"/>
          <w:sz w:val="32"/>
          <w:u w:color="000000"/>
        </w:rPr>
      </w:pPr>
    </w:p>
    <w:p w:rsidR="008B1735" w:rsidRDefault="008B1735" w:rsidP="0015696D">
      <w:pPr>
        <w:pStyle w:val="Heading1"/>
        <w:kinsoku w:val="0"/>
        <w:overflowPunct w:val="0"/>
        <w:ind w:left="0" w:right="-10"/>
        <w:rPr>
          <w:rFonts w:ascii="Calibri" w:hAnsi="Calibri"/>
          <w:sz w:val="32"/>
          <w:u w:color="000000"/>
        </w:rPr>
      </w:pPr>
      <w:r w:rsidRPr="008B1735">
        <w:rPr>
          <w:rFonts w:ascii="Calibri" w:hAnsi="Calibri"/>
          <w:sz w:val="32"/>
          <w:u w:color="000000"/>
        </w:rPr>
        <w:t>School Year Administration (NSLP/SBP/SFSP)</w:t>
      </w:r>
    </w:p>
    <w:p w:rsidR="008B1735" w:rsidRPr="008B1735" w:rsidRDefault="008B1735" w:rsidP="0015696D">
      <w:pPr>
        <w:pStyle w:val="BodyText"/>
        <w:kinsoku w:val="0"/>
        <w:overflowPunct w:val="0"/>
        <w:spacing w:before="1"/>
        <w:ind w:right="-10"/>
        <w:rPr>
          <w:rFonts w:ascii="Calibri" w:hAnsi="Calibri"/>
        </w:rPr>
      </w:pPr>
    </w:p>
    <w:p w:rsidR="008B1735" w:rsidRPr="008B1735" w:rsidRDefault="008B1735" w:rsidP="0015696D">
      <w:pPr>
        <w:pStyle w:val="BodyText"/>
        <w:tabs>
          <w:tab w:val="left" w:pos="720"/>
        </w:tabs>
        <w:kinsoku w:val="0"/>
        <w:overflowPunct w:val="0"/>
        <w:ind w:left="1080" w:right="-10" w:hanging="1080"/>
        <w:rPr>
          <w:rFonts w:ascii="Calibri" w:hAnsi="Calibri"/>
          <w:i/>
          <w:iCs/>
        </w:rPr>
      </w:pPr>
      <w:r w:rsidRPr="008B1735">
        <w:rPr>
          <w:rFonts w:ascii="Calibri" w:hAnsi="Calibri"/>
          <w:i/>
          <w:iCs/>
          <w:u w:val="single"/>
        </w:rPr>
        <w:t>Waiver 7: Local School Wellness Policy Triennial Assessment (NSLP)</w:t>
      </w:r>
    </w:p>
    <w:p w:rsidR="008B1735" w:rsidRPr="008B1735" w:rsidRDefault="008B1735" w:rsidP="00500E35">
      <w:pPr>
        <w:pStyle w:val="BodyText"/>
        <w:tabs>
          <w:tab w:val="left" w:pos="720"/>
        </w:tabs>
        <w:kinsoku w:val="0"/>
        <w:overflowPunct w:val="0"/>
        <w:spacing w:before="15" w:line="237" w:lineRule="auto"/>
        <w:ind w:right="-10"/>
        <w:rPr>
          <w:rFonts w:ascii="Calibri" w:hAnsi="Calibri"/>
        </w:rPr>
      </w:pPr>
      <w:r w:rsidRPr="008B1735">
        <w:rPr>
          <w:rFonts w:ascii="Calibri" w:hAnsi="Calibri"/>
        </w:rPr>
        <w:t>Section 9A(b) of the NSLA, 42 U.S.C. 1758b(b), establishes requirements for local school</w:t>
      </w:r>
      <w:r w:rsidR="00500E35">
        <w:rPr>
          <w:rFonts w:ascii="Calibri" w:hAnsi="Calibri"/>
        </w:rPr>
        <w:t xml:space="preserve"> </w:t>
      </w:r>
      <w:r w:rsidRPr="008B1735">
        <w:rPr>
          <w:rFonts w:ascii="Calibri" w:hAnsi="Calibri"/>
        </w:rPr>
        <w:t>wellness policies related to implementation, evaluation, and publicly reporting on progress of local school wellness policies. FNS regulations further require at 7 CFR 210.31(e)(2) that, at</w:t>
      </w:r>
      <w:r w:rsidR="00500E35">
        <w:rPr>
          <w:rFonts w:ascii="Calibri" w:hAnsi="Calibri"/>
        </w:rPr>
        <w:t xml:space="preserve"> </w:t>
      </w:r>
      <w:r w:rsidRPr="008B1735">
        <w:rPr>
          <w:rFonts w:ascii="Calibri" w:hAnsi="Calibri"/>
        </w:rPr>
        <w:t>least once every three years, local educational agencies (LEAs) assess compliance with the</w:t>
      </w:r>
      <w:r w:rsidR="00500E35">
        <w:rPr>
          <w:rFonts w:ascii="Calibri" w:hAnsi="Calibri"/>
        </w:rPr>
        <w:t xml:space="preserve"> </w:t>
      </w:r>
      <w:r w:rsidRPr="008B1735">
        <w:rPr>
          <w:rFonts w:ascii="Calibri" w:hAnsi="Calibri"/>
        </w:rPr>
        <w:t>local school wellness policy and make assessment results available to the public.</w:t>
      </w:r>
    </w:p>
    <w:p w:rsidR="008B1735" w:rsidRPr="008B1735" w:rsidRDefault="008B1735" w:rsidP="0015696D">
      <w:pPr>
        <w:pStyle w:val="BodyText"/>
        <w:tabs>
          <w:tab w:val="left" w:pos="720"/>
        </w:tabs>
        <w:kinsoku w:val="0"/>
        <w:overflowPunct w:val="0"/>
        <w:ind w:left="1080" w:right="-10"/>
        <w:rPr>
          <w:rFonts w:ascii="Calibri" w:hAnsi="Calibri"/>
        </w:rPr>
      </w:pPr>
    </w:p>
    <w:p w:rsidR="008B1735" w:rsidRPr="008B1735" w:rsidRDefault="008B1735" w:rsidP="0015696D">
      <w:pPr>
        <w:pStyle w:val="BodyText"/>
        <w:tabs>
          <w:tab w:val="left" w:pos="720"/>
        </w:tabs>
        <w:kinsoku w:val="0"/>
        <w:overflowPunct w:val="0"/>
        <w:spacing w:before="92" w:line="237" w:lineRule="auto"/>
        <w:ind w:right="-10"/>
        <w:rPr>
          <w:rFonts w:ascii="Calibri" w:hAnsi="Calibri"/>
        </w:rPr>
      </w:pPr>
      <w:r w:rsidRPr="008B1735">
        <w:rPr>
          <w:rFonts w:ascii="Calibri" w:hAnsi="Calibri"/>
        </w:rPr>
        <w:t xml:space="preserve">Based on the July 1, 2017, implementation of the local school wellness policy regulations, the first triennial assessments were due June 30, 2020. On April 2, 2020, FNS issued a nationwide waiver delaying the deadline for the first triennial assessment to June 30, 2021, and on June 11, 2021, FNS issued a nationwide waiver delaying the deadline for the first triennial assessment to June 30, 2022. </w:t>
      </w:r>
      <w:r w:rsidRPr="008B1735">
        <w:rPr>
          <w:rFonts w:ascii="Calibri" w:hAnsi="Calibri"/>
          <w:color w:val="1B1B1B"/>
        </w:rPr>
        <w:t>FNS recognizes that States and schools continue to devote additional resources to pandemic recovery and the transition back to normal operations. Due to this</w:t>
      </w:r>
      <w:r w:rsidRPr="008B1735">
        <w:rPr>
          <w:rFonts w:ascii="Calibri" w:hAnsi="Calibri"/>
        </w:rPr>
        <w:t xml:space="preserve"> </w:t>
      </w:r>
      <w:r w:rsidRPr="008B1735">
        <w:rPr>
          <w:rFonts w:ascii="Calibri" w:hAnsi="Calibri"/>
          <w:color w:val="1B1B1B"/>
        </w:rPr>
        <w:t>ongoing pandemic response and recovery, the resources required to meet the</w:t>
      </w:r>
      <w:r w:rsidRPr="008B1735">
        <w:rPr>
          <w:rFonts w:ascii="Calibri" w:hAnsi="Calibri"/>
        </w:rPr>
        <w:t xml:space="preserve"> </w:t>
      </w:r>
      <w:r w:rsidRPr="008B1735">
        <w:rPr>
          <w:rFonts w:ascii="Calibri" w:hAnsi="Calibri"/>
          <w:color w:val="1B1B1B"/>
        </w:rPr>
        <w:t>upcoming Local School Wellness Policy triennial assessment deadlines are better spent planning for the upcoming school year and ensuring that students are fed.</w:t>
      </w:r>
    </w:p>
    <w:p w:rsidR="008B1735" w:rsidRPr="008B1735" w:rsidRDefault="008B1735" w:rsidP="0015696D">
      <w:pPr>
        <w:pStyle w:val="BodyText"/>
        <w:tabs>
          <w:tab w:val="left" w:pos="720"/>
        </w:tabs>
        <w:kinsoku w:val="0"/>
        <w:overflowPunct w:val="0"/>
        <w:spacing w:before="3"/>
        <w:ind w:right="-10"/>
        <w:rPr>
          <w:rFonts w:ascii="Calibri" w:hAnsi="Calibri"/>
        </w:rPr>
      </w:pPr>
    </w:p>
    <w:p w:rsidR="008B1735" w:rsidRPr="008B1735" w:rsidRDefault="008B1735" w:rsidP="0015696D">
      <w:pPr>
        <w:pStyle w:val="BodyText"/>
        <w:tabs>
          <w:tab w:val="left" w:pos="720"/>
        </w:tabs>
        <w:kinsoku w:val="0"/>
        <w:overflowPunct w:val="0"/>
        <w:ind w:right="-10"/>
        <w:rPr>
          <w:rFonts w:ascii="Calibri" w:hAnsi="Calibri"/>
        </w:rPr>
      </w:pPr>
      <w:r w:rsidRPr="008B1735">
        <w:rPr>
          <w:rFonts w:ascii="Calibri" w:hAnsi="Calibri"/>
        </w:rPr>
        <w:t>Pursuant to the Section 12(l) waiver authority cited above, FNS waives, for Program operators the above referenced statutory and regulatory requirements and provides a new first triennial assessment deadline of June 30, 2023. Accordingly, LEAs required to complete a triennial assessment by June 30, 2022, may choose to accept the new regulatory deadline and instead complete their first assessment by June 30, 2023. These LEAs then would complete a second triennial assessment by June 30, 2026. FNS recognizes that some LEAs may be prepared to complete their triennial assessment by June 30, 2022, and encourages those that are prepared to do so to complete their assessments on time.</w:t>
      </w:r>
    </w:p>
    <w:p w:rsidR="008B1735" w:rsidRPr="008B1735" w:rsidRDefault="008B1735" w:rsidP="0015696D">
      <w:pPr>
        <w:pStyle w:val="BodyText"/>
        <w:tabs>
          <w:tab w:val="left" w:pos="720"/>
        </w:tabs>
        <w:kinsoku w:val="0"/>
        <w:overflowPunct w:val="0"/>
        <w:ind w:right="-10"/>
        <w:rPr>
          <w:rFonts w:ascii="Calibri" w:hAnsi="Calibri"/>
        </w:rPr>
      </w:pPr>
    </w:p>
    <w:p w:rsidR="008B1735" w:rsidRPr="008B1735" w:rsidRDefault="008B1735" w:rsidP="0015696D">
      <w:pPr>
        <w:pStyle w:val="BodyText"/>
        <w:tabs>
          <w:tab w:val="left" w:pos="720"/>
        </w:tabs>
        <w:kinsoku w:val="0"/>
        <w:overflowPunct w:val="0"/>
        <w:spacing w:line="237" w:lineRule="auto"/>
        <w:ind w:right="-10"/>
        <w:rPr>
          <w:rFonts w:ascii="Calibri" w:hAnsi="Calibri"/>
          <w:i/>
          <w:iCs/>
        </w:rPr>
      </w:pPr>
      <w:r w:rsidRPr="008B1735">
        <w:rPr>
          <w:rFonts w:ascii="Calibri" w:hAnsi="Calibri"/>
          <w:i/>
          <w:iCs/>
          <w:u w:val="single" w:color="000000"/>
        </w:rPr>
        <w:t>Waiver 8: Food Service Management Company (FSMC) Contract Duration</w:t>
      </w:r>
      <w:r w:rsidRPr="008B1735">
        <w:rPr>
          <w:rFonts w:ascii="Calibri" w:hAnsi="Calibri"/>
          <w:i/>
          <w:iCs/>
        </w:rPr>
        <w:t xml:space="preserve"> </w:t>
      </w:r>
      <w:r w:rsidRPr="008B1735">
        <w:rPr>
          <w:rFonts w:ascii="Calibri" w:hAnsi="Calibri"/>
          <w:i/>
          <w:iCs/>
          <w:u w:val="single" w:color="000000"/>
        </w:rPr>
        <w:t>(NSLP and SFSP)</w:t>
      </w:r>
    </w:p>
    <w:p w:rsidR="008B1735" w:rsidRPr="008B1735" w:rsidRDefault="008B1735" w:rsidP="0015696D">
      <w:pPr>
        <w:pStyle w:val="BodyText"/>
        <w:tabs>
          <w:tab w:val="left" w:pos="720"/>
        </w:tabs>
        <w:kinsoku w:val="0"/>
        <w:overflowPunct w:val="0"/>
        <w:spacing w:line="242" w:lineRule="auto"/>
        <w:ind w:right="-10"/>
        <w:rPr>
          <w:rFonts w:ascii="Calibri" w:hAnsi="Calibri"/>
        </w:rPr>
      </w:pPr>
      <w:r w:rsidRPr="008B1735">
        <w:rPr>
          <w:rFonts w:ascii="Calibri" w:hAnsi="Calibri"/>
        </w:rPr>
        <w:t>Under Program regulations at 7 CFR 210.16(d) and 225.6(h)(7), SFAs and SFSP sponsors with a FSMC may contract for no longer than one year, with options for a yearly renewal not to exceed four additional years. Many SFAs and SFSP sponsor FSMC contracts may be nearing the end of their last renewal year. However, FNS recognizes that during this transition year, requiring SFAs and sponsors to conduct a competitive procurement process for a new FSMC contract may place an undue administrative burden on local operators.</w:t>
      </w:r>
    </w:p>
    <w:p w:rsidR="008B1735" w:rsidRPr="008B1735" w:rsidRDefault="008B1735" w:rsidP="0015696D">
      <w:pPr>
        <w:pStyle w:val="BodyText"/>
        <w:tabs>
          <w:tab w:val="left" w:pos="0"/>
        </w:tabs>
        <w:kinsoku w:val="0"/>
        <w:overflowPunct w:val="0"/>
        <w:spacing w:before="206" w:line="237" w:lineRule="auto"/>
        <w:ind w:right="-10"/>
        <w:rPr>
          <w:rFonts w:ascii="Calibri" w:hAnsi="Calibri"/>
        </w:rPr>
      </w:pPr>
      <w:r w:rsidRPr="008B1735">
        <w:rPr>
          <w:rFonts w:ascii="Calibri" w:hAnsi="Calibri"/>
        </w:rPr>
        <w:t xml:space="preserve">Pursuant to the waiver authority granted at Section 12(l) of the NSLA, FNS waives 7 CFR 210.16(d) and </w:t>
      </w:r>
      <w:r w:rsidRPr="008B1735">
        <w:rPr>
          <w:rFonts w:ascii="Calibri" w:hAnsi="Calibri"/>
        </w:rPr>
        <w:lastRenderedPageBreak/>
        <w:t>7 CFR 225.6(h)(7) to permit SFAs and SFSP sponsors to extend existing FSMC contracts that would not otherwise be eligible for extension through SY 2022-2023 or June 30, 2023.</w:t>
      </w:r>
    </w:p>
    <w:p w:rsidR="008B1735" w:rsidRPr="008B1735" w:rsidRDefault="008B1735" w:rsidP="0015696D">
      <w:pPr>
        <w:pStyle w:val="BodyText"/>
        <w:tabs>
          <w:tab w:val="left" w:pos="0"/>
        </w:tabs>
        <w:kinsoku w:val="0"/>
        <w:overflowPunct w:val="0"/>
        <w:spacing w:before="3"/>
        <w:ind w:right="-10"/>
        <w:rPr>
          <w:rFonts w:ascii="Calibri" w:hAnsi="Calibri"/>
        </w:rPr>
      </w:pPr>
    </w:p>
    <w:p w:rsidR="008B1735" w:rsidRPr="008B1735" w:rsidRDefault="008B1735" w:rsidP="0015696D">
      <w:pPr>
        <w:pStyle w:val="BodyText"/>
        <w:tabs>
          <w:tab w:val="left" w:pos="0"/>
        </w:tabs>
        <w:kinsoku w:val="0"/>
        <w:overflowPunct w:val="0"/>
        <w:ind w:right="-10"/>
        <w:rPr>
          <w:rFonts w:ascii="Calibri" w:hAnsi="Calibri"/>
          <w:i/>
          <w:iCs/>
        </w:rPr>
      </w:pPr>
      <w:r w:rsidRPr="008B1735">
        <w:rPr>
          <w:rFonts w:ascii="Calibri" w:hAnsi="Calibri"/>
          <w:i/>
          <w:iCs/>
          <w:u w:val="single" w:color="000000"/>
        </w:rPr>
        <w:t>Waiver 9: Administrative Review Onsite Requirements (NSLP and SBP)</w:t>
      </w:r>
    </w:p>
    <w:p w:rsidR="008B1735" w:rsidRPr="008B1735" w:rsidRDefault="008B1735" w:rsidP="00500E35">
      <w:pPr>
        <w:pStyle w:val="BodyText"/>
        <w:tabs>
          <w:tab w:val="left" w:pos="0"/>
        </w:tabs>
        <w:kinsoku w:val="0"/>
        <w:overflowPunct w:val="0"/>
        <w:spacing w:before="12" w:line="274" w:lineRule="exact"/>
        <w:ind w:right="-10"/>
        <w:rPr>
          <w:rFonts w:ascii="Calibri" w:hAnsi="Calibri"/>
        </w:rPr>
      </w:pPr>
      <w:r w:rsidRPr="008B1735">
        <w:rPr>
          <w:rFonts w:ascii="Calibri" w:hAnsi="Calibri"/>
        </w:rPr>
        <w:t>Under Program regulations at 7 CFR 210.8(a)(1), 210.9(c)(7), 210.16(a)(3),</w:t>
      </w:r>
      <w:r w:rsidR="00500E35">
        <w:rPr>
          <w:rFonts w:ascii="Calibri" w:hAnsi="Calibri"/>
        </w:rPr>
        <w:t xml:space="preserve"> </w:t>
      </w:r>
      <w:r w:rsidRPr="008B1735">
        <w:rPr>
          <w:rFonts w:ascii="Calibri" w:hAnsi="Calibri"/>
        </w:rPr>
        <w:t>210.18, 220.7(d)(1)(iii), and 220.11(d)(1), SFAs are required to conduct portions of the administrative review onsite. However, FNS recognizes that during this transition year and in order to provide meals and meal supplements and ensure continuity of operations, suspending onsite monitoring is vital.</w:t>
      </w:r>
    </w:p>
    <w:p w:rsidR="008B1735" w:rsidRPr="008B1735" w:rsidRDefault="008B1735" w:rsidP="00500E35">
      <w:pPr>
        <w:pStyle w:val="BodyText"/>
        <w:tabs>
          <w:tab w:val="left" w:pos="0"/>
        </w:tabs>
        <w:kinsoku w:val="0"/>
        <w:overflowPunct w:val="0"/>
        <w:spacing w:before="190"/>
        <w:ind w:right="-10"/>
        <w:rPr>
          <w:rFonts w:ascii="Calibri" w:hAnsi="Calibri"/>
        </w:rPr>
      </w:pPr>
      <w:r w:rsidRPr="008B1735">
        <w:rPr>
          <w:rFonts w:ascii="Calibri" w:hAnsi="Calibri"/>
        </w:rPr>
        <w:t>Pursuant to the waiver authority granted at Section 12(l) of the NSLA, FNS</w:t>
      </w:r>
      <w:r w:rsidR="00500E35">
        <w:rPr>
          <w:rFonts w:ascii="Calibri" w:hAnsi="Calibri"/>
        </w:rPr>
        <w:t xml:space="preserve"> </w:t>
      </w:r>
      <w:r w:rsidRPr="008B1735">
        <w:rPr>
          <w:rFonts w:ascii="Calibri" w:hAnsi="Calibri"/>
        </w:rPr>
        <w:t>waives 7 CFR 210.8(a)(1), 210.9(c)(7), 210.16(a)(3), 210.18, 220.7(d)(1)(iii), and</w:t>
      </w:r>
    </w:p>
    <w:p w:rsidR="008B1735" w:rsidRDefault="008B1735" w:rsidP="0015696D">
      <w:pPr>
        <w:pStyle w:val="BodyText"/>
        <w:tabs>
          <w:tab w:val="left" w:pos="0"/>
        </w:tabs>
        <w:kinsoku w:val="0"/>
        <w:overflowPunct w:val="0"/>
        <w:spacing w:before="216" w:line="237" w:lineRule="auto"/>
        <w:ind w:right="-10"/>
        <w:rPr>
          <w:rFonts w:ascii="Calibri" w:hAnsi="Calibri"/>
        </w:rPr>
      </w:pPr>
      <w:r w:rsidRPr="008B1735">
        <w:rPr>
          <w:rFonts w:ascii="Calibri" w:hAnsi="Calibri"/>
        </w:rPr>
        <w:t>220.11(d)(1) to exclude the onsite monitoring requirements. Please note that to ensure Program integrity during this time, State agencies and SFAs should continue monitoring activities of Program operations offsite (e.g., through a desk audit). This waiver is effective when the public health emergency, which was declared on January 31, 2020, by the United States Department of Health and Human Services, ends and continues through June 30, 2023.</w:t>
      </w:r>
    </w:p>
    <w:p w:rsidR="00F209DB" w:rsidRDefault="00F209DB" w:rsidP="0015696D">
      <w:pPr>
        <w:pStyle w:val="BodyText"/>
        <w:kinsoku w:val="0"/>
        <w:overflowPunct w:val="0"/>
        <w:spacing w:line="274" w:lineRule="exact"/>
        <w:ind w:left="720" w:right="-10"/>
        <w:rPr>
          <w:rFonts w:ascii="Calibri" w:hAnsi="Calibri"/>
          <w:i/>
          <w:iCs/>
          <w:u w:val="single" w:color="000000"/>
        </w:rPr>
      </w:pPr>
    </w:p>
    <w:p w:rsidR="00CC18FE" w:rsidRPr="00CC18FE" w:rsidRDefault="00CC18FE" w:rsidP="0015696D">
      <w:pPr>
        <w:pStyle w:val="BodyText"/>
        <w:kinsoku w:val="0"/>
        <w:overflowPunct w:val="0"/>
        <w:spacing w:line="274" w:lineRule="exact"/>
        <w:ind w:right="-10"/>
        <w:rPr>
          <w:rFonts w:ascii="Calibri" w:hAnsi="Calibri"/>
          <w:i/>
          <w:iCs/>
        </w:rPr>
      </w:pPr>
      <w:r w:rsidRPr="00CC18FE">
        <w:rPr>
          <w:rFonts w:ascii="Calibri" w:hAnsi="Calibri"/>
          <w:i/>
          <w:iCs/>
          <w:u w:val="single" w:color="000000"/>
        </w:rPr>
        <w:t>Waiver 25: Paid Lunch Equity (NSLP)</w:t>
      </w:r>
    </w:p>
    <w:p w:rsidR="00CC18FE" w:rsidRPr="00CC18FE" w:rsidRDefault="00CC18FE" w:rsidP="0015696D">
      <w:pPr>
        <w:pStyle w:val="BodyText"/>
        <w:kinsoku w:val="0"/>
        <w:overflowPunct w:val="0"/>
        <w:spacing w:line="274" w:lineRule="exact"/>
        <w:ind w:right="-10"/>
        <w:rPr>
          <w:rFonts w:ascii="Calibri" w:hAnsi="Calibri"/>
        </w:rPr>
      </w:pPr>
      <w:r w:rsidRPr="00CC18FE">
        <w:rPr>
          <w:rFonts w:ascii="Calibri" w:hAnsi="Calibri"/>
        </w:rPr>
        <w:t>Under Program requirements, SFAs must meet Paid Lunch Equity (PLE) requirements as outlined in Section 12(p) of the NSLA, 42 U.S.C. 1760(p) and implemented in NSLP regulations at 7 CFR 210.14(e). Currently through Section 752, Division A of the Consolidated Appropriations Act of 2022 (P.L. 117-103) enacted on March 15, 2022, Congress provided that only SFAs that had a negative balance in the nonprofit school food service account as of December 31, 2021, shall be required to establish prices for paid lunches according to the PLE provision.</w:t>
      </w:r>
    </w:p>
    <w:p w:rsidR="00CC18FE" w:rsidRPr="00CC18FE" w:rsidRDefault="00CC18FE" w:rsidP="0015696D">
      <w:pPr>
        <w:pStyle w:val="BodyText"/>
        <w:kinsoku w:val="0"/>
        <w:overflowPunct w:val="0"/>
        <w:spacing w:before="176" w:line="237" w:lineRule="auto"/>
        <w:ind w:right="-10"/>
        <w:jc w:val="both"/>
        <w:rPr>
          <w:rFonts w:ascii="Calibri" w:hAnsi="Calibri"/>
        </w:rPr>
      </w:pPr>
      <w:r w:rsidRPr="00CC18FE">
        <w:rPr>
          <w:rFonts w:ascii="Calibri" w:hAnsi="Calibri"/>
        </w:rPr>
        <w:t>In meeting PLE requirements, SFAs may need to increase paid lunch prices or offset any difference with non-Federal funds. However, FNS recognizes that during this transition year requiring SFAs to increase their paid meal prices could place a burden upon families who have not paid for meals over the last two school years.</w:t>
      </w:r>
    </w:p>
    <w:p w:rsidR="00CC18FE" w:rsidRPr="00CC18FE" w:rsidRDefault="00CC18FE" w:rsidP="00500E35">
      <w:pPr>
        <w:pStyle w:val="BodyText"/>
        <w:kinsoku w:val="0"/>
        <w:overflowPunct w:val="0"/>
        <w:spacing w:before="204" w:line="237" w:lineRule="auto"/>
        <w:ind w:right="-10"/>
        <w:rPr>
          <w:rFonts w:ascii="Calibri" w:hAnsi="Calibri"/>
        </w:rPr>
      </w:pPr>
      <w:r w:rsidRPr="00CC18FE">
        <w:rPr>
          <w:rFonts w:ascii="Calibri" w:hAnsi="Calibri"/>
        </w:rPr>
        <w:t>Pursuant to the waiver authority granted at Section 12(l) of the NSLA, FNS waives paid lunch equity requirements found at Section 12(p) of the NSLA, 42</w:t>
      </w:r>
      <w:r w:rsidR="00500E35">
        <w:rPr>
          <w:rFonts w:ascii="Calibri" w:hAnsi="Calibri"/>
        </w:rPr>
        <w:t xml:space="preserve"> </w:t>
      </w:r>
      <w:r w:rsidRPr="00CC18FE">
        <w:rPr>
          <w:rFonts w:ascii="Calibri" w:hAnsi="Calibri"/>
        </w:rPr>
        <w:t>U.S.C. 1760(p) and implemented at 7 CFR 210.14(e). This waiver pertains to school lunch prices for SY 2022-2023.</w:t>
      </w:r>
    </w:p>
    <w:p w:rsidR="00CC18FE" w:rsidRPr="00CC18FE" w:rsidRDefault="00CC18FE" w:rsidP="0015696D">
      <w:pPr>
        <w:pStyle w:val="BodyText"/>
        <w:kinsoku w:val="0"/>
        <w:overflowPunct w:val="0"/>
        <w:spacing w:before="5"/>
        <w:ind w:right="-10"/>
        <w:rPr>
          <w:rFonts w:ascii="Calibri" w:hAnsi="Calibri"/>
        </w:rPr>
      </w:pPr>
    </w:p>
    <w:p w:rsidR="00CC18FE" w:rsidRPr="00CC18FE" w:rsidRDefault="00CC18FE" w:rsidP="0015696D">
      <w:pPr>
        <w:pStyle w:val="BodyText"/>
        <w:kinsoku w:val="0"/>
        <w:overflowPunct w:val="0"/>
        <w:spacing w:line="237" w:lineRule="auto"/>
        <w:ind w:right="-10"/>
        <w:rPr>
          <w:rFonts w:ascii="Calibri" w:hAnsi="Calibri"/>
        </w:rPr>
      </w:pPr>
      <w:r w:rsidRPr="00CC18FE">
        <w:rPr>
          <w:rFonts w:ascii="Calibri" w:hAnsi="Calibri"/>
          <w:i/>
          <w:iCs/>
          <w:u w:val="single" w:color="000000"/>
        </w:rPr>
        <w:t>Waiver 26: Carryover Eligibility (NSLP and SBP):</w:t>
      </w:r>
      <w:r w:rsidRPr="00CC18FE">
        <w:rPr>
          <w:rFonts w:ascii="Calibri" w:hAnsi="Calibri"/>
          <w:i/>
          <w:iCs/>
        </w:rPr>
        <w:t xml:space="preserve"> </w:t>
      </w:r>
      <w:r w:rsidRPr="00CC18FE">
        <w:rPr>
          <w:rFonts w:ascii="Calibri" w:hAnsi="Calibri"/>
        </w:rPr>
        <w:t>At 42 U.S.C. 1758(b)(9)(C) and 7 CFR 245.6(c)(1), the statute and regulations indicate that eligibility for free or reduced price meals remains in effect for the entire school year and for a certain number of days into the subsequent school year. Under Program regulations at 7 CFR 245.6(c)(2), eligibility from the preceding year must be used to determine eligibility for the first 30 operating days of the school year, or until a new eligibility determination is made in the current school year, whichever comes first.</w:t>
      </w:r>
    </w:p>
    <w:p w:rsidR="00CC18FE" w:rsidRPr="00CC18FE" w:rsidRDefault="00CC18FE" w:rsidP="0015696D">
      <w:pPr>
        <w:pStyle w:val="BodyText"/>
        <w:kinsoku w:val="0"/>
        <w:overflowPunct w:val="0"/>
        <w:spacing w:before="7"/>
        <w:ind w:left="720" w:right="-10"/>
        <w:rPr>
          <w:rFonts w:ascii="Calibri" w:hAnsi="Calibri"/>
        </w:rPr>
      </w:pPr>
    </w:p>
    <w:p w:rsidR="00CC18FE" w:rsidRDefault="00CC18FE" w:rsidP="0015696D">
      <w:pPr>
        <w:pStyle w:val="BodyText"/>
        <w:tabs>
          <w:tab w:val="left" w:pos="0"/>
        </w:tabs>
        <w:kinsoku w:val="0"/>
        <w:overflowPunct w:val="0"/>
        <w:spacing w:line="237" w:lineRule="auto"/>
        <w:ind w:right="-10"/>
        <w:jc w:val="both"/>
        <w:rPr>
          <w:rFonts w:ascii="Calibri" w:hAnsi="Calibri"/>
        </w:rPr>
      </w:pPr>
      <w:r w:rsidRPr="00CC18FE">
        <w:rPr>
          <w:rFonts w:ascii="Calibri" w:hAnsi="Calibri"/>
        </w:rPr>
        <w:t>Pursuant to the waiver authority granted at Section 12(l) of the NSLA, FNS waives the aforementioned statutory and regulatory requirements and allows schools that operated under the SSO in SY 2021-2022 and do not have eligibility determinations from SY 2021-2022 to use the most recent free and reduced price determinations since SY 2019-2020 during the 30-day carryover period of SY 2022-2023. This waiver is effective for the carryover period during SY 2022- 2023.</w:t>
      </w:r>
    </w:p>
    <w:p w:rsidR="00451C7E" w:rsidRDefault="00451C7E" w:rsidP="0015696D">
      <w:pPr>
        <w:pStyle w:val="BodyText"/>
        <w:kinsoku w:val="0"/>
        <w:overflowPunct w:val="0"/>
        <w:spacing w:line="237" w:lineRule="auto"/>
        <w:ind w:left="720" w:right="-10"/>
        <w:jc w:val="both"/>
        <w:rPr>
          <w:rFonts w:ascii="Calibri" w:hAnsi="Calibri"/>
        </w:rPr>
      </w:pPr>
    </w:p>
    <w:p w:rsidR="00451C7E" w:rsidRPr="00451C7E" w:rsidRDefault="00451C7E" w:rsidP="0015696D">
      <w:pPr>
        <w:pStyle w:val="Heading1"/>
        <w:kinsoku w:val="0"/>
        <w:overflowPunct w:val="0"/>
        <w:spacing w:before="202"/>
        <w:ind w:left="0" w:right="-10"/>
        <w:rPr>
          <w:rFonts w:ascii="Calibri" w:hAnsi="Calibri"/>
          <w:sz w:val="32"/>
          <w:u w:val="none"/>
        </w:rPr>
      </w:pPr>
      <w:r w:rsidRPr="00451C7E">
        <w:rPr>
          <w:rFonts w:ascii="Calibri" w:hAnsi="Calibri"/>
          <w:sz w:val="32"/>
          <w:u w:color="000000"/>
        </w:rPr>
        <w:t>Child and Adult Care Food Program Administration</w:t>
      </w:r>
    </w:p>
    <w:p w:rsidR="00451C7E" w:rsidRPr="00451C7E" w:rsidRDefault="00451C7E" w:rsidP="0015696D">
      <w:pPr>
        <w:pStyle w:val="BodyText"/>
        <w:kinsoku w:val="0"/>
        <w:overflowPunct w:val="0"/>
        <w:spacing w:line="242" w:lineRule="auto"/>
        <w:ind w:right="-10"/>
        <w:rPr>
          <w:rFonts w:ascii="Calibri" w:hAnsi="Calibri"/>
          <w:i/>
        </w:rPr>
      </w:pPr>
      <w:r w:rsidRPr="00451C7E">
        <w:rPr>
          <w:rFonts w:ascii="Calibri" w:hAnsi="Calibri"/>
          <w:b/>
          <w:i/>
        </w:rPr>
        <w:t>Effective from the date that the public health emergency, which was declared on January 31, 2020 by the United States Departmen</w:t>
      </w:r>
      <w:r w:rsidR="00137DDF">
        <w:rPr>
          <w:rFonts w:ascii="Calibri" w:hAnsi="Calibri"/>
          <w:b/>
          <w:i/>
        </w:rPr>
        <w:t xml:space="preserve">t of Health and Human Services, ends, </w:t>
      </w:r>
      <w:r w:rsidRPr="00451C7E">
        <w:rPr>
          <w:rFonts w:ascii="Calibri" w:hAnsi="Calibri"/>
          <w:b/>
          <w:i/>
        </w:rPr>
        <w:t>through June 30, 2023</w:t>
      </w:r>
      <w:r w:rsidRPr="00451C7E">
        <w:rPr>
          <w:rFonts w:ascii="Calibri" w:hAnsi="Calibri"/>
          <w:i/>
        </w:rPr>
        <w:t xml:space="preserve">. </w:t>
      </w:r>
    </w:p>
    <w:p w:rsidR="00451C7E" w:rsidRPr="00451C7E" w:rsidRDefault="00451C7E" w:rsidP="0015696D">
      <w:pPr>
        <w:pStyle w:val="BodyText"/>
        <w:kinsoku w:val="0"/>
        <w:overflowPunct w:val="0"/>
        <w:spacing w:line="242" w:lineRule="auto"/>
        <w:ind w:right="-10"/>
        <w:rPr>
          <w:rFonts w:ascii="Calibri" w:hAnsi="Calibri"/>
        </w:rPr>
      </w:pPr>
    </w:p>
    <w:p w:rsidR="00451C7E" w:rsidRPr="00451C7E" w:rsidRDefault="00451C7E" w:rsidP="0015696D">
      <w:pPr>
        <w:pStyle w:val="BodyText"/>
        <w:kinsoku w:val="0"/>
        <w:overflowPunct w:val="0"/>
        <w:ind w:right="-10"/>
        <w:rPr>
          <w:rFonts w:ascii="Calibri" w:hAnsi="Calibri"/>
          <w:i/>
          <w:iCs/>
        </w:rPr>
      </w:pPr>
      <w:r w:rsidRPr="00451C7E">
        <w:rPr>
          <w:rFonts w:ascii="Calibri" w:hAnsi="Calibri"/>
          <w:i/>
          <w:iCs/>
          <w:u w:val="single" w:color="000000"/>
        </w:rPr>
        <w:t>Waiver 24: Sponsoring Organization Onsite Monitoring Visits (CACFP)</w:t>
      </w:r>
    </w:p>
    <w:p w:rsidR="00451C7E" w:rsidRPr="00451C7E" w:rsidRDefault="00451C7E" w:rsidP="0015696D">
      <w:pPr>
        <w:pStyle w:val="BodyText"/>
        <w:kinsoku w:val="0"/>
        <w:overflowPunct w:val="0"/>
        <w:spacing w:before="44"/>
        <w:ind w:right="-10"/>
        <w:rPr>
          <w:rFonts w:ascii="Calibri" w:hAnsi="Calibri"/>
        </w:rPr>
      </w:pPr>
      <w:r w:rsidRPr="00451C7E">
        <w:rPr>
          <w:rFonts w:ascii="Calibri" w:hAnsi="Calibri"/>
        </w:rPr>
        <w:t xml:space="preserve">Under Program regulations at 7 CFR 226.16(d)(4)(iii), CACFP sponsoring </w:t>
      </w:r>
      <w:r w:rsidRPr="00451C7E">
        <w:rPr>
          <w:rFonts w:ascii="Calibri" w:hAnsi="Calibri"/>
          <w:spacing w:val="2"/>
        </w:rPr>
        <w:t>organizations</w:t>
      </w:r>
      <w:r w:rsidRPr="00451C7E">
        <w:rPr>
          <w:rFonts w:ascii="Calibri" w:hAnsi="Calibri"/>
          <w:spacing w:val="-7"/>
        </w:rPr>
        <w:t xml:space="preserve"> </w:t>
      </w:r>
      <w:r w:rsidRPr="00451C7E">
        <w:rPr>
          <w:rFonts w:ascii="Calibri" w:hAnsi="Calibri"/>
          <w:spacing w:val="3"/>
        </w:rPr>
        <w:t>must</w:t>
      </w:r>
      <w:r w:rsidRPr="00451C7E">
        <w:rPr>
          <w:rFonts w:ascii="Calibri" w:hAnsi="Calibri"/>
          <w:spacing w:val="-12"/>
        </w:rPr>
        <w:t xml:space="preserve"> </w:t>
      </w:r>
      <w:r w:rsidRPr="00451C7E">
        <w:rPr>
          <w:rFonts w:ascii="Calibri" w:hAnsi="Calibri"/>
          <w:spacing w:val="2"/>
        </w:rPr>
        <w:t>review</w:t>
      </w:r>
      <w:r w:rsidRPr="00451C7E">
        <w:rPr>
          <w:rFonts w:ascii="Calibri" w:hAnsi="Calibri"/>
          <w:spacing w:val="-7"/>
        </w:rPr>
        <w:t xml:space="preserve"> </w:t>
      </w:r>
      <w:r w:rsidRPr="00451C7E">
        <w:rPr>
          <w:rFonts w:ascii="Calibri" w:hAnsi="Calibri"/>
          <w:spacing w:val="3"/>
        </w:rPr>
        <w:t>each</w:t>
      </w:r>
      <w:r w:rsidRPr="00451C7E">
        <w:rPr>
          <w:rFonts w:ascii="Calibri" w:hAnsi="Calibri"/>
        </w:rPr>
        <w:t xml:space="preserve"> facility</w:t>
      </w:r>
      <w:r w:rsidRPr="00451C7E">
        <w:rPr>
          <w:rFonts w:ascii="Calibri" w:hAnsi="Calibri"/>
          <w:spacing w:val="-1"/>
        </w:rPr>
        <w:t xml:space="preserve"> </w:t>
      </w:r>
      <w:r w:rsidRPr="00451C7E">
        <w:rPr>
          <w:rFonts w:ascii="Calibri" w:hAnsi="Calibri"/>
        </w:rPr>
        <w:t>three</w:t>
      </w:r>
      <w:r w:rsidRPr="00451C7E">
        <w:rPr>
          <w:rFonts w:ascii="Calibri" w:hAnsi="Calibri"/>
          <w:spacing w:val="-20"/>
        </w:rPr>
        <w:t xml:space="preserve"> </w:t>
      </w:r>
      <w:r w:rsidRPr="00451C7E">
        <w:rPr>
          <w:rFonts w:ascii="Calibri" w:hAnsi="Calibri"/>
        </w:rPr>
        <w:t>times</w:t>
      </w:r>
      <w:r w:rsidRPr="00451C7E">
        <w:rPr>
          <w:rFonts w:ascii="Calibri" w:hAnsi="Calibri"/>
          <w:spacing w:val="-7"/>
        </w:rPr>
        <w:t xml:space="preserve"> </w:t>
      </w:r>
      <w:r w:rsidRPr="00451C7E">
        <w:rPr>
          <w:rFonts w:ascii="Calibri" w:hAnsi="Calibri"/>
          <w:spacing w:val="3"/>
        </w:rPr>
        <w:t>each</w:t>
      </w:r>
      <w:r w:rsidRPr="00451C7E">
        <w:rPr>
          <w:rFonts w:ascii="Calibri" w:hAnsi="Calibri"/>
        </w:rPr>
        <w:t xml:space="preserve"> </w:t>
      </w:r>
      <w:r w:rsidRPr="00451C7E">
        <w:rPr>
          <w:rFonts w:ascii="Calibri" w:hAnsi="Calibri"/>
          <w:spacing w:val="4"/>
        </w:rPr>
        <w:t>year</w:t>
      </w:r>
      <w:r w:rsidRPr="00451C7E">
        <w:rPr>
          <w:rFonts w:ascii="Calibri" w:hAnsi="Calibri"/>
          <w:spacing w:val="-9"/>
        </w:rPr>
        <w:t xml:space="preserve"> </w:t>
      </w:r>
      <w:r w:rsidRPr="00451C7E">
        <w:rPr>
          <w:rFonts w:ascii="Calibri" w:hAnsi="Calibri"/>
        </w:rPr>
        <w:t>and:</w:t>
      </w:r>
      <w:r w:rsidRPr="00451C7E">
        <w:rPr>
          <w:rFonts w:ascii="Calibri" w:hAnsi="Calibri"/>
          <w:spacing w:val="-12"/>
        </w:rPr>
        <w:t xml:space="preserve"> </w:t>
      </w:r>
      <w:r w:rsidRPr="00451C7E">
        <w:rPr>
          <w:rFonts w:ascii="Calibri" w:hAnsi="Calibri"/>
          <w:spacing w:val="4"/>
        </w:rPr>
        <w:t>1)</w:t>
      </w:r>
      <w:r w:rsidRPr="00451C7E">
        <w:rPr>
          <w:rFonts w:ascii="Calibri" w:hAnsi="Calibri"/>
          <w:spacing w:val="-9"/>
        </w:rPr>
        <w:t xml:space="preserve"> </w:t>
      </w:r>
      <w:r w:rsidRPr="00451C7E">
        <w:rPr>
          <w:rFonts w:ascii="Calibri" w:hAnsi="Calibri"/>
          <w:spacing w:val="2"/>
        </w:rPr>
        <w:t>at</w:t>
      </w:r>
      <w:r w:rsidRPr="00451C7E">
        <w:rPr>
          <w:rFonts w:ascii="Calibri" w:hAnsi="Calibri"/>
          <w:spacing w:val="-12"/>
        </w:rPr>
        <w:t xml:space="preserve"> </w:t>
      </w:r>
      <w:r w:rsidRPr="00451C7E">
        <w:rPr>
          <w:rFonts w:ascii="Calibri" w:hAnsi="Calibri"/>
        </w:rPr>
        <w:t>least</w:t>
      </w:r>
      <w:r w:rsidRPr="00451C7E">
        <w:rPr>
          <w:rFonts w:ascii="Calibri" w:hAnsi="Calibri"/>
          <w:spacing w:val="-12"/>
        </w:rPr>
        <w:t xml:space="preserve"> </w:t>
      </w:r>
      <w:r w:rsidRPr="00451C7E">
        <w:rPr>
          <w:rFonts w:ascii="Calibri" w:hAnsi="Calibri"/>
        </w:rPr>
        <w:t xml:space="preserve">two </w:t>
      </w:r>
      <w:r w:rsidRPr="00451C7E">
        <w:rPr>
          <w:rFonts w:ascii="Calibri" w:hAnsi="Calibri"/>
          <w:spacing w:val="3"/>
        </w:rPr>
        <w:t xml:space="preserve">of </w:t>
      </w:r>
      <w:r w:rsidRPr="00451C7E">
        <w:rPr>
          <w:rFonts w:ascii="Calibri" w:hAnsi="Calibri"/>
        </w:rPr>
        <w:t xml:space="preserve">the three </w:t>
      </w:r>
      <w:r w:rsidRPr="00451C7E">
        <w:rPr>
          <w:rFonts w:ascii="Calibri" w:hAnsi="Calibri"/>
          <w:spacing w:val="2"/>
        </w:rPr>
        <w:t xml:space="preserve">reviews </w:t>
      </w:r>
      <w:r w:rsidRPr="00451C7E">
        <w:rPr>
          <w:rFonts w:ascii="Calibri" w:hAnsi="Calibri"/>
          <w:spacing w:val="3"/>
        </w:rPr>
        <w:t xml:space="preserve">must be </w:t>
      </w:r>
      <w:r w:rsidRPr="00451C7E">
        <w:rPr>
          <w:rFonts w:ascii="Calibri" w:hAnsi="Calibri"/>
        </w:rPr>
        <w:t xml:space="preserve">unannounced; </w:t>
      </w:r>
      <w:r w:rsidRPr="00451C7E">
        <w:rPr>
          <w:rFonts w:ascii="Calibri" w:hAnsi="Calibri"/>
          <w:spacing w:val="3"/>
        </w:rPr>
        <w:t xml:space="preserve">2) </w:t>
      </w:r>
      <w:r w:rsidRPr="00451C7E">
        <w:rPr>
          <w:rFonts w:ascii="Calibri" w:hAnsi="Calibri"/>
          <w:spacing w:val="2"/>
        </w:rPr>
        <w:t xml:space="preserve">at </w:t>
      </w:r>
      <w:r w:rsidRPr="00451C7E">
        <w:rPr>
          <w:rFonts w:ascii="Calibri" w:hAnsi="Calibri"/>
        </w:rPr>
        <w:t xml:space="preserve">least </w:t>
      </w:r>
      <w:r w:rsidRPr="00451C7E">
        <w:rPr>
          <w:rFonts w:ascii="Calibri" w:hAnsi="Calibri"/>
          <w:spacing w:val="4"/>
        </w:rPr>
        <w:t xml:space="preserve">one </w:t>
      </w:r>
      <w:r w:rsidRPr="00451C7E">
        <w:rPr>
          <w:rFonts w:ascii="Calibri" w:hAnsi="Calibri"/>
        </w:rPr>
        <w:t xml:space="preserve">unannounced review </w:t>
      </w:r>
      <w:r w:rsidRPr="00451C7E">
        <w:rPr>
          <w:rFonts w:ascii="Calibri" w:hAnsi="Calibri"/>
          <w:spacing w:val="3"/>
        </w:rPr>
        <w:t>must</w:t>
      </w:r>
      <w:r w:rsidRPr="00451C7E">
        <w:rPr>
          <w:rFonts w:ascii="Calibri" w:hAnsi="Calibri"/>
          <w:spacing w:val="-13"/>
        </w:rPr>
        <w:t xml:space="preserve"> </w:t>
      </w:r>
      <w:r w:rsidRPr="00451C7E">
        <w:rPr>
          <w:rFonts w:ascii="Calibri" w:hAnsi="Calibri"/>
          <w:spacing w:val="2"/>
        </w:rPr>
        <w:t>include</w:t>
      </w:r>
      <w:r w:rsidRPr="00451C7E">
        <w:rPr>
          <w:rFonts w:ascii="Calibri" w:hAnsi="Calibri"/>
          <w:spacing w:val="-3"/>
        </w:rPr>
        <w:t xml:space="preserve"> </w:t>
      </w:r>
      <w:r w:rsidRPr="00451C7E">
        <w:rPr>
          <w:rFonts w:ascii="Calibri" w:hAnsi="Calibri"/>
        </w:rPr>
        <w:t>observation</w:t>
      </w:r>
      <w:r w:rsidRPr="00451C7E">
        <w:rPr>
          <w:rFonts w:ascii="Calibri" w:hAnsi="Calibri"/>
          <w:spacing w:val="-2"/>
        </w:rPr>
        <w:t xml:space="preserve"> </w:t>
      </w:r>
      <w:r w:rsidRPr="00451C7E">
        <w:rPr>
          <w:rFonts w:ascii="Calibri" w:hAnsi="Calibri"/>
          <w:spacing w:val="3"/>
        </w:rPr>
        <w:t>of</w:t>
      </w:r>
      <w:r w:rsidRPr="00451C7E">
        <w:rPr>
          <w:rFonts w:ascii="Calibri" w:hAnsi="Calibri"/>
          <w:spacing w:val="-9"/>
        </w:rPr>
        <w:t xml:space="preserve"> </w:t>
      </w:r>
      <w:r w:rsidRPr="00451C7E">
        <w:rPr>
          <w:rFonts w:ascii="Calibri" w:hAnsi="Calibri"/>
          <w:spacing w:val="3"/>
        </w:rPr>
        <w:t>meal</w:t>
      </w:r>
      <w:r w:rsidRPr="00451C7E">
        <w:rPr>
          <w:rFonts w:ascii="Calibri" w:hAnsi="Calibri"/>
          <w:spacing w:val="-12"/>
        </w:rPr>
        <w:t xml:space="preserve"> </w:t>
      </w:r>
      <w:r w:rsidRPr="00451C7E">
        <w:rPr>
          <w:rFonts w:ascii="Calibri" w:hAnsi="Calibri"/>
        </w:rPr>
        <w:t>service;</w:t>
      </w:r>
      <w:r w:rsidRPr="00451C7E">
        <w:rPr>
          <w:rFonts w:ascii="Calibri" w:hAnsi="Calibri"/>
          <w:spacing w:val="-12"/>
        </w:rPr>
        <w:t xml:space="preserve"> </w:t>
      </w:r>
      <w:r w:rsidRPr="00451C7E">
        <w:rPr>
          <w:rFonts w:ascii="Calibri" w:hAnsi="Calibri"/>
          <w:spacing w:val="4"/>
        </w:rPr>
        <w:t>3)</w:t>
      </w:r>
      <w:r w:rsidRPr="00451C7E">
        <w:rPr>
          <w:rFonts w:ascii="Calibri" w:hAnsi="Calibri"/>
          <w:spacing w:val="-9"/>
        </w:rPr>
        <w:t xml:space="preserve"> </w:t>
      </w:r>
      <w:r w:rsidRPr="00451C7E">
        <w:rPr>
          <w:rFonts w:ascii="Calibri" w:hAnsi="Calibri"/>
          <w:spacing w:val="2"/>
        </w:rPr>
        <w:t>at</w:t>
      </w:r>
      <w:r w:rsidRPr="00451C7E">
        <w:rPr>
          <w:rFonts w:ascii="Calibri" w:hAnsi="Calibri"/>
          <w:spacing w:val="-12"/>
        </w:rPr>
        <w:t xml:space="preserve"> </w:t>
      </w:r>
      <w:r w:rsidRPr="00451C7E">
        <w:rPr>
          <w:rFonts w:ascii="Calibri" w:hAnsi="Calibri"/>
        </w:rPr>
        <w:t>least</w:t>
      </w:r>
      <w:r w:rsidRPr="00451C7E">
        <w:rPr>
          <w:rFonts w:ascii="Calibri" w:hAnsi="Calibri"/>
          <w:spacing w:val="-12"/>
        </w:rPr>
        <w:t xml:space="preserve"> </w:t>
      </w:r>
      <w:r w:rsidRPr="00451C7E">
        <w:rPr>
          <w:rFonts w:ascii="Calibri" w:hAnsi="Calibri"/>
          <w:spacing w:val="5"/>
        </w:rPr>
        <w:t>one</w:t>
      </w:r>
      <w:r w:rsidRPr="00451C7E">
        <w:rPr>
          <w:rFonts w:ascii="Calibri" w:hAnsi="Calibri"/>
          <w:spacing w:val="-4"/>
        </w:rPr>
        <w:t xml:space="preserve"> </w:t>
      </w:r>
      <w:r w:rsidRPr="00451C7E">
        <w:rPr>
          <w:rFonts w:ascii="Calibri" w:hAnsi="Calibri"/>
          <w:spacing w:val="2"/>
        </w:rPr>
        <w:t>review</w:t>
      </w:r>
      <w:r w:rsidRPr="00451C7E">
        <w:rPr>
          <w:rFonts w:ascii="Calibri" w:hAnsi="Calibri"/>
          <w:spacing w:val="-7"/>
        </w:rPr>
        <w:t xml:space="preserve"> </w:t>
      </w:r>
      <w:r w:rsidRPr="00451C7E">
        <w:rPr>
          <w:rFonts w:ascii="Calibri" w:hAnsi="Calibri"/>
          <w:spacing w:val="3"/>
        </w:rPr>
        <w:t>must</w:t>
      </w:r>
      <w:r w:rsidRPr="00451C7E">
        <w:rPr>
          <w:rFonts w:ascii="Calibri" w:hAnsi="Calibri"/>
          <w:spacing w:val="-12"/>
        </w:rPr>
        <w:t xml:space="preserve"> </w:t>
      </w:r>
      <w:r w:rsidRPr="00451C7E">
        <w:rPr>
          <w:rFonts w:ascii="Calibri" w:hAnsi="Calibri"/>
          <w:spacing w:val="4"/>
        </w:rPr>
        <w:t>be</w:t>
      </w:r>
      <w:r w:rsidRPr="00451C7E">
        <w:rPr>
          <w:rFonts w:ascii="Calibri" w:hAnsi="Calibri"/>
          <w:spacing w:val="-4"/>
        </w:rPr>
        <w:t xml:space="preserve"> </w:t>
      </w:r>
      <w:r w:rsidRPr="00451C7E">
        <w:rPr>
          <w:rFonts w:ascii="Calibri" w:hAnsi="Calibri"/>
          <w:spacing w:val="4"/>
        </w:rPr>
        <w:t>made</w:t>
      </w:r>
      <w:r w:rsidRPr="00451C7E">
        <w:rPr>
          <w:rFonts w:ascii="Calibri" w:hAnsi="Calibri"/>
        </w:rPr>
        <w:t xml:space="preserve"> </w:t>
      </w:r>
      <w:r w:rsidRPr="00451C7E">
        <w:rPr>
          <w:rFonts w:ascii="Calibri" w:hAnsi="Calibri"/>
          <w:spacing w:val="3"/>
        </w:rPr>
        <w:t xml:space="preserve">during each </w:t>
      </w:r>
      <w:r w:rsidRPr="00451C7E">
        <w:rPr>
          <w:rFonts w:ascii="Calibri" w:hAnsi="Calibri"/>
          <w:spacing w:val="4"/>
        </w:rPr>
        <w:t xml:space="preserve">new </w:t>
      </w:r>
      <w:r w:rsidRPr="00451C7E">
        <w:rPr>
          <w:rFonts w:ascii="Calibri" w:hAnsi="Calibri"/>
          <w:spacing w:val="2"/>
        </w:rPr>
        <w:t xml:space="preserve">facility’s </w:t>
      </w:r>
      <w:r w:rsidRPr="00451C7E">
        <w:rPr>
          <w:rFonts w:ascii="Calibri" w:hAnsi="Calibri"/>
          <w:spacing w:val="3"/>
        </w:rPr>
        <w:t xml:space="preserve">first four </w:t>
      </w:r>
      <w:r w:rsidRPr="00451C7E">
        <w:rPr>
          <w:rFonts w:ascii="Calibri" w:hAnsi="Calibri"/>
        </w:rPr>
        <w:t xml:space="preserve">weeks </w:t>
      </w:r>
      <w:r w:rsidRPr="00451C7E">
        <w:rPr>
          <w:rFonts w:ascii="Calibri" w:hAnsi="Calibri"/>
          <w:spacing w:val="3"/>
        </w:rPr>
        <w:t xml:space="preserve">of </w:t>
      </w:r>
      <w:r w:rsidRPr="00451C7E">
        <w:rPr>
          <w:rFonts w:ascii="Calibri" w:hAnsi="Calibri"/>
        </w:rPr>
        <w:t xml:space="preserve">Program operations; </w:t>
      </w:r>
      <w:r w:rsidRPr="00451C7E">
        <w:rPr>
          <w:rFonts w:ascii="Calibri" w:hAnsi="Calibri"/>
          <w:spacing w:val="4"/>
        </w:rPr>
        <w:t xml:space="preserve">and </w:t>
      </w:r>
      <w:r w:rsidRPr="00451C7E">
        <w:rPr>
          <w:rFonts w:ascii="Calibri" w:hAnsi="Calibri"/>
          <w:spacing w:val="3"/>
        </w:rPr>
        <w:t xml:space="preserve">4) </w:t>
      </w:r>
      <w:r w:rsidRPr="00451C7E">
        <w:rPr>
          <w:rFonts w:ascii="Calibri" w:hAnsi="Calibri"/>
          <w:spacing w:val="7"/>
        </w:rPr>
        <w:t xml:space="preserve">not </w:t>
      </w:r>
      <w:r w:rsidRPr="00451C7E">
        <w:rPr>
          <w:rFonts w:ascii="Calibri" w:hAnsi="Calibri"/>
          <w:spacing w:val="3"/>
        </w:rPr>
        <w:t>more</w:t>
      </w:r>
      <w:r w:rsidRPr="00451C7E">
        <w:rPr>
          <w:rFonts w:ascii="Calibri" w:hAnsi="Calibri"/>
          <w:spacing w:val="-5"/>
        </w:rPr>
        <w:t xml:space="preserve"> </w:t>
      </w:r>
      <w:r w:rsidRPr="00451C7E">
        <w:rPr>
          <w:rFonts w:ascii="Calibri" w:hAnsi="Calibri"/>
          <w:spacing w:val="2"/>
        </w:rPr>
        <w:t>than</w:t>
      </w:r>
      <w:r w:rsidRPr="00451C7E">
        <w:rPr>
          <w:rFonts w:ascii="Calibri" w:hAnsi="Calibri"/>
          <w:spacing w:val="-1"/>
        </w:rPr>
        <w:t xml:space="preserve"> </w:t>
      </w:r>
      <w:r w:rsidRPr="00451C7E">
        <w:rPr>
          <w:rFonts w:ascii="Calibri" w:hAnsi="Calibri"/>
        </w:rPr>
        <w:t>six</w:t>
      </w:r>
      <w:r w:rsidRPr="00451C7E">
        <w:rPr>
          <w:rFonts w:ascii="Calibri" w:hAnsi="Calibri"/>
          <w:spacing w:val="-1"/>
        </w:rPr>
        <w:t xml:space="preserve"> </w:t>
      </w:r>
      <w:r w:rsidRPr="00451C7E">
        <w:rPr>
          <w:rFonts w:ascii="Calibri" w:hAnsi="Calibri"/>
          <w:spacing w:val="4"/>
        </w:rPr>
        <w:t>months</w:t>
      </w:r>
      <w:r w:rsidRPr="00451C7E">
        <w:rPr>
          <w:rFonts w:ascii="Calibri" w:hAnsi="Calibri"/>
          <w:spacing w:val="-8"/>
        </w:rPr>
        <w:t xml:space="preserve"> </w:t>
      </w:r>
      <w:r w:rsidRPr="00451C7E">
        <w:rPr>
          <w:rFonts w:ascii="Calibri" w:hAnsi="Calibri"/>
          <w:spacing w:val="3"/>
        </w:rPr>
        <w:t>may</w:t>
      </w:r>
      <w:r w:rsidRPr="00451C7E">
        <w:rPr>
          <w:rFonts w:ascii="Calibri" w:hAnsi="Calibri"/>
          <w:spacing w:val="-1"/>
        </w:rPr>
        <w:t xml:space="preserve"> </w:t>
      </w:r>
      <w:r w:rsidRPr="00451C7E">
        <w:rPr>
          <w:rFonts w:ascii="Calibri" w:hAnsi="Calibri"/>
          <w:spacing w:val="2"/>
        </w:rPr>
        <w:t>elapse</w:t>
      </w:r>
      <w:r w:rsidRPr="00451C7E">
        <w:rPr>
          <w:rFonts w:ascii="Calibri" w:hAnsi="Calibri"/>
          <w:spacing w:val="-22"/>
        </w:rPr>
        <w:t xml:space="preserve"> </w:t>
      </w:r>
      <w:r w:rsidRPr="00451C7E">
        <w:rPr>
          <w:rFonts w:ascii="Calibri" w:hAnsi="Calibri"/>
          <w:spacing w:val="3"/>
        </w:rPr>
        <w:t>between</w:t>
      </w:r>
      <w:r w:rsidRPr="00451C7E">
        <w:rPr>
          <w:rFonts w:ascii="Calibri" w:hAnsi="Calibri"/>
          <w:spacing w:val="-18"/>
        </w:rPr>
        <w:t xml:space="preserve"> </w:t>
      </w:r>
      <w:r w:rsidRPr="00451C7E">
        <w:rPr>
          <w:rFonts w:ascii="Calibri" w:hAnsi="Calibri"/>
        </w:rPr>
        <w:t>reviews.</w:t>
      </w:r>
      <w:r w:rsidRPr="00451C7E">
        <w:rPr>
          <w:rFonts w:ascii="Calibri" w:hAnsi="Calibri"/>
          <w:spacing w:val="-5"/>
        </w:rPr>
        <w:t xml:space="preserve"> </w:t>
      </w:r>
      <w:r w:rsidRPr="00451C7E">
        <w:rPr>
          <w:rFonts w:ascii="Calibri" w:hAnsi="Calibri"/>
        </w:rPr>
        <w:t>However,</w:t>
      </w:r>
      <w:r w:rsidRPr="00451C7E">
        <w:rPr>
          <w:rFonts w:ascii="Calibri" w:hAnsi="Calibri"/>
          <w:spacing w:val="-6"/>
        </w:rPr>
        <w:t xml:space="preserve"> </w:t>
      </w:r>
      <w:r w:rsidRPr="00451C7E">
        <w:rPr>
          <w:rFonts w:ascii="Calibri" w:hAnsi="Calibri"/>
        </w:rPr>
        <w:t>FNS</w:t>
      </w:r>
      <w:r w:rsidRPr="00451C7E">
        <w:rPr>
          <w:rFonts w:ascii="Calibri" w:hAnsi="Calibri"/>
          <w:spacing w:val="-15"/>
        </w:rPr>
        <w:t xml:space="preserve"> </w:t>
      </w:r>
      <w:r w:rsidRPr="00451C7E">
        <w:rPr>
          <w:rFonts w:ascii="Calibri" w:hAnsi="Calibri"/>
          <w:spacing w:val="3"/>
        </w:rPr>
        <w:t>recognizes</w:t>
      </w:r>
      <w:r w:rsidRPr="00451C7E">
        <w:rPr>
          <w:rFonts w:ascii="Calibri" w:hAnsi="Calibri"/>
        </w:rPr>
        <w:t xml:space="preserve"> that as the country continues to respond to COVID-19, onsite monitoring may not be possible.</w:t>
      </w:r>
    </w:p>
    <w:p w:rsidR="00451C7E" w:rsidRPr="00451C7E" w:rsidRDefault="00451C7E" w:rsidP="0015696D">
      <w:pPr>
        <w:pStyle w:val="BodyText"/>
        <w:kinsoku w:val="0"/>
        <w:overflowPunct w:val="0"/>
        <w:spacing w:before="3"/>
        <w:ind w:right="-10"/>
        <w:rPr>
          <w:rFonts w:ascii="Calibri" w:hAnsi="Calibri"/>
        </w:rPr>
      </w:pPr>
    </w:p>
    <w:p w:rsidR="00451C7E" w:rsidRPr="00451C7E" w:rsidRDefault="00451C7E" w:rsidP="0015696D">
      <w:pPr>
        <w:pStyle w:val="BodyText"/>
        <w:kinsoku w:val="0"/>
        <w:overflowPunct w:val="0"/>
        <w:spacing w:line="237" w:lineRule="auto"/>
        <w:ind w:right="-10"/>
        <w:rPr>
          <w:rFonts w:ascii="Calibri" w:hAnsi="Calibri"/>
        </w:rPr>
      </w:pPr>
      <w:r w:rsidRPr="00451C7E">
        <w:rPr>
          <w:rFonts w:ascii="Calibri" w:hAnsi="Calibri"/>
        </w:rPr>
        <w:t>Therefore, pursuant to the Section 12(l) waiver authority cited above, FNS waives the requirement that CACFP monitoring requirements included in 7 CFR 226.16(d)(4)(iii) be conducted onsite. Please note that to ensure Program integrity during this time, CACFP sponsoring organizations that elect to use this waiver should continue monitoring activities of Program operations offsite (e.g., through a desk audit).</w:t>
      </w:r>
    </w:p>
    <w:p w:rsidR="00451C7E" w:rsidRPr="00CC18FE" w:rsidRDefault="00451C7E" w:rsidP="0015696D">
      <w:pPr>
        <w:pStyle w:val="BodyText"/>
        <w:kinsoku w:val="0"/>
        <w:overflowPunct w:val="0"/>
        <w:spacing w:line="237" w:lineRule="auto"/>
        <w:ind w:left="720" w:right="-10"/>
        <w:jc w:val="both"/>
        <w:rPr>
          <w:rFonts w:ascii="Calibri" w:hAnsi="Calibri"/>
        </w:rPr>
      </w:pPr>
    </w:p>
    <w:p w:rsidR="00E74676" w:rsidRDefault="00E74676" w:rsidP="0015696D">
      <w:pPr>
        <w:pStyle w:val="BodyText"/>
        <w:kinsoku w:val="0"/>
        <w:overflowPunct w:val="0"/>
        <w:spacing w:before="10"/>
        <w:ind w:right="-10"/>
        <w:rPr>
          <w:rFonts w:asciiTheme="minorHAnsi" w:hAnsiTheme="minorHAnsi"/>
        </w:rPr>
      </w:pPr>
    </w:p>
    <w:p w:rsidR="00451C7E" w:rsidRDefault="00451C7E" w:rsidP="0015696D">
      <w:pPr>
        <w:pStyle w:val="BodyText"/>
        <w:kinsoku w:val="0"/>
        <w:overflowPunct w:val="0"/>
        <w:spacing w:before="10"/>
        <w:ind w:right="-10"/>
        <w:jc w:val="center"/>
        <w:rPr>
          <w:rFonts w:ascii="Calibri" w:hAnsi="Calibri"/>
          <w:b/>
          <w:sz w:val="36"/>
        </w:rPr>
      </w:pPr>
      <w:r w:rsidRPr="00451C7E">
        <w:rPr>
          <w:rFonts w:ascii="Calibri" w:hAnsi="Calibri"/>
          <w:b/>
          <w:sz w:val="36"/>
        </w:rPr>
        <w:t xml:space="preserve">Child Nutrition Program </w:t>
      </w:r>
      <w:r>
        <w:rPr>
          <w:rFonts w:ascii="Calibri" w:hAnsi="Calibri"/>
          <w:b/>
          <w:sz w:val="36"/>
        </w:rPr>
        <w:t xml:space="preserve">State Agency </w:t>
      </w:r>
      <w:r w:rsidRPr="00451C7E">
        <w:rPr>
          <w:rFonts w:ascii="Calibri" w:hAnsi="Calibri"/>
          <w:b/>
          <w:sz w:val="36"/>
        </w:rPr>
        <w:t>Waiver Summary</w:t>
      </w:r>
    </w:p>
    <w:p w:rsidR="00451C7E" w:rsidRDefault="00451C7E" w:rsidP="0015696D">
      <w:pPr>
        <w:pStyle w:val="BodyText"/>
        <w:kinsoku w:val="0"/>
        <w:overflowPunct w:val="0"/>
        <w:spacing w:before="10"/>
        <w:ind w:right="-10"/>
        <w:rPr>
          <w:rFonts w:asciiTheme="minorHAnsi" w:hAnsiTheme="minorHAnsi"/>
        </w:rPr>
      </w:pPr>
      <w:r>
        <w:rPr>
          <w:rFonts w:asciiTheme="minorHAnsi" w:hAnsiTheme="minorHAnsi"/>
        </w:rPr>
        <w:t>The waivers below were granted to the State Agency (ODE CNP) and relate to program reporting and monitoring requirements.</w:t>
      </w:r>
    </w:p>
    <w:p w:rsidR="00451C7E" w:rsidRDefault="00451C7E" w:rsidP="0015696D">
      <w:pPr>
        <w:pStyle w:val="BodyText"/>
        <w:kinsoku w:val="0"/>
        <w:overflowPunct w:val="0"/>
        <w:spacing w:before="10"/>
        <w:ind w:right="-10"/>
        <w:rPr>
          <w:rFonts w:asciiTheme="minorHAnsi" w:hAnsiTheme="minorHAnsi"/>
        </w:rPr>
      </w:pPr>
    </w:p>
    <w:p w:rsidR="00451C7E" w:rsidRPr="00451C7E" w:rsidRDefault="00451C7E" w:rsidP="0015696D">
      <w:pPr>
        <w:pStyle w:val="BodyText"/>
        <w:kinsoku w:val="0"/>
        <w:overflowPunct w:val="0"/>
        <w:spacing w:line="274" w:lineRule="exact"/>
        <w:ind w:right="-10"/>
        <w:rPr>
          <w:rFonts w:ascii="Calibri" w:hAnsi="Calibri"/>
          <w:i/>
          <w:iCs/>
        </w:rPr>
      </w:pPr>
      <w:r w:rsidRPr="00451C7E">
        <w:rPr>
          <w:rFonts w:ascii="Calibri" w:hAnsi="Calibri"/>
          <w:i/>
          <w:iCs/>
          <w:u w:val="single" w:color="000000"/>
        </w:rPr>
        <w:t>Waiver 10: FNS-874 Second (Independent) Review of Applications (NSLP)</w:t>
      </w:r>
    </w:p>
    <w:p w:rsidR="00451C7E" w:rsidRPr="00451C7E" w:rsidRDefault="00451C7E" w:rsidP="0015696D">
      <w:pPr>
        <w:pStyle w:val="BodyText"/>
        <w:kinsoku w:val="0"/>
        <w:overflowPunct w:val="0"/>
        <w:spacing w:line="272" w:lineRule="exact"/>
        <w:ind w:right="-10"/>
        <w:rPr>
          <w:rFonts w:ascii="Calibri" w:hAnsi="Calibri"/>
        </w:rPr>
      </w:pPr>
      <w:r w:rsidRPr="00451C7E">
        <w:rPr>
          <w:rFonts w:ascii="Calibri" w:hAnsi="Calibri"/>
        </w:rPr>
        <w:t>Under 42 U.S.C 1769c(b)(6)(E)(iii) and program regulations at 7 CFR 245.11(b)(2), each State agency must submit a report, as specified by FNS, describing the results of the second reviews of eligibility determinations conducted by each LEA in their State. The report must provide information about applications reviewed in each LEA and include activities required under 7 CFR 245.11. This report is due March 15</w:t>
      </w:r>
      <w:r w:rsidRPr="00451C7E">
        <w:rPr>
          <w:rFonts w:ascii="Calibri" w:hAnsi="Calibri"/>
          <w:position w:val="6"/>
        </w:rPr>
        <w:t xml:space="preserve">th </w:t>
      </w:r>
      <w:r w:rsidRPr="00451C7E">
        <w:rPr>
          <w:rFonts w:ascii="Calibri" w:hAnsi="Calibri"/>
        </w:rPr>
        <w:t>of each year.</w:t>
      </w:r>
    </w:p>
    <w:p w:rsidR="00451C7E" w:rsidRPr="00451C7E" w:rsidRDefault="00451C7E" w:rsidP="0015696D">
      <w:pPr>
        <w:pStyle w:val="BodyText"/>
        <w:kinsoku w:val="0"/>
        <w:overflowPunct w:val="0"/>
        <w:spacing w:before="10"/>
        <w:ind w:right="-10"/>
        <w:rPr>
          <w:rFonts w:ascii="Calibri" w:hAnsi="Calibri"/>
        </w:rPr>
      </w:pPr>
    </w:p>
    <w:p w:rsidR="00451C7E" w:rsidRPr="00451C7E" w:rsidRDefault="00451C7E" w:rsidP="0015696D">
      <w:pPr>
        <w:pStyle w:val="BodyText"/>
        <w:kinsoku w:val="0"/>
        <w:overflowPunct w:val="0"/>
        <w:spacing w:line="237" w:lineRule="auto"/>
        <w:ind w:right="-10"/>
        <w:rPr>
          <w:rFonts w:ascii="Calibri" w:hAnsi="Calibri"/>
        </w:rPr>
      </w:pPr>
      <w:r w:rsidRPr="00451C7E">
        <w:rPr>
          <w:rFonts w:ascii="Calibri" w:hAnsi="Calibri"/>
        </w:rPr>
        <w:t>Pursuant to the waiver authority granted at Section 12(l) of the NSLA, FNS waives 7 CFR 245.11(b)(2) to permit States the time to focus on continuity of operations during this transition year, and in recognition of the fact that nationwide waiver flexibilities adopted by State agencies during the prior two school years extensively impacted free and reduced price certifications, as well as oversight activities. This waiver pertains to the requirement to submit the FNS-874 report due March 15, 2023, which would provide information about application reviewed in each LEA and include activities required under 7 CFR 245.11.</w:t>
      </w:r>
    </w:p>
    <w:p w:rsidR="00451C7E" w:rsidRPr="00451C7E" w:rsidRDefault="00451C7E" w:rsidP="0015696D">
      <w:pPr>
        <w:pStyle w:val="BodyText"/>
        <w:kinsoku w:val="0"/>
        <w:overflowPunct w:val="0"/>
        <w:spacing w:before="3"/>
        <w:ind w:left="720" w:right="-10"/>
        <w:rPr>
          <w:rFonts w:ascii="Calibri" w:hAnsi="Calibri"/>
        </w:rPr>
      </w:pPr>
    </w:p>
    <w:p w:rsidR="00451C7E" w:rsidRPr="00451C7E" w:rsidRDefault="00451C7E" w:rsidP="00500E35">
      <w:pPr>
        <w:pStyle w:val="BodyText"/>
        <w:kinsoku w:val="0"/>
        <w:overflowPunct w:val="0"/>
        <w:spacing w:line="274" w:lineRule="exact"/>
        <w:ind w:right="-10"/>
        <w:rPr>
          <w:rFonts w:ascii="Calibri" w:hAnsi="Calibri"/>
          <w:color w:val="1B1B1B"/>
        </w:rPr>
      </w:pPr>
      <w:r w:rsidRPr="00451C7E">
        <w:rPr>
          <w:rFonts w:ascii="Calibri" w:hAnsi="Calibri"/>
          <w:color w:val="1B1B1B"/>
        </w:rPr>
        <w:t>This waiver only applies to the reporting requirements associated with the</w:t>
      </w:r>
      <w:r w:rsidR="00500E35">
        <w:rPr>
          <w:rFonts w:ascii="Calibri" w:hAnsi="Calibri"/>
          <w:color w:val="1B1B1B"/>
        </w:rPr>
        <w:t xml:space="preserve"> </w:t>
      </w:r>
      <w:r w:rsidRPr="00451C7E">
        <w:rPr>
          <w:rFonts w:ascii="Calibri" w:hAnsi="Calibri"/>
          <w:color w:val="1B1B1B"/>
        </w:rPr>
        <w:t>independent review process. The underlying requirement for LEAs that collect school lunch program applications in SY 2022-2023 to conduct independent</w:t>
      </w:r>
      <w:r w:rsidR="00500E35">
        <w:rPr>
          <w:rFonts w:ascii="Calibri" w:hAnsi="Calibri"/>
          <w:color w:val="1B1B1B"/>
        </w:rPr>
        <w:t xml:space="preserve"> </w:t>
      </w:r>
      <w:r w:rsidRPr="00451C7E">
        <w:rPr>
          <w:rFonts w:ascii="Calibri" w:hAnsi="Calibri"/>
          <w:color w:val="1B1B1B"/>
        </w:rPr>
        <w:t>reviews as applicable remains in effect.</w:t>
      </w:r>
    </w:p>
    <w:p w:rsidR="00451C7E" w:rsidRPr="00451C7E" w:rsidRDefault="00500E35" w:rsidP="0015696D">
      <w:pPr>
        <w:pStyle w:val="BodyText"/>
        <w:kinsoku w:val="0"/>
        <w:overflowPunct w:val="0"/>
        <w:spacing w:before="2"/>
        <w:ind w:right="-10"/>
        <w:rPr>
          <w:rFonts w:ascii="Calibri" w:hAnsi="Calibri"/>
        </w:rPr>
      </w:pPr>
      <w:r>
        <w:rPr>
          <w:rFonts w:ascii="Calibri" w:hAnsi="Calibri"/>
        </w:rPr>
        <w:br w:type="page"/>
      </w:r>
    </w:p>
    <w:p w:rsidR="00451C7E" w:rsidRPr="00451C7E" w:rsidRDefault="00451C7E" w:rsidP="0015696D">
      <w:pPr>
        <w:pStyle w:val="BodyText"/>
        <w:kinsoku w:val="0"/>
        <w:overflowPunct w:val="0"/>
        <w:ind w:right="-10"/>
        <w:rPr>
          <w:rFonts w:ascii="Calibri" w:hAnsi="Calibri"/>
          <w:i/>
          <w:iCs/>
        </w:rPr>
      </w:pPr>
      <w:r w:rsidRPr="00451C7E">
        <w:rPr>
          <w:rFonts w:ascii="Calibri" w:hAnsi="Calibri"/>
          <w:i/>
          <w:iCs/>
          <w:u w:val="single" w:color="000000"/>
        </w:rPr>
        <w:t>Waiver 11: FNS-640 Administrative Review Data Report (NSLP)</w:t>
      </w:r>
    </w:p>
    <w:p w:rsidR="00451C7E" w:rsidRPr="00451C7E" w:rsidRDefault="00451C7E" w:rsidP="0015696D">
      <w:pPr>
        <w:pStyle w:val="BodyText"/>
        <w:kinsoku w:val="0"/>
        <w:overflowPunct w:val="0"/>
        <w:spacing w:before="15" w:line="237" w:lineRule="auto"/>
        <w:ind w:right="-10" w:hanging="1"/>
        <w:rPr>
          <w:rFonts w:ascii="Calibri" w:hAnsi="Calibri"/>
        </w:rPr>
      </w:pPr>
      <w:r w:rsidRPr="00451C7E">
        <w:rPr>
          <w:rFonts w:ascii="Calibri" w:hAnsi="Calibri"/>
        </w:rPr>
        <w:t>Under the NSLA, 42 U.S.C. 1769c(b)(1)(C)(iv) and program regulations at 7 CFR 210.18(n), State agencies shall submit to FNS each year the FNS-640 report containing the results of the reviews conducted in the preceding school year. This report is due March 1</w:t>
      </w:r>
      <w:r w:rsidRPr="00451C7E">
        <w:rPr>
          <w:rFonts w:ascii="Calibri" w:hAnsi="Calibri"/>
          <w:position w:val="6"/>
        </w:rPr>
        <w:t xml:space="preserve">st </w:t>
      </w:r>
      <w:r w:rsidRPr="00451C7E">
        <w:rPr>
          <w:rFonts w:ascii="Calibri" w:hAnsi="Calibri"/>
        </w:rPr>
        <w:t>of each year.</w:t>
      </w:r>
    </w:p>
    <w:p w:rsidR="00451C7E" w:rsidRPr="00451C7E" w:rsidRDefault="00451C7E" w:rsidP="0015696D">
      <w:pPr>
        <w:pStyle w:val="BodyText"/>
        <w:kinsoku w:val="0"/>
        <w:overflowPunct w:val="0"/>
        <w:spacing w:before="7"/>
        <w:ind w:right="-10"/>
        <w:rPr>
          <w:rFonts w:ascii="Calibri" w:hAnsi="Calibri"/>
        </w:rPr>
      </w:pPr>
    </w:p>
    <w:p w:rsidR="00451C7E" w:rsidRPr="00451C7E" w:rsidRDefault="00451C7E" w:rsidP="0015696D">
      <w:pPr>
        <w:pStyle w:val="BodyText"/>
        <w:kinsoku w:val="0"/>
        <w:overflowPunct w:val="0"/>
        <w:spacing w:line="237" w:lineRule="auto"/>
        <w:ind w:right="-10"/>
        <w:rPr>
          <w:rFonts w:ascii="Calibri" w:hAnsi="Calibri"/>
        </w:rPr>
      </w:pPr>
      <w:r w:rsidRPr="00451C7E">
        <w:rPr>
          <w:rFonts w:ascii="Calibri" w:hAnsi="Calibri"/>
        </w:rPr>
        <w:t>Pursuant to the waiver authority granted at Section 12(l) of the NSLA, FNS waives 7 CFR 245.11(b)(2) to permit States the time to focus on continuity of operations, and in recognition that the FNS-640 report for SY 2022-2023 would cover a time period during which operations were extensively impacted by nationwide waiver flexibilities. This waiver pertains to the requirement to submit the FNS-640 report due March 1, 2023, which would provide data collected from conducted administrative reviews for SY 2021-2022.</w:t>
      </w:r>
    </w:p>
    <w:p w:rsidR="00451C7E" w:rsidRPr="00451C7E" w:rsidRDefault="00451C7E" w:rsidP="0015696D">
      <w:pPr>
        <w:pStyle w:val="BodyText"/>
        <w:kinsoku w:val="0"/>
        <w:overflowPunct w:val="0"/>
        <w:spacing w:before="1"/>
        <w:ind w:right="-10"/>
        <w:rPr>
          <w:rFonts w:ascii="Calibri" w:hAnsi="Calibri"/>
        </w:rPr>
      </w:pPr>
    </w:p>
    <w:p w:rsidR="00451C7E" w:rsidRPr="00451C7E" w:rsidRDefault="00451C7E" w:rsidP="0015696D">
      <w:pPr>
        <w:pStyle w:val="BodyText"/>
        <w:kinsoku w:val="0"/>
        <w:overflowPunct w:val="0"/>
        <w:spacing w:line="274" w:lineRule="exact"/>
        <w:ind w:right="-10"/>
        <w:rPr>
          <w:rFonts w:ascii="Calibri" w:hAnsi="Calibri"/>
          <w:i/>
          <w:iCs/>
        </w:rPr>
      </w:pPr>
      <w:r w:rsidRPr="00451C7E">
        <w:rPr>
          <w:rFonts w:ascii="Calibri" w:hAnsi="Calibri"/>
          <w:i/>
          <w:iCs/>
          <w:u w:val="single" w:color="000000"/>
        </w:rPr>
        <w:t>Waiver 23: State Agency Onsite Monitoring Visits (CACFP)</w:t>
      </w:r>
    </w:p>
    <w:p w:rsidR="00451C7E" w:rsidRPr="00451C7E" w:rsidRDefault="00451C7E" w:rsidP="0015696D">
      <w:pPr>
        <w:pStyle w:val="BodyText"/>
        <w:kinsoku w:val="0"/>
        <w:overflowPunct w:val="0"/>
        <w:spacing w:line="242" w:lineRule="auto"/>
        <w:ind w:right="-10"/>
        <w:rPr>
          <w:rFonts w:ascii="Calibri" w:hAnsi="Calibri"/>
        </w:rPr>
      </w:pPr>
      <w:r w:rsidRPr="00451C7E">
        <w:rPr>
          <w:rFonts w:ascii="Calibri" w:hAnsi="Calibri"/>
        </w:rPr>
        <w:t>Under Program statute and regulations, State agencies are required to conduct one scheduled visit of CACFP institutions at not less than 3-year intervals. CACFP regulations at 7 CFR 226.6(m)(6) go on to require State agencies to annually review at least 33.3 percent of all CACFP institutions. Additionally, per 7 CFR 226.6(b)(1), State agencies are required to do a pre-approval visit of all new CACFP sponsors. However, FNS recognizes that as the country continues to respond to COVID-19, onsite monitoring may not be possible.</w:t>
      </w:r>
    </w:p>
    <w:p w:rsidR="00451C7E" w:rsidRPr="00451C7E" w:rsidRDefault="00451C7E" w:rsidP="0015696D">
      <w:pPr>
        <w:pStyle w:val="BodyText"/>
        <w:kinsoku w:val="0"/>
        <w:overflowPunct w:val="0"/>
        <w:spacing w:before="1"/>
        <w:ind w:right="-10"/>
        <w:rPr>
          <w:rFonts w:ascii="Calibri" w:hAnsi="Calibri"/>
        </w:rPr>
      </w:pPr>
    </w:p>
    <w:p w:rsidR="00451C7E" w:rsidRPr="00451C7E" w:rsidRDefault="00451C7E" w:rsidP="0015696D">
      <w:pPr>
        <w:pStyle w:val="BodyText"/>
        <w:kinsoku w:val="0"/>
        <w:overflowPunct w:val="0"/>
        <w:spacing w:line="249" w:lineRule="auto"/>
        <w:ind w:right="-10"/>
        <w:rPr>
          <w:rFonts w:ascii="Calibri" w:hAnsi="Calibri"/>
        </w:rPr>
      </w:pPr>
      <w:r w:rsidRPr="00451C7E">
        <w:rPr>
          <w:rFonts w:ascii="Calibri" w:hAnsi="Calibri"/>
        </w:rPr>
        <w:t>Therefore, pursuant to the Section 12(l) waiver authority cited above, FNS waives the requirement that CACFP monitoring requirements included in 7 CFR 226.6(b)(1) and 226.6(m)(6) be conducted onsite. Please note that to ensure Program integrity during this time, State agencies that elect to use this waiver should continue monitoring activities of Program operations offsite (e.g., through a desk audit).</w:t>
      </w:r>
    </w:p>
    <w:p w:rsidR="00451C7E" w:rsidRDefault="00451C7E" w:rsidP="0015696D">
      <w:pPr>
        <w:ind w:right="-10"/>
      </w:pPr>
    </w:p>
    <w:p w:rsidR="00451C7E" w:rsidRPr="006C3A33" w:rsidRDefault="00451C7E" w:rsidP="0015696D">
      <w:pPr>
        <w:pStyle w:val="BodyText"/>
        <w:kinsoku w:val="0"/>
        <w:overflowPunct w:val="0"/>
        <w:spacing w:before="10"/>
        <w:ind w:right="-10"/>
        <w:rPr>
          <w:rFonts w:asciiTheme="minorHAnsi" w:hAnsiTheme="minorHAnsi"/>
        </w:rPr>
      </w:pPr>
    </w:p>
    <w:sectPr w:rsidR="00451C7E" w:rsidRPr="006C3A33" w:rsidSect="00280B9F">
      <w:headerReference w:type="default" r:id="rId14"/>
      <w:footerReference w:type="default" r:id="rId15"/>
      <w:pgSz w:w="12240" w:h="15840"/>
      <w:pgMar w:top="1260" w:right="1660" w:bottom="1220" w:left="600" w:header="730" w:footer="1024" w:gutter="0"/>
      <w:pgNumType w:start="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1F2" w:rsidRDefault="00F741F2">
      <w:r>
        <w:separator/>
      </w:r>
    </w:p>
  </w:endnote>
  <w:endnote w:type="continuationSeparator" w:id="0">
    <w:p w:rsidR="00F741F2" w:rsidRDefault="00F7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76" w:rsidRDefault="00E74676" w:rsidP="00500E35">
    <w:pPr>
      <w:pStyle w:val="BodyText"/>
      <w:tabs>
        <w:tab w:val="center" w:pos="4990"/>
        <w:tab w:val="right" w:pos="9980"/>
      </w:tabs>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1F2" w:rsidRDefault="00F741F2">
      <w:r>
        <w:separator/>
      </w:r>
    </w:p>
  </w:footnote>
  <w:footnote w:type="continuationSeparator" w:id="0">
    <w:p w:rsidR="00F741F2" w:rsidRDefault="00F74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76" w:rsidRDefault="00E74676">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928" w:hanging="353"/>
      </w:pPr>
      <w:rPr>
        <w:rFonts w:ascii="Symbol" w:hAnsi="Symbol"/>
        <w:b w:val="0"/>
        <w:w w:val="100"/>
        <w:sz w:val="24"/>
      </w:rPr>
    </w:lvl>
    <w:lvl w:ilvl="1">
      <w:numFmt w:val="bullet"/>
      <w:lvlText w:val="•"/>
      <w:lvlJc w:val="left"/>
      <w:pPr>
        <w:ind w:left="2726" w:hanging="353"/>
      </w:pPr>
    </w:lvl>
    <w:lvl w:ilvl="2">
      <w:numFmt w:val="bullet"/>
      <w:lvlText w:val="•"/>
      <w:lvlJc w:val="left"/>
      <w:pPr>
        <w:ind w:left="3532" w:hanging="353"/>
      </w:pPr>
    </w:lvl>
    <w:lvl w:ilvl="3">
      <w:numFmt w:val="bullet"/>
      <w:lvlText w:val="•"/>
      <w:lvlJc w:val="left"/>
      <w:pPr>
        <w:ind w:left="4338" w:hanging="353"/>
      </w:pPr>
    </w:lvl>
    <w:lvl w:ilvl="4">
      <w:numFmt w:val="bullet"/>
      <w:lvlText w:val="•"/>
      <w:lvlJc w:val="left"/>
      <w:pPr>
        <w:ind w:left="5144" w:hanging="353"/>
      </w:pPr>
    </w:lvl>
    <w:lvl w:ilvl="5">
      <w:numFmt w:val="bullet"/>
      <w:lvlText w:val="•"/>
      <w:lvlJc w:val="left"/>
      <w:pPr>
        <w:ind w:left="5950" w:hanging="353"/>
      </w:pPr>
    </w:lvl>
    <w:lvl w:ilvl="6">
      <w:numFmt w:val="bullet"/>
      <w:lvlText w:val="•"/>
      <w:lvlJc w:val="left"/>
      <w:pPr>
        <w:ind w:left="6756" w:hanging="353"/>
      </w:pPr>
    </w:lvl>
    <w:lvl w:ilvl="7">
      <w:numFmt w:val="bullet"/>
      <w:lvlText w:val="•"/>
      <w:lvlJc w:val="left"/>
      <w:pPr>
        <w:ind w:left="7562" w:hanging="353"/>
      </w:pPr>
    </w:lvl>
    <w:lvl w:ilvl="8">
      <w:numFmt w:val="bullet"/>
      <w:lvlText w:val="•"/>
      <w:lvlJc w:val="left"/>
      <w:pPr>
        <w:ind w:left="8368" w:hanging="353"/>
      </w:pPr>
    </w:lvl>
  </w:abstractNum>
  <w:abstractNum w:abstractNumId="1" w15:restartNumberingAfterBreak="0">
    <w:nsid w:val="54AD32E8"/>
    <w:multiLevelType w:val="hybridMultilevel"/>
    <w:tmpl w:val="7A04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4D"/>
    <w:rsid w:val="00097D25"/>
    <w:rsid w:val="00137DDF"/>
    <w:rsid w:val="0015696D"/>
    <w:rsid w:val="00162244"/>
    <w:rsid w:val="00280B9F"/>
    <w:rsid w:val="003B4D5B"/>
    <w:rsid w:val="00451C7E"/>
    <w:rsid w:val="00500E35"/>
    <w:rsid w:val="00520FA4"/>
    <w:rsid w:val="005C2257"/>
    <w:rsid w:val="005D3D88"/>
    <w:rsid w:val="006C3A33"/>
    <w:rsid w:val="007102F2"/>
    <w:rsid w:val="007A0523"/>
    <w:rsid w:val="00824E66"/>
    <w:rsid w:val="008B1735"/>
    <w:rsid w:val="00BA6779"/>
    <w:rsid w:val="00C2174D"/>
    <w:rsid w:val="00C265D5"/>
    <w:rsid w:val="00C87C39"/>
    <w:rsid w:val="00C91869"/>
    <w:rsid w:val="00CC18FE"/>
    <w:rsid w:val="00D41D8C"/>
    <w:rsid w:val="00DB7E5B"/>
    <w:rsid w:val="00E74676"/>
    <w:rsid w:val="00F209DB"/>
    <w:rsid w:val="00F741F2"/>
    <w:rsid w:val="00FA54F0"/>
    <w:rsid w:val="00FB7555"/>
    <w:rsid w:val="00FF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008AAE-ADED-4A04-B944-F6D7C59A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lang w:eastAsia="en-US"/>
    </w:rPr>
  </w:style>
  <w:style w:type="paragraph" w:styleId="Heading1">
    <w:name w:val="heading 1"/>
    <w:basedOn w:val="Normal"/>
    <w:next w:val="Normal"/>
    <w:link w:val="Heading1Char"/>
    <w:uiPriority w:val="1"/>
    <w:qFormat/>
    <w:pPr>
      <w:spacing w:line="274" w:lineRule="exact"/>
      <w:ind w:left="1208"/>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1928" w:hanging="353"/>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C2174D"/>
    <w:pPr>
      <w:tabs>
        <w:tab w:val="center" w:pos="4680"/>
        <w:tab w:val="right" w:pos="9360"/>
      </w:tabs>
    </w:pPr>
  </w:style>
  <w:style w:type="character" w:customStyle="1" w:styleId="HeaderChar">
    <w:name w:val="Header Char"/>
    <w:basedOn w:val="DefaultParagraphFont"/>
    <w:link w:val="Header"/>
    <w:uiPriority w:val="99"/>
    <w:locked/>
    <w:rsid w:val="00C2174D"/>
    <w:rPr>
      <w:rFonts w:ascii="Times New Roman" w:hAnsi="Times New Roman" w:cs="Times New Roman"/>
    </w:rPr>
  </w:style>
  <w:style w:type="paragraph" w:styleId="Footer">
    <w:name w:val="footer"/>
    <w:basedOn w:val="Normal"/>
    <w:link w:val="FooterChar"/>
    <w:uiPriority w:val="99"/>
    <w:unhideWhenUsed/>
    <w:rsid w:val="00C2174D"/>
    <w:pPr>
      <w:tabs>
        <w:tab w:val="center" w:pos="4680"/>
        <w:tab w:val="right" w:pos="9360"/>
      </w:tabs>
    </w:pPr>
  </w:style>
  <w:style w:type="character" w:customStyle="1" w:styleId="FooterChar">
    <w:name w:val="Footer Char"/>
    <w:basedOn w:val="DefaultParagraphFont"/>
    <w:link w:val="Footer"/>
    <w:uiPriority w:val="99"/>
    <w:locked/>
    <w:rsid w:val="00C2174D"/>
    <w:rPr>
      <w:rFonts w:ascii="Times New Roman" w:hAnsi="Times New Roman" w:cs="Times New Roman"/>
    </w:rPr>
  </w:style>
  <w:style w:type="character" w:styleId="Hyperlink">
    <w:name w:val="Hyperlink"/>
    <w:basedOn w:val="DefaultParagraphFont"/>
    <w:uiPriority w:val="99"/>
    <w:unhideWhenUsed/>
    <w:rsid w:val="00FF4FB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60a2e281fa0c4bdc9d1018e43f92c613" TargetMode="External"/><Relationship Id="rId13" Type="http://schemas.openxmlformats.org/officeDocument/2006/relationships/hyperlink" Target="https://app.smartsheet.com/b/form/60a2e281fa0c4bdc9d1018e43f92c6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martsheet.com/b/form/60a2e281fa0c4bdc9d1018e43f92c6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cdc.gov/covid-data-track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martsheet.com/b/form/60a2e281fa0c4bdc9d1018e43f92c613" TargetMode="External"/><Relationship Id="rId4" Type="http://schemas.openxmlformats.org/officeDocument/2006/relationships/settings" Target="settings.xml"/><Relationship Id="rId9" Type="http://schemas.openxmlformats.org/officeDocument/2006/relationships/hyperlink" Target="https://covid.cdc.gov/covid-data-track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B6F4-BA9F-46BD-A124-963B0D36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3740</Words>
  <Characters>21319</Characters>
  <Application>Microsoft Office Word</Application>
  <DocSecurity>0</DocSecurity>
  <Lines>177</Lines>
  <Paragraphs>50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USDA</vt:lpstr>
      <vt:lpstr>Child Nutrition Program Operations Waiver Summary</vt:lpstr>
      <vt:lpstr/>
      <vt:lpstr>Summer Operations (SFSP/SSO)</vt:lpstr>
      <vt:lpstr>School Year Operations (NSLP/SBP)</vt:lpstr>
      <vt:lpstr>Special Milk Program Operations</vt:lpstr>
      <vt:lpstr>Effective July 1, 2022, through June 30, 2023. However, FNS expects that flexibi</vt:lpstr>
      <vt:lpstr>Fresh Fruit and Vegetable Program Operations</vt:lpstr>
      <vt:lpstr/>
      <vt:lpstr>Unanticipated School Closures</vt:lpstr>
      <vt:lpstr>Child and Adult Care Food Program Operations</vt:lpstr>
      <vt:lpstr/>
      <vt:lpstr>School Year Administration (NSLP/SBP/SFSP)</vt:lpstr>
      <vt:lpstr>Child and Adult Care Food Program Administration</vt:lpstr>
    </vt:vector>
  </TitlesOfParts>
  <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dc:title>
  <dc:subject/>
  <dc:creator>Namian, Tina - FNS</dc:creator>
  <cp:keywords/>
  <dc:description/>
  <cp:lastModifiedBy>VISINSKY Jessica - ODE</cp:lastModifiedBy>
  <cp:revision>2</cp:revision>
  <dcterms:created xsi:type="dcterms:W3CDTF">2022-06-29T19:11:00Z</dcterms:created>
  <dcterms:modified xsi:type="dcterms:W3CDTF">2022-06-29T19:11:00Z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22 for Word</vt:lpwstr>
  </property>
</Properties>
</file>