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407CD76A" w:rsidR="00B723A5" w:rsidRDefault="00003C05"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AUGUST</w:t>
      </w:r>
      <w:r w:rsidR="009234DE">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6DD8EC92" w14:textId="052A96E4"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Title: </w:t>
      </w:r>
      <w:r w:rsidR="00003C05" w:rsidRPr="00003C05">
        <w:rPr>
          <w:rFonts w:ascii="Times New Roman" w:hAnsi="Times New Roman"/>
          <w:b/>
          <w:szCs w:val="24"/>
        </w:rPr>
        <w:t>Drug Recognition Expert Testimony: Linking Investigation Clues &amp; Cues to Driving Impairment</w:t>
      </w:r>
      <w:r w:rsidR="00003C05" w:rsidRPr="00003C05">
        <w:rPr>
          <w:rFonts w:ascii="Times New Roman" w:hAnsi="Times New Roman"/>
          <w:b/>
          <w:szCs w:val="24"/>
        </w:rPr>
        <w:t xml:space="preserve"> </w:t>
      </w:r>
      <w:r w:rsidRPr="0033545F">
        <w:rPr>
          <w:rFonts w:ascii="Times New Roman" w:hAnsi="Times New Roman"/>
          <w:bCs/>
          <w:i/>
          <w:iCs/>
          <w:szCs w:val="24"/>
        </w:rPr>
        <w:t>(</w:t>
      </w:r>
      <w:r>
        <w:rPr>
          <w:rFonts w:ascii="Times New Roman" w:hAnsi="Times New Roman"/>
          <w:bCs/>
          <w:i/>
          <w:iCs/>
          <w:szCs w:val="24"/>
        </w:rPr>
        <w:t>Ohio</w:t>
      </w:r>
      <w:r w:rsidRPr="0033545F">
        <w:rPr>
          <w:rFonts w:ascii="Times New Roman" w:hAnsi="Times New Roman"/>
          <w:bCs/>
          <w:i/>
          <w:iCs/>
          <w:szCs w:val="24"/>
        </w:rPr>
        <w:t xml:space="preserve"> Bar Approval for</w:t>
      </w:r>
      <w:r>
        <w:rPr>
          <w:rFonts w:ascii="Times New Roman" w:hAnsi="Times New Roman"/>
          <w:bCs/>
          <w:i/>
          <w:iCs/>
          <w:szCs w:val="24"/>
        </w:rPr>
        <w:t xml:space="preserve"> 1.5</w:t>
      </w:r>
      <w:r w:rsidRPr="0033545F">
        <w:rPr>
          <w:rFonts w:ascii="Times New Roman" w:hAnsi="Times New Roman"/>
          <w:bCs/>
          <w:i/>
          <w:iCs/>
          <w:szCs w:val="24"/>
        </w:rPr>
        <w:t>-</w:t>
      </w:r>
      <w:proofErr w:type="spellStart"/>
      <w:r w:rsidRPr="0033545F">
        <w:rPr>
          <w:rFonts w:ascii="Times New Roman" w:hAnsi="Times New Roman"/>
          <w:bCs/>
          <w:i/>
          <w:iCs/>
          <w:szCs w:val="24"/>
        </w:rPr>
        <w:t>hr</w:t>
      </w:r>
      <w:proofErr w:type="spellEnd"/>
      <w:r w:rsidRPr="0033545F">
        <w:rPr>
          <w:rFonts w:ascii="Times New Roman" w:hAnsi="Times New Roman"/>
          <w:bCs/>
          <w:i/>
          <w:iCs/>
          <w:szCs w:val="24"/>
        </w:rPr>
        <w:t xml:space="preserve"> CLE Credit)</w:t>
      </w:r>
    </w:p>
    <w:p w14:paraId="31DFA8D7" w14:textId="399037DB" w:rsidR="0059093D" w:rsidRDefault="009234DE" w:rsidP="0059093D">
      <w:pPr>
        <w:pStyle w:val="ListParagraph"/>
        <w:numPr>
          <w:ilvl w:val="0"/>
          <w:numId w:val="12"/>
        </w:numPr>
        <w:contextualSpacing/>
        <w:rPr>
          <w:rFonts w:ascii="Times New Roman" w:hAnsi="Times New Roman"/>
          <w:b/>
          <w:szCs w:val="24"/>
        </w:rPr>
      </w:pPr>
      <w:r w:rsidRPr="00D777DD">
        <w:rPr>
          <w:rFonts w:ascii="Times New Roman" w:hAnsi="Times New Roman"/>
          <w:b/>
          <w:szCs w:val="24"/>
        </w:rPr>
        <w:t xml:space="preserve">Date: Tuesday, </w:t>
      </w:r>
      <w:r w:rsidR="00830E95">
        <w:rPr>
          <w:rFonts w:ascii="Times New Roman" w:hAnsi="Times New Roman"/>
          <w:b/>
          <w:szCs w:val="24"/>
        </w:rPr>
        <w:t>August 19</w:t>
      </w:r>
      <w:r w:rsidRPr="00D777DD">
        <w:rPr>
          <w:rFonts w:ascii="Times New Roman" w:hAnsi="Times New Roman"/>
          <w:b/>
          <w:szCs w:val="24"/>
        </w:rPr>
        <w:t>, 2025</w:t>
      </w:r>
      <w:r w:rsidR="00D777DD" w:rsidRPr="00D777DD">
        <w:rPr>
          <w:rFonts w:ascii="Times New Roman" w:hAnsi="Times New Roman"/>
          <w:b/>
          <w:szCs w:val="24"/>
        </w:rPr>
        <w:t xml:space="preserve">, </w:t>
      </w:r>
      <w:proofErr w:type="spellStart"/>
      <w:r w:rsidRPr="00D777DD">
        <w:rPr>
          <w:rFonts w:ascii="Times New Roman" w:hAnsi="Times New Roman"/>
          <w:b/>
          <w:szCs w:val="24"/>
        </w:rPr>
        <w:t>2:00p-3:30p</w:t>
      </w:r>
      <w:proofErr w:type="spellEnd"/>
      <w:r w:rsidRPr="00D777DD">
        <w:rPr>
          <w:rFonts w:ascii="Times New Roman" w:hAnsi="Times New Roman"/>
          <w:b/>
          <w:szCs w:val="24"/>
        </w:rPr>
        <w:t xml:space="preserve"> Eastern</w:t>
      </w:r>
    </w:p>
    <w:p w14:paraId="18FCD287" w14:textId="514107B8" w:rsidR="001114A7" w:rsidRDefault="0059093D" w:rsidP="00A66A94">
      <w:pPr>
        <w:pStyle w:val="ListParagraph"/>
        <w:numPr>
          <w:ilvl w:val="0"/>
          <w:numId w:val="12"/>
        </w:numPr>
        <w:contextualSpacing/>
        <w:rPr>
          <w:rFonts w:ascii="Times New Roman" w:hAnsi="Times New Roman"/>
          <w:b/>
          <w:szCs w:val="24"/>
        </w:rPr>
      </w:pPr>
      <w:r w:rsidRPr="00C17F68">
        <w:rPr>
          <w:rFonts w:ascii="Times New Roman" w:hAnsi="Times New Roman"/>
          <w:b/>
          <w:szCs w:val="24"/>
        </w:rPr>
        <w:t>Instructor</w:t>
      </w:r>
      <w:r w:rsidR="00830E95">
        <w:rPr>
          <w:rFonts w:ascii="Times New Roman" w:hAnsi="Times New Roman"/>
          <w:b/>
          <w:szCs w:val="24"/>
        </w:rPr>
        <w:t xml:space="preserve">s: </w:t>
      </w:r>
      <w:r w:rsidR="00E56958" w:rsidRPr="00E56958">
        <w:rPr>
          <w:rFonts w:ascii="Times New Roman" w:hAnsi="Times New Roman"/>
          <w:b/>
          <w:szCs w:val="24"/>
        </w:rPr>
        <w:t>Devin Chase</w:t>
      </w:r>
      <w:r w:rsidR="00E56958">
        <w:rPr>
          <w:rFonts w:ascii="Times New Roman" w:hAnsi="Times New Roman"/>
          <w:b/>
          <w:szCs w:val="24"/>
        </w:rPr>
        <w:t>,</w:t>
      </w:r>
      <w:r w:rsidR="00E56958" w:rsidRPr="00E56958">
        <w:rPr>
          <w:rFonts w:ascii="Times New Roman" w:hAnsi="Times New Roman"/>
          <w:b/>
          <w:szCs w:val="24"/>
        </w:rPr>
        <w:t xml:space="preserve"> DRE Investigator</w:t>
      </w:r>
      <w:r w:rsidR="00E56958">
        <w:rPr>
          <w:rFonts w:ascii="Times New Roman" w:hAnsi="Times New Roman"/>
          <w:b/>
          <w:szCs w:val="24"/>
        </w:rPr>
        <w:t>,</w:t>
      </w:r>
      <w:r w:rsidR="00E56958" w:rsidRPr="00E56958">
        <w:rPr>
          <w:rFonts w:ascii="Times New Roman" w:hAnsi="Times New Roman"/>
          <w:b/>
          <w:szCs w:val="24"/>
        </w:rPr>
        <w:t xml:space="preserve"> Orange County District Attorney's Office </w:t>
      </w:r>
      <w:r w:rsidR="00E56958">
        <w:rPr>
          <w:rFonts w:ascii="Times New Roman" w:hAnsi="Times New Roman"/>
          <w:b/>
          <w:szCs w:val="24"/>
        </w:rPr>
        <w:t xml:space="preserve">&amp; </w:t>
      </w:r>
      <w:r w:rsidR="00E56958" w:rsidRPr="00E56958">
        <w:rPr>
          <w:rFonts w:ascii="Times New Roman" w:hAnsi="Times New Roman"/>
          <w:b/>
          <w:szCs w:val="24"/>
        </w:rPr>
        <w:t>Jessica Le</w:t>
      </w:r>
      <w:r w:rsidR="00E56958">
        <w:rPr>
          <w:rFonts w:ascii="Times New Roman" w:hAnsi="Times New Roman"/>
          <w:b/>
          <w:szCs w:val="24"/>
        </w:rPr>
        <w:t>,</w:t>
      </w:r>
      <w:r w:rsidR="00E56958" w:rsidRPr="00E56958">
        <w:rPr>
          <w:rFonts w:ascii="Times New Roman" w:hAnsi="Times New Roman"/>
          <w:b/>
          <w:szCs w:val="24"/>
        </w:rPr>
        <w:t xml:space="preserve"> Orange County (CA) Deputy District Attorney</w:t>
      </w:r>
      <w:r w:rsidR="00E56958">
        <w:rPr>
          <w:rFonts w:ascii="Times New Roman" w:hAnsi="Times New Roman"/>
          <w:b/>
          <w:szCs w:val="24"/>
        </w:rPr>
        <w:t>,</w:t>
      </w:r>
      <w:r w:rsidR="00E56958" w:rsidRPr="00E56958">
        <w:rPr>
          <w:rFonts w:ascii="Times New Roman" w:hAnsi="Times New Roman"/>
          <w:b/>
          <w:szCs w:val="24"/>
        </w:rPr>
        <w:t xml:space="preserve"> California TSRP</w:t>
      </w:r>
    </w:p>
    <w:p w14:paraId="490BEBAE" w14:textId="77777777" w:rsidR="00DC6A3A" w:rsidRPr="00DC6A3A" w:rsidRDefault="00BA395A" w:rsidP="00375AC1">
      <w:pPr>
        <w:pStyle w:val="ListParagraph"/>
        <w:numPr>
          <w:ilvl w:val="0"/>
          <w:numId w:val="12"/>
        </w:numPr>
        <w:shd w:val="clear" w:color="auto" w:fill="FFFFFF"/>
        <w:contextualSpacing/>
        <w:rPr>
          <w:rFonts w:ascii="Arial" w:eastAsia="Times New Roman" w:hAnsi="Arial" w:cs="Arial"/>
          <w:color w:val="222222"/>
          <w:sz w:val="24"/>
          <w:szCs w:val="24"/>
        </w:rPr>
      </w:pPr>
      <w:r w:rsidRPr="00FC5986">
        <w:rPr>
          <w:rFonts w:ascii="Times New Roman" w:hAnsi="Times New Roman"/>
          <w:b/>
          <w:szCs w:val="24"/>
        </w:rPr>
        <w:t>During a driving under the influence (DUI) case, jury instruction typically includes: the driver was under the influence of alcohol or a drug to the extent that their normal faculties were impaired. The phrase “under the influence” means that as a result of taking a substance into the body, a person’s ability to safely operate a motor vehicle has been diminished. During the jury trial it is critical to testify not just to the facts of the case and the results of the standardized field sobriety tests, but to also articulate how those results show that a person’s ability to safely operate a motor vehicle has been diminished. This session will instruct officers, prosecutors, and toxicologists in the various techniques that have been successfully used during trials to prove this key component of any DUI case.</w:t>
      </w:r>
    </w:p>
    <w:p w14:paraId="611A39B1" w14:textId="14DEF93A" w:rsidR="0072662D" w:rsidRPr="00FC5986" w:rsidRDefault="0072662D" w:rsidP="00375AC1">
      <w:pPr>
        <w:pStyle w:val="ListParagraph"/>
        <w:numPr>
          <w:ilvl w:val="0"/>
          <w:numId w:val="12"/>
        </w:numPr>
        <w:shd w:val="clear" w:color="auto" w:fill="FFFFFF"/>
        <w:contextualSpacing/>
        <w:rPr>
          <w:rFonts w:ascii="Arial" w:eastAsia="Times New Roman" w:hAnsi="Arial" w:cs="Arial"/>
          <w:color w:val="222222"/>
          <w:sz w:val="24"/>
          <w:szCs w:val="24"/>
        </w:rPr>
      </w:pPr>
      <w:r w:rsidRPr="00FC5986">
        <w:rPr>
          <w:rFonts w:ascii="Times New Roman" w:hAnsi="Times New Roman"/>
          <w:b/>
          <w:szCs w:val="24"/>
        </w:rPr>
        <w:t xml:space="preserve">Registration: </w:t>
      </w:r>
      <w:hyperlink r:id="rId5" w:history="1">
        <w:r w:rsidR="00FC5986" w:rsidRPr="00871604">
          <w:rPr>
            <w:rStyle w:val="Hyperlink"/>
          </w:rPr>
          <w:t>https://attendee.gotowebinar.com/register/6236821821113451862</w:t>
        </w:r>
      </w:hyperlink>
    </w:p>
    <w:p w14:paraId="270C7246" w14:textId="77777777" w:rsidR="00FC5986" w:rsidRPr="00FC5986" w:rsidRDefault="00FC5986" w:rsidP="00FC5986">
      <w:pPr>
        <w:pStyle w:val="ListParagraph"/>
        <w:shd w:val="clear" w:color="auto" w:fill="FFFFFF"/>
        <w:contextualSpacing/>
        <w:rPr>
          <w:rFonts w:ascii="Arial" w:eastAsia="Times New Roman" w:hAnsi="Arial" w:cs="Arial"/>
          <w:color w:val="222222"/>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3C05"/>
    <w:rsid w:val="00004034"/>
    <w:rsid w:val="00062730"/>
    <w:rsid w:val="00063B28"/>
    <w:rsid w:val="00080A78"/>
    <w:rsid w:val="000821C5"/>
    <w:rsid w:val="00091B5C"/>
    <w:rsid w:val="0009710A"/>
    <w:rsid w:val="000B1A74"/>
    <w:rsid w:val="000D0D09"/>
    <w:rsid w:val="001114A7"/>
    <w:rsid w:val="00132735"/>
    <w:rsid w:val="00145C35"/>
    <w:rsid w:val="002007A7"/>
    <w:rsid w:val="002B6C29"/>
    <w:rsid w:val="002C604D"/>
    <w:rsid w:val="002E5793"/>
    <w:rsid w:val="0030255C"/>
    <w:rsid w:val="00313F4D"/>
    <w:rsid w:val="00345DCA"/>
    <w:rsid w:val="003B50AB"/>
    <w:rsid w:val="003C77BB"/>
    <w:rsid w:val="00404632"/>
    <w:rsid w:val="004173BB"/>
    <w:rsid w:val="00460DEE"/>
    <w:rsid w:val="00481054"/>
    <w:rsid w:val="00484862"/>
    <w:rsid w:val="004B3A2B"/>
    <w:rsid w:val="004C0DB3"/>
    <w:rsid w:val="00513F0F"/>
    <w:rsid w:val="00540805"/>
    <w:rsid w:val="005521C7"/>
    <w:rsid w:val="005713C3"/>
    <w:rsid w:val="0059093D"/>
    <w:rsid w:val="005C4426"/>
    <w:rsid w:val="005D19AC"/>
    <w:rsid w:val="005E416E"/>
    <w:rsid w:val="00626EF6"/>
    <w:rsid w:val="00662D37"/>
    <w:rsid w:val="006A0F33"/>
    <w:rsid w:val="006A1104"/>
    <w:rsid w:val="006C0AF3"/>
    <w:rsid w:val="007175EF"/>
    <w:rsid w:val="0072662D"/>
    <w:rsid w:val="00731159"/>
    <w:rsid w:val="007E35E2"/>
    <w:rsid w:val="008007D3"/>
    <w:rsid w:val="00816F71"/>
    <w:rsid w:val="00830E95"/>
    <w:rsid w:val="00844982"/>
    <w:rsid w:val="008837B5"/>
    <w:rsid w:val="00890391"/>
    <w:rsid w:val="008A379E"/>
    <w:rsid w:val="009001DF"/>
    <w:rsid w:val="009234DE"/>
    <w:rsid w:val="00923DE3"/>
    <w:rsid w:val="009826A7"/>
    <w:rsid w:val="009B7701"/>
    <w:rsid w:val="009D621E"/>
    <w:rsid w:val="009F17F4"/>
    <w:rsid w:val="00A36009"/>
    <w:rsid w:val="00A4009E"/>
    <w:rsid w:val="00A46115"/>
    <w:rsid w:val="00B37D28"/>
    <w:rsid w:val="00B56790"/>
    <w:rsid w:val="00B723A5"/>
    <w:rsid w:val="00B72462"/>
    <w:rsid w:val="00B94679"/>
    <w:rsid w:val="00BA395A"/>
    <w:rsid w:val="00BF3405"/>
    <w:rsid w:val="00C01F21"/>
    <w:rsid w:val="00C17F68"/>
    <w:rsid w:val="00C50CB1"/>
    <w:rsid w:val="00C73D94"/>
    <w:rsid w:val="00C82A1B"/>
    <w:rsid w:val="00C873BB"/>
    <w:rsid w:val="00CD4D59"/>
    <w:rsid w:val="00D27161"/>
    <w:rsid w:val="00D777DD"/>
    <w:rsid w:val="00D85B00"/>
    <w:rsid w:val="00DC6A3A"/>
    <w:rsid w:val="00DD2F26"/>
    <w:rsid w:val="00E40D3A"/>
    <w:rsid w:val="00E56958"/>
    <w:rsid w:val="00E750E0"/>
    <w:rsid w:val="00E91F68"/>
    <w:rsid w:val="00EE22C0"/>
    <w:rsid w:val="00F03A7E"/>
    <w:rsid w:val="00F1316A"/>
    <w:rsid w:val="00F3412A"/>
    <w:rsid w:val="00F80D55"/>
    <w:rsid w:val="00FA0C72"/>
    <w:rsid w:val="00FA6101"/>
    <w:rsid w:val="00FC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62368218211134518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8</cp:revision>
  <dcterms:created xsi:type="dcterms:W3CDTF">2025-02-27T22:57:00Z</dcterms:created>
  <dcterms:modified xsi:type="dcterms:W3CDTF">2025-02-27T23:05:00Z</dcterms:modified>
</cp:coreProperties>
</file>