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6EEF62F1" w:rsidR="00B723A5" w:rsidRDefault="00A46115"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DEC</w:t>
      </w:r>
      <w:r w:rsidR="00A4009E">
        <w:rPr>
          <w:rFonts w:ascii="Arial" w:eastAsia="Times New Roman" w:hAnsi="Arial" w:cs="Arial"/>
          <w:b/>
          <w:bCs/>
          <w:color w:val="222222"/>
          <w:sz w:val="24"/>
          <w:szCs w:val="24"/>
        </w:rPr>
        <w:t>EM</w:t>
      </w:r>
      <w:r w:rsidR="00B56790">
        <w:rPr>
          <w:rFonts w:ascii="Arial" w:eastAsia="Times New Roman" w:hAnsi="Arial" w:cs="Arial"/>
          <w:b/>
          <w:bCs/>
          <w:color w:val="222222"/>
          <w:sz w:val="24"/>
          <w:szCs w:val="24"/>
        </w:rPr>
        <w:t>BER</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43480E59" w14:textId="5C4E68A9" w:rsidR="00A46115" w:rsidRDefault="00A46115" w:rsidP="00A46115">
      <w:pPr>
        <w:shd w:val="clear" w:color="auto" w:fill="FFFFFF"/>
        <w:rPr>
          <w:rFonts w:ascii="Arial" w:hAnsi="Arial" w:cs="Arial"/>
          <w:color w:val="222222"/>
        </w:rPr>
      </w:pPr>
      <w:r>
        <w:rPr>
          <w:rFonts w:ascii="Arial" w:hAnsi="Arial" w:cs="Arial"/>
          <w:b/>
          <w:bCs/>
          <w:color w:val="222222"/>
        </w:rPr>
        <w:t>Title: Forensic Toxicology in DUI Cases: Bringing Out the Nerd in You </w:t>
      </w:r>
      <w:r>
        <w:rPr>
          <w:rFonts w:ascii="Arial" w:hAnsi="Arial" w:cs="Arial"/>
          <w:i/>
          <w:iCs/>
          <w:color w:val="222222"/>
        </w:rPr>
        <w:t>(Ohio Bar Approval for 1.5-hr CLE</w:t>
      </w:r>
      <w:r w:rsidR="00C50CB1">
        <w:rPr>
          <w:rFonts w:ascii="Arial" w:hAnsi="Arial" w:cs="Arial"/>
          <w:i/>
          <w:iCs/>
          <w:color w:val="222222"/>
        </w:rPr>
        <w:t xml:space="preserve"> General </w:t>
      </w:r>
      <w:r>
        <w:rPr>
          <w:rFonts w:ascii="Arial" w:hAnsi="Arial" w:cs="Arial"/>
          <w:i/>
          <w:iCs/>
          <w:color w:val="222222"/>
        </w:rPr>
        <w:t>Credit)</w:t>
      </w:r>
    </w:p>
    <w:p w14:paraId="3E5B4D5D" w14:textId="77777777" w:rsidR="00A46115" w:rsidRDefault="00A46115" w:rsidP="00A46115">
      <w:pPr>
        <w:shd w:val="clear" w:color="auto" w:fill="FFFFFF"/>
        <w:rPr>
          <w:rFonts w:ascii="Arial" w:hAnsi="Arial" w:cs="Arial"/>
          <w:color w:val="222222"/>
        </w:rPr>
      </w:pPr>
      <w:r>
        <w:rPr>
          <w:rFonts w:ascii="Arial" w:hAnsi="Arial" w:cs="Arial"/>
          <w:b/>
          <w:bCs/>
          <w:color w:val="222222"/>
        </w:rPr>
        <w:t>Date: Tuesday, December 13, 2022</w:t>
      </w:r>
    </w:p>
    <w:p w14:paraId="4FB3CB3E" w14:textId="77777777" w:rsidR="00A46115" w:rsidRDefault="00A46115" w:rsidP="00A46115">
      <w:pPr>
        <w:shd w:val="clear" w:color="auto" w:fill="FFFFFF"/>
        <w:rPr>
          <w:rFonts w:ascii="Arial" w:hAnsi="Arial" w:cs="Arial"/>
          <w:color w:val="222222"/>
        </w:rPr>
      </w:pPr>
      <w:r>
        <w:rPr>
          <w:rFonts w:ascii="Arial" w:hAnsi="Arial" w:cs="Arial"/>
          <w:b/>
          <w:bCs/>
          <w:color w:val="222222"/>
        </w:rPr>
        <w:t>Time: 2p-330p</w:t>
      </w:r>
    </w:p>
    <w:p w14:paraId="1867913E" w14:textId="526D16CA" w:rsidR="00A46115" w:rsidRDefault="00A46115" w:rsidP="00A46115">
      <w:pPr>
        <w:shd w:val="clear" w:color="auto" w:fill="FFFFFF"/>
        <w:rPr>
          <w:rFonts w:ascii="Arial" w:hAnsi="Arial" w:cs="Arial"/>
          <w:color w:val="222222"/>
        </w:rPr>
      </w:pPr>
      <w:r>
        <w:rPr>
          <w:rFonts w:ascii="Arial" w:hAnsi="Arial" w:cs="Arial"/>
          <w:b/>
          <w:bCs/>
          <w:color w:val="222222"/>
        </w:rPr>
        <w:t>Presenter: Amy Miles, Director of Forensic Toxicology, Wisconsin State Laboratory of Hygiene, UW School of Medicine and Public Health; National Resource Toxicologist</w:t>
      </w:r>
    </w:p>
    <w:p w14:paraId="583BC586" w14:textId="77777777" w:rsidR="00A46115" w:rsidRDefault="00A46115" w:rsidP="00A46115">
      <w:pPr>
        <w:shd w:val="clear" w:color="auto" w:fill="FFFFFF"/>
        <w:rPr>
          <w:rFonts w:ascii="Arial" w:hAnsi="Arial" w:cs="Arial"/>
          <w:color w:val="222222"/>
        </w:rPr>
      </w:pPr>
      <w:r>
        <w:rPr>
          <w:rFonts w:ascii="Arial" w:hAnsi="Arial" w:cs="Arial"/>
          <w:b/>
          <w:bCs/>
          <w:color w:val="222222"/>
        </w:rPr>
        <w:t>Registration Link:</w:t>
      </w:r>
      <w:r>
        <w:rPr>
          <w:rFonts w:ascii="Arial" w:hAnsi="Arial" w:cs="Arial"/>
          <w:color w:val="222222"/>
        </w:rPr>
        <w:t> </w:t>
      </w:r>
      <w:hyperlink r:id="rId4" w:tgtFrame="_blank" w:history="1">
        <w:r>
          <w:rPr>
            <w:rStyle w:val="Hyperlink"/>
            <w:rFonts w:ascii="Arial" w:hAnsi="Arial" w:cs="Arial"/>
            <w:color w:val="1155CC"/>
          </w:rPr>
          <w:t>https://attendee.gotowebinar.com/register/4668062798890370832</w:t>
        </w:r>
      </w:hyperlink>
    </w:p>
    <w:p w14:paraId="081582E5" w14:textId="77777777" w:rsidR="00A46115" w:rsidRDefault="00A46115" w:rsidP="00A46115">
      <w:pPr>
        <w:shd w:val="clear" w:color="auto" w:fill="FFFFFF"/>
        <w:rPr>
          <w:rFonts w:ascii="Arial" w:hAnsi="Arial" w:cs="Arial"/>
          <w:color w:val="222222"/>
        </w:rPr>
      </w:pPr>
      <w:r>
        <w:rPr>
          <w:rFonts w:ascii="Arial" w:hAnsi="Arial" w:cs="Arial"/>
          <w:color w:val="222222"/>
        </w:rPr>
        <w:t>Description:  You have received the toxicology report back from your laboratory for your DUI case.  Listed on the report are drugs that you know are not the active parent, but you observed impairment.  Now what?  What did the subject ingest?  What drugs are there as a result of the body's metabolism?  Your lab is always a great resource, yet there is some preliminary information you can learn to help navigate the report before you must write an email or make a call to the lab.  This presentation will discuss the differences between active drugs, their metabolites as well as various precursors and derivatives so that one can better understand and handle drug DUI cases using several examples of specific cases.</w:t>
      </w:r>
    </w:p>
    <w:p w14:paraId="7E3F6769" w14:textId="058306A4" w:rsidR="00F3412A" w:rsidRPr="00AF1ECA" w:rsidRDefault="007E35E2" w:rsidP="00731159">
      <w:pPr>
        <w:shd w:val="clear" w:color="auto" w:fill="FFFFFF"/>
        <w:rPr>
          <w:rFonts w:ascii="Arial" w:eastAsia="Times New Roman" w:hAnsi="Arial" w:cs="Arial"/>
          <w:color w:val="222222"/>
          <w:sz w:val="24"/>
          <w:szCs w:val="24"/>
        </w:rPr>
      </w:pPr>
      <w:r>
        <w:rPr>
          <w:rFonts w:ascii="Arial" w:hAnsi="Arial" w:cs="Arial"/>
          <w:color w:val="222222"/>
        </w:rPr>
        <w:t> </w:t>
      </w:r>
      <w:r w:rsidR="00F3412A"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are able to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5" w:history="1">
        <w:r w:rsidR="00F3412A" w:rsidRPr="00AF1ECA">
          <w:rPr>
            <w:rStyle w:val="Hyperlink"/>
            <w:rFonts w:ascii="Arial" w:eastAsia="Times New Roman" w:hAnsi="Arial" w:cs="Arial"/>
            <w:sz w:val="24"/>
            <w:szCs w:val="24"/>
          </w:rPr>
          <w:t>hreesetsrp@gmail.com</w:t>
        </w:r>
      </w:hyperlink>
      <w:r w:rsidR="00F3412A" w:rsidRPr="00AF1ECA">
        <w:rPr>
          <w:rFonts w:ascii="Arial" w:eastAsia="Times New Roman" w:hAnsi="Arial" w:cs="Arial"/>
          <w:color w:val="222222"/>
          <w:sz w:val="24"/>
          <w:szCs w:val="24"/>
        </w:rPr>
        <w:t xml:space="preserve"> as certification of attendance, and she will submit them to the Ohio Supreme Court.</w:t>
      </w:r>
    </w:p>
    <w:p w14:paraId="616F3249"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01E9003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62B96AA9" w14:textId="77777777" w:rsidR="00F3412A" w:rsidRPr="00AF1ECA" w:rsidRDefault="00F3412A" w:rsidP="00F3412A">
      <w:pPr>
        <w:shd w:val="clear" w:color="auto" w:fill="FFFFFF"/>
        <w:spacing w:after="0" w:line="240" w:lineRule="auto"/>
      </w:pP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6"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7"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6A1104"/>
    <w:rsid w:val="006C0AF3"/>
    <w:rsid w:val="00731159"/>
    <w:rsid w:val="007E35E2"/>
    <w:rsid w:val="00816F71"/>
    <w:rsid w:val="00A4009E"/>
    <w:rsid w:val="00A46115"/>
    <w:rsid w:val="00B56790"/>
    <w:rsid w:val="00B723A5"/>
    <w:rsid w:val="00C50CB1"/>
    <w:rsid w:val="00DD2F26"/>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eesetsr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Petty@FloridaTSRP.com" TargetMode="External"/><Relationship Id="rId5" Type="http://schemas.openxmlformats.org/officeDocument/2006/relationships/hyperlink" Target="mailto:hreesetsrp@gmail.com" TargetMode="External"/><Relationship Id="rId4" Type="http://schemas.openxmlformats.org/officeDocument/2006/relationships/hyperlink" Target="https://attendee.gotowebinar.com/register/466806279889037083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4</cp:revision>
  <dcterms:created xsi:type="dcterms:W3CDTF">2022-08-12T18:02:00Z</dcterms:created>
  <dcterms:modified xsi:type="dcterms:W3CDTF">2022-09-20T19:39:00Z</dcterms:modified>
</cp:coreProperties>
</file>