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6DB6" w14:textId="77777777" w:rsidR="00B650A6" w:rsidRDefault="00B650A6"/>
    <w:p w14:paraId="43AB081C" w14:textId="77777777" w:rsidR="001212B5" w:rsidRPr="001212B5" w:rsidRDefault="001212B5" w:rsidP="001212B5"/>
    <w:p w14:paraId="09186491" w14:textId="77777777" w:rsidR="001212B5" w:rsidRPr="001212B5" w:rsidRDefault="001212B5" w:rsidP="001212B5"/>
    <w:p w14:paraId="61B4CBEC" w14:textId="0FD2BFBD" w:rsidR="001212B5" w:rsidRPr="00A44407" w:rsidRDefault="001212B5" w:rsidP="001212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44407">
        <w:rPr>
          <w:b/>
          <w:bCs/>
          <w:sz w:val="28"/>
          <w:szCs w:val="28"/>
        </w:rPr>
        <w:t>Learn Everywhere</w:t>
      </w:r>
      <w:r>
        <w:rPr>
          <w:b/>
          <w:bCs/>
          <w:sz w:val="28"/>
          <w:szCs w:val="28"/>
        </w:rPr>
        <w:t xml:space="preserve"> </w:t>
      </w:r>
      <w:r w:rsidR="00992AED">
        <w:rPr>
          <w:b/>
          <w:bCs/>
          <w:sz w:val="28"/>
          <w:szCs w:val="28"/>
        </w:rPr>
        <w:t>Guidance</w:t>
      </w:r>
    </w:p>
    <w:p w14:paraId="70000E19" w14:textId="77777777" w:rsidR="001212B5" w:rsidRPr="00A44407" w:rsidRDefault="001212B5" w:rsidP="001212B5">
      <w:pPr>
        <w:autoSpaceDE w:val="0"/>
        <w:autoSpaceDN w:val="0"/>
        <w:adjustRightInd w:val="0"/>
        <w:spacing w:after="0" w:line="240" w:lineRule="auto"/>
        <w:jc w:val="center"/>
      </w:pPr>
    </w:p>
    <w:p w14:paraId="4D29CE77" w14:textId="278DEC74" w:rsidR="001212B5" w:rsidRPr="00A44407" w:rsidRDefault="001212B5" w:rsidP="001212B5">
      <w:pPr>
        <w:autoSpaceDE w:val="0"/>
        <w:autoSpaceDN w:val="0"/>
        <w:adjustRightInd w:val="0"/>
        <w:spacing w:after="0" w:line="240" w:lineRule="auto"/>
      </w:pPr>
      <w:r w:rsidRPr="00A44407">
        <w:t>The 6</w:t>
      </w:r>
      <w:r w:rsidR="00992AED">
        <w:t>8</w:t>
      </w:r>
      <w:r w:rsidRPr="001212B5">
        <w:rPr>
          <w:vertAlign w:val="superscript"/>
        </w:rPr>
        <w:t>th</w:t>
      </w:r>
      <w:r>
        <w:t xml:space="preserve"> </w:t>
      </w:r>
      <w:r w:rsidRPr="00A44407">
        <w:t xml:space="preserve">Legislative Assembly approved </w:t>
      </w:r>
      <w:hyperlink r:id="rId11" w:history="1">
        <w:r w:rsidRPr="00992AED">
          <w:rPr>
            <w:rStyle w:val="Hyperlink"/>
          </w:rPr>
          <w:t xml:space="preserve">House Bill </w:t>
        </w:r>
        <w:r w:rsidR="001208EB" w:rsidRPr="00992AED">
          <w:rPr>
            <w:rStyle w:val="Hyperlink"/>
          </w:rPr>
          <w:t>1521</w:t>
        </w:r>
      </w:hyperlink>
      <w:r w:rsidRPr="00A44407">
        <w:t xml:space="preserve">, which gave districts </w:t>
      </w:r>
      <w:r w:rsidR="00992AED">
        <w:t xml:space="preserve">more freedom </w:t>
      </w:r>
      <w:r>
        <w:t xml:space="preserve">to utilize </w:t>
      </w:r>
      <w:r w:rsidRPr="00A44407">
        <w:t>learning opportunities outside the classroom</w:t>
      </w:r>
      <w:r>
        <w:t>. I</w:t>
      </w:r>
      <w:r w:rsidRPr="00A44407">
        <w:t>t was signed by the governor to become law</w:t>
      </w:r>
      <w:r w:rsidR="00992AED">
        <w:t xml:space="preserve">. </w:t>
      </w:r>
      <w:r>
        <w:t>This law creates great flexibility in providing instruction to students in real-world work environments. These types of in-depth programs are typically referred to as “Learn Everywhere Programs</w:t>
      </w:r>
      <w:r w:rsidR="0019677C">
        <w:t>.”</w:t>
      </w:r>
    </w:p>
    <w:p w14:paraId="57E28EF5" w14:textId="77777777" w:rsidR="001212B5" w:rsidRPr="00A44407" w:rsidRDefault="001212B5" w:rsidP="001212B5">
      <w:pPr>
        <w:autoSpaceDE w:val="0"/>
        <w:autoSpaceDN w:val="0"/>
        <w:adjustRightInd w:val="0"/>
        <w:spacing w:after="0" w:line="240" w:lineRule="auto"/>
      </w:pPr>
    </w:p>
    <w:p w14:paraId="1D8EBF19" w14:textId="77777777" w:rsidR="00642D81" w:rsidRDefault="000933FB" w:rsidP="001212B5">
      <w:pPr>
        <w:rPr>
          <w:b/>
          <w:bCs/>
        </w:rPr>
      </w:pPr>
      <w:r>
        <w:rPr>
          <w:b/>
          <w:bCs/>
        </w:rPr>
        <w:t>Important</w:t>
      </w:r>
      <w:r w:rsidR="004C7280">
        <w:rPr>
          <w:b/>
          <w:bCs/>
        </w:rPr>
        <w:t xml:space="preserve"> Change</w:t>
      </w:r>
      <w:r w:rsidR="00642D81">
        <w:rPr>
          <w:b/>
          <w:bCs/>
        </w:rPr>
        <w:t>s</w:t>
      </w:r>
    </w:p>
    <w:p w14:paraId="4507BD62" w14:textId="78288B1D" w:rsidR="000933FB" w:rsidRDefault="005F6D95" w:rsidP="001212B5">
      <w:r>
        <w:t>Learn Everywhere p</w:t>
      </w:r>
      <w:r w:rsidR="004C7280">
        <w:t xml:space="preserve">roposals </w:t>
      </w:r>
      <w:r w:rsidR="004C7280" w:rsidRPr="00642D81">
        <w:rPr>
          <w:b/>
          <w:bCs/>
          <w:i/>
          <w:iCs/>
          <w:u w:val="single"/>
        </w:rPr>
        <w:t>do not</w:t>
      </w:r>
      <w:r w:rsidR="004C7280">
        <w:t xml:space="preserve"> have to be approved by the K-12 </w:t>
      </w:r>
      <w:r>
        <w:t>Coordination</w:t>
      </w:r>
      <w:r w:rsidR="004C7280">
        <w:t xml:space="preserve"> Counsel </w:t>
      </w:r>
      <w:r w:rsidR="004C7280" w:rsidRPr="005F6D95">
        <w:rPr>
          <w:b/>
          <w:bCs/>
          <w:i/>
          <w:iCs/>
          <w:u w:val="single"/>
        </w:rPr>
        <w:t>or</w:t>
      </w:r>
      <w:r w:rsidR="004C7280">
        <w:t xml:space="preserve"> the North Dakota Department of Public </w:t>
      </w:r>
      <w:r w:rsidR="00263112">
        <w:t xml:space="preserve">Instruction like in the past. The only </w:t>
      </w:r>
      <w:r>
        <w:t xml:space="preserve">program </w:t>
      </w:r>
      <w:r w:rsidR="00263112">
        <w:t>approval is through the public school board or the non</w:t>
      </w:r>
      <w:r w:rsidR="009B1614">
        <w:t>public school governing board.</w:t>
      </w:r>
    </w:p>
    <w:p w14:paraId="03095B46" w14:textId="4A738A34" w:rsidR="006E2BA6" w:rsidRPr="004C7280" w:rsidRDefault="006E2BA6" w:rsidP="0033608F">
      <w:pPr>
        <w:pStyle w:val="ListParagraph"/>
        <w:numPr>
          <w:ilvl w:val="0"/>
          <w:numId w:val="3"/>
        </w:numPr>
      </w:pPr>
      <w:r>
        <w:t xml:space="preserve">Once the proposal is approved, please send </w:t>
      </w:r>
      <w:r w:rsidR="0033608F">
        <w:t xml:space="preserve">a description of the program to </w:t>
      </w:r>
      <w:hyperlink r:id="rId12" w:history="1">
        <w:r w:rsidR="0033608F" w:rsidRPr="0033608F">
          <w:rPr>
            <w:rStyle w:val="Hyperlink"/>
          </w:rPr>
          <w:t>Joe Kolosky</w:t>
        </w:r>
      </w:hyperlink>
      <w:r w:rsidR="0033608F">
        <w:t xml:space="preserve">, Director of School Approval &amp; Opportunity. This is for tracking purposes only. </w:t>
      </w:r>
    </w:p>
    <w:p w14:paraId="73E97A00" w14:textId="77777777" w:rsidR="00B43707" w:rsidRPr="00B43707" w:rsidRDefault="00B43707" w:rsidP="00B43707">
      <w:pPr>
        <w:spacing w:after="0" w:line="240" w:lineRule="auto"/>
        <w:rPr>
          <w:b/>
          <w:bCs/>
        </w:rPr>
      </w:pPr>
      <w:r w:rsidRPr="00B43707">
        <w:rPr>
          <w:b/>
          <w:bCs/>
        </w:rPr>
        <w:t>Definitions</w:t>
      </w:r>
    </w:p>
    <w:p w14:paraId="5C6F767B" w14:textId="77777777" w:rsidR="00642D81" w:rsidRDefault="00642D81" w:rsidP="00B43707">
      <w:pPr>
        <w:spacing w:after="0" w:line="240" w:lineRule="auto"/>
        <w:rPr>
          <w:u w:val="single"/>
        </w:rPr>
      </w:pPr>
    </w:p>
    <w:p w14:paraId="5EFA4FE1" w14:textId="3286120E" w:rsidR="00B43707" w:rsidRPr="00B43707" w:rsidRDefault="00B43707" w:rsidP="00B43707">
      <w:pPr>
        <w:spacing w:after="0" w:line="240" w:lineRule="auto"/>
      </w:pPr>
      <w:r w:rsidRPr="00B43707">
        <w:rPr>
          <w:u w:val="single"/>
        </w:rPr>
        <w:t>Sponsoring Entity</w:t>
      </w:r>
      <w:r w:rsidRPr="00B43707">
        <w:t>- a business, for-profit organization, non-profit organization, community organization,</w:t>
      </w:r>
    </w:p>
    <w:p w14:paraId="43D74A92" w14:textId="77777777" w:rsidR="00B43707" w:rsidRPr="00B43707" w:rsidRDefault="00B43707" w:rsidP="00B43707">
      <w:pPr>
        <w:spacing w:after="0" w:line="240" w:lineRule="auto"/>
      </w:pPr>
      <w:r w:rsidRPr="00B43707">
        <w:t>or trade association that partners with a school district or non-public school to provide educational</w:t>
      </w:r>
    </w:p>
    <w:p w14:paraId="3554A918" w14:textId="77777777" w:rsidR="00B43707" w:rsidRPr="00B43707" w:rsidRDefault="00B43707" w:rsidP="00B43707">
      <w:pPr>
        <w:spacing w:after="0" w:line="240" w:lineRule="auto"/>
      </w:pPr>
      <w:r w:rsidRPr="00B43707">
        <w:t>opportunities for students.</w:t>
      </w:r>
    </w:p>
    <w:p w14:paraId="0ED2BB6F" w14:textId="77777777" w:rsidR="00B43707" w:rsidRDefault="00B43707" w:rsidP="00B43707">
      <w:pPr>
        <w:spacing w:after="0" w:line="240" w:lineRule="auto"/>
      </w:pPr>
    </w:p>
    <w:p w14:paraId="0BE7C055" w14:textId="00B730AB" w:rsidR="00B43707" w:rsidRPr="00B43707" w:rsidRDefault="00B43707" w:rsidP="00B43707">
      <w:pPr>
        <w:spacing w:after="0" w:line="240" w:lineRule="auto"/>
      </w:pPr>
      <w:r w:rsidRPr="00B43707">
        <w:rPr>
          <w:u w:val="single"/>
        </w:rPr>
        <w:t>Educational Opportunity</w:t>
      </w:r>
      <w:r w:rsidRPr="00B43707">
        <w:t>- learning outside of the classroom that meets course standards, as determined</w:t>
      </w:r>
    </w:p>
    <w:p w14:paraId="54CA42B6" w14:textId="77777777" w:rsidR="00B43707" w:rsidRPr="00B43707" w:rsidRDefault="00B43707" w:rsidP="00B43707">
      <w:pPr>
        <w:spacing w:after="0" w:line="240" w:lineRule="auto"/>
      </w:pPr>
      <w:r w:rsidRPr="00B43707">
        <w:t>by the Superintendent of Public Instruction. This includes work-based learning, pre-apprenticeships,</w:t>
      </w:r>
    </w:p>
    <w:p w14:paraId="4A84EC33" w14:textId="6E6E250B" w:rsidR="003E2846" w:rsidRPr="00B43707" w:rsidRDefault="00B43707" w:rsidP="00B43707">
      <w:pPr>
        <w:spacing w:after="0" w:line="240" w:lineRule="auto"/>
      </w:pPr>
      <w:r w:rsidRPr="00B43707">
        <w:t>apprenticeships, internships, industry certifications, and community programs.</w:t>
      </w:r>
    </w:p>
    <w:p w14:paraId="0F2BEE49" w14:textId="77777777" w:rsidR="00642D81" w:rsidRDefault="00642D81" w:rsidP="00642D81">
      <w:pPr>
        <w:spacing w:after="0" w:line="240" w:lineRule="auto"/>
        <w:rPr>
          <w:b/>
          <w:bCs/>
        </w:rPr>
      </w:pPr>
    </w:p>
    <w:p w14:paraId="0B9A999E" w14:textId="77777777" w:rsidR="00642D81" w:rsidRDefault="0033608F" w:rsidP="00642D81">
      <w:pPr>
        <w:spacing w:after="0" w:line="240" w:lineRule="auto"/>
        <w:rPr>
          <w:b/>
          <w:bCs/>
        </w:rPr>
      </w:pPr>
      <w:r w:rsidRPr="00611F1F">
        <w:rPr>
          <w:b/>
          <w:bCs/>
        </w:rPr>
        <w:t>Proposal Crit</w:t>
      </w:r>
      <w:r w:rsidR="00611F1F" w:rsidRPr="00611F1F">
        <w:rPr>
          <w:b/>
          <w:bCs/>
        </w:rPr>
        <w:t>eria</w:t>
      </w:r>
    </w:p>
    <w:p w14:paraId="063681A9" w14:textId="77777777" w:rsidR="00642D81" w:rsidRDefault="00642D81" w:rsidP="00642D81">
      <w:pPr>
        <w:spacing w:after="0" w:line="240" w:lineRule="auto"/>
      </w:pPr>
    </w:p>
    <w:p w14:paraId="3ABAC4C2" w14:textId="3B2143E5" w:rsidR="00882DBA" w:rsidRDefault="00882DBA" w:rsidP="00642D81">
      <w:pPr>
        <w:spacing w:after="0" w:line="240" w:lineRule="auto"/>
      </w:pPr>
      <w:r>
        <w:t>To utilize the Learn Everywhere</w:t>
      </w:r>
      <w:r w:rsidR="000B3803">
        <w:t xml:space="preserve"> program </w:t>
      </w:r>
      <w:r w:rsidR="009B1614">
        <w:t xml:space="preserve">public school districts and </w:t>
      </w:r>
      <w:r w:rsidR="005F6D95">
        <w:t>nonpublic</w:t>
      </w:r>
      <w:r w:rsidR="009B1614">
        <w:t xml:space="preserve"> governing boards</w:t>
      </w:r>
      <w:r w:rsidR="000B3803">
        <w:t xml:space="preserve"> still must</w:t>
      </w:r>
      <w:r w:rsidR="009B1614">
        <w:t>:</w:t>
      </w:r>
    </w:p>
    <w:p w14:paraId="7831F953" w14:textId="3829D887" w:rsidR="000B3803" w:rsidRDefault="000B3803" w:rsidP="000B3803">
      <w:pPr>
        <w:pStyle w:val="ListParagraph"/>
        <w:numPr>
          <w:ilvl w:val="0"/>
          <w:numId w:val="2"/>
        </w:numPr>
      </w:pPr>
      <w:r>
        <w:t>Adopt a policy that</w:t>
      </w:r>
      <w:r w:rsidR="00AF7BF4">
        <w:t xml:space="preserve"> provides criteria for</w:t>
      </w:r>
      <w:r>
        <w:t>:</w:t>
      </w:r>
    </w:p>
    <w:p w14:paraId="10F3CC4E" w14:textId="77777777" w:rsidR="00AF7BF4" w:rsidRDefault="00AF7BF4" w:rsidP="000B3803">
      <w:pPr>
        <w:pStyle w:val="ListParagraph"/>
        <w:numPr>
          <w:ilvl w:val="1"/>
          <w:numId w:val="2"/>
        </w:numPr>
      </w:pPr>
      <w:r w:rsidRPr="00AF7BF4">
        <w:t>The submission, approval, and evaluation of proposals for educational opportunities by sponsoring entities for which a student may earn course credit;</w:t>
      </w:r>
    </w:p>
    <w:p w14:paraId="79A980D5" w14:textId="76C06E20" w:rsidR="008F25E3" w:rsidRDefault="008F25E3" w:rsidP="000B3803">
      <w:pPr>
        <w:pStyle w:val="ListParagraph"/>
        <w:numPr>
          <w:ilvl w:val="1"/>
          <w:numId w:val="2"/>
        </w:numPr>
      </w:pPr>
      <w:r>
        <w:t>Must be overseen by a certified teacher at the school;</w:t>
      </w:r>
    </w:p>
    <w:p w14:paraId="554D1F15" w14:textId="77777777" w:rsidR="00AF7BF4" w:rsidRDefault="00AF7BF4" w:rsidP="000B3803">
      <w:pPr>
        <w:pStyle w:val="ListParagraph"/>
        <w:numPr>
          <w:ilvl w:val="1"/>
          <w:numId w:val="2"/>
        </w:numPr>
      </w:pPr>
      <w:r w:rsidRPr="00AF7BF4">
        <w:t>Sponsoring entity eligibility; and</w:t>
      </w:r>
    </w:p>
    <w:p w14:paraId="525F1C36" w14:textId="4DFF5DDD" w:rsidR="003179BF" w:rsidRDefault="00AF7BF4" w:rsidP="005F6D95">
      <w:pPr>
        <w:pStyle w:val="ListParagraph"/>
        <w:numPr>
          <w:ilvl w:val="1"/>
          <w:numId w:val="2"/>
        </w:numPr>
      </w:pPr>
      <w:r w:rsidRPr="00AF7BF4">
        <w:t>Educational opportunity accountability</w:t>
      </w:r>
      <w:r w:rsidR="007823E1">
        <w:t>.</w:t>
      </w:r>
    </w:p>
    <w:p w14:paraId="60D20B0B" w14:textId="77777777" w:rsidR="00D97E6D" w:rsidRDefault="00D97E6D" w:rsidP="00D97E6D"/>
    <w:p w14:paraId="6694EDDC" w14:textId="77777777" w:rsidR="00D97E6D" w:rsidRDefault="00D97E6D" w:rsidP="00D97E6D"/>
    <w:p w14:paraId="191248A2" w14:textId="77777777" w:rsidR="00D97E6D" w:rsidRDefault="00D97E6D" w:rsidP="00D97E6D"/>
    <w:p w14:paraId="5F8D8F7D" w14:textId="77777777" w:rsidR="00D97E6D" w:rsidRDefault="00D97E6D" w:rsidP="00D97E6D"/>
    <w:p w14:paraId="64791677" w14:textId="77777777" w:rsidR="00D97E6D" w:rsidRDefault="00D97E6D" w:rsidP="00D97E6D"/>
    <w:p w14:paraId="74116D90" w14:textId="77777777" w:rsidR="005F6D95" w:rsidRDefault="005F6D95" w:rsidP="005F6D95">
      <w:pPr>
        <w:pStyle w:val="ListParagraph"/>
        <w:ind w:left="1440"/>
      </w:pPr>
    </w:p>
    <w:p w14:paraId="35C041E6" w14:textId="77777777" w:rsidR="00D97E6D" w:rsidRDefault="00D97E6D" w:rsidP="005F6D95">
      <w:pPr>
        <w:pStyle w:val="ListParagraph"/>
        <w:ind w:left="1440"/>
      </w:pPr>
    </w:p>
    <w:p w14:paraId="21A1C8A1" w14:textId="77777777" w:rsidR="00D97E6D" w:rsidRDefault="00D97E6D" w:rsidP="005F6D95">
      <w:pPr>
        <w:pStyle w:val="ListParagraph"/>
        <w:ind w:left="1440"/>
      </w:pPr>
    </w:p>
    <w:p w14:paraId="496FFF67" w14:textId="77777777" w:rsidR="003179BF" w:rsidRDefault="00AF7BF4" w:rsidP="00AF7BF4">
      <w:pPr>
        <w:pStyle w:val="ListParagraph"/>
        <w:numPr>
          <w:ilvl w:val="0"/>
          <w:numId w:val="2"/>
        </w:numPr>
      </w:pPr>
      <w:r>
        <w:t xml:space="preserve">The board of the district </w:t>
      </w:r>
      <w:r w:rsidR="005574DB">
        <w:t xml:space="preserve">or governing board of a nonpublic school may approve a </w:t>
      </w:r>
      <w:r w:rsidR="003179BF">
        <w:t xml:space="preserve">proposal from any eligible sponsoring entity. To be approved, a proposal must: </w:t>
      </w:r>
    </w:p>
    <w:p w14:paraId="089FFDAB" w14:textId="4BAF08CD" w:rsidR="003179BF" w:rsidRDefault="003179BF" w:rsidP="003179BF">
      <w:pPr>
        <w:pStyle w:val="ListParagraph"/>
        <w:numPr>
          <w:ilvl w:val="1"/>
          <w:numId w:val="2"/>
        </w:numPr>
      </w:pPr>
      <w:r>
        <w:t>Provide increased educational opportunities for students;</w:t>
      </w:r>
    </w:p>
    <w:p w14:paraId="7A520CBD" w14:textId="77777777" w:rsidR="003179BF" w:rsidRDefault="003179BF" w:rsidP="003179BF">
      <w:pPr>
        <w:pStyle w:val="ListParagraph"/>
        <w:numPr>
          <w:ilvl w:val="1"/>
          <w:numId w:val="2"/>
        </w:numPr>
      </w:pPr>
      <w:r>
        <w:t>Improve the academic success of students; and</w:t>
      </w:r>
    </w:p>
    <w:p w14:paraId="233988F6" w14:textId="2B407EFE" w:rsidR="00642D81" w:rsidRPr="008440A9" w:rsidRDefault="003179BF" w:rsidP="001212B5">
      <w:pPr>
        <w:pStyle w:val="ListParagraph"/>
        <w:numPr>
          <w:ilvl w:val="1"/>
          <w:numId w:val="2"/>
        </w:numPr>
      </w:pPr>
      <w:r>
        <w:t xml:space="preserve">Identify a teacher of record who is employed by the school district or nonpublic school, is licensed under </w:t>
      </w:r>
      <w:r w:rsidR="000933FB">
        <w:t>c</w:t>
      </w:r>
      <w:r>
        <w:t>hapter 15.1-18, and has approved the proposal.</w:t>
      </w:r>
    </w:p>
    <w:p w14:paraId="5FB16368" w14:textId="24C3C7C0" w:rsidR="00642D81" w:rsidRDefault="00611F1F" w:rsidP="001212B5">
      <w:pPr>
        <w:rPr>
          <w:b/>
          <w:bCs/>
        </w:rPr>
      </w:pPr>
      <w:r>
        <w:rPr>
          <w:b/>
          <w:bCs/>
        </w:rPr>
        <w:t>Evaluation</w:t>
      </w:r>
    </w:p>
    <w:p w14:paraId="29934424" w14:textId="40CBA623" w:rsidR="001212B5" w:rsidRDefault="002A67A2" w:rsidP="001212B5">
      <w:r>
        <w:t xml:space="preserve">Public school districts and nonpublic school governing boards still </w:t>
      </w:r>
      <w:r w:rsidR="001212B5">
        <w:t xml:space="preserve">must submit an evaluation of their Learn Everywhere Program to the ND Department of Public Instruction by </w:t>
      </w:r>
      <w:r w:rsidR="001212B5" w:rsidRPr="005858C4">
        <w:rPr>
          <w:b/>
          <w:bCs/>
          <w:u w:val="single"/>
        </w:rPr>
        <w:t>June 30</w:t>
      </w:r>
      <w:r w:rsidR="001212B5">
        <w:t xml:space="preserve"> every year. </w:t>
      </w:r>
    </w:p>
    <w:p w14:paraId="11A9EB94" w14:textId="77777777" w:rsidR="001212B5" w:rsidRDefault="001212B5" w:rsidP="001212B5">
      <w:r>
        <w:t>Program evaluation data submitted may include:</w:t>
      </w:r>
    </w:p>
    <w:p w14:paraId="3EBF3FB8" w14:textId="77777777" w:rsidR="001212B5" w:rsidRDefault="001212B5" w:rsidP="001212B5">
      <w:pPr>
        <w:pStyle w:val="ListParagraph"/>
        <w:numPr>
          <w:ilvl w:val="0"/>
          <w:numId w:val="1"/>
        </w:numPr>
      </w:pPr>
      <w:r>
        <w:t>Academic indicators, such as:</w:t>
      </w:r>
    </w:p>
    <w:p w14:paraId="49FC3D1A" w14:textId="77777777" w:rsidR="001212B5" w:rsidRDefault="001212B5" w:rsidP="001212B5">
      <w:pPr>
        <w:pStyle w:val="ListParagraph"/>
        <w:numPr>
          <w:ilvl w:val="1"/>
          <w:numId w:val="1"/>
        </w:numPr>
      </w:pPr>
      <w:r>
        <w:t>Proficiency scales;</w:t>
      </w:r>
    </w:p>
    <w:p w14:paraId="6CC0DE51" w14:textId="77777777" w:rsidR="001212B5" w:rsidRDefault="001212B5" w:rsidP="001212B5">
      <w:pPr>
        <w:pStyle w:val="ListParagraph"/>
        <w:numPr>
          <w:ilvl w:val="1"/>
          <w:numId w:val="1"/>
        </w:numPr>
      </w:pPr>
      <w:r>
        <w:t>Self-assessments;</w:t>
      </w:r>
    </w:p>
    <w:p w14:paraId="3E1DBB64" w14:textId="77777777" w:rsidR="001212B5" w:rsidRDefault="001212B5" w:rsidP="001212B5">
      <w:pPr>
        <w:pStyle w:val="ListParagraph"/>
        <w:numPr>
          <w:ilvl w:val="1"/>
          <w:numId w:val="1"/>
        </w:numPr>
      </w:pPr>
      <w:r>
        <w:t>Assessments from supervisor;</w:t>
      </w:r>
    </w:p>
    <w:p w14:paraId="15AACFCF" w14:textId="77777777" w:rsidR="001212B5" w:rsidRDefault="001212B5" w:rsidP="001212B5">
      <w:pPr>
        <w:pStyle w:val="ListParagraph"/>
        <w:numPr>
          <w:ilvl w:val="1"/>
          <w:numId w:val="1"/>
        </w:numPr>
      </w:pPr>
      <w:r>
        <w:t>Career-ready standards met; and</w:t>
      </w:r>
    </w:p>
    <w:p w14:paraId="099DD71D" w14:textId="7785AB12" w:rsidR="001212B5" w:rsidRDefault="001212B5" w:rsidP="009226F3">
      <w:pPr>
        <w:pStyle w:val="ListParagraph"/>
        <w:numPr>
          <w:ilvl w:val="1"/>
          <w:numId w:val="1"/>
        </w:numPr>
      </w:pPr>
      <w:r>
        <w:t>Content standards met.</w:t>
      </w:r>
    </w:p>
    <w:p w14:paraId="7226A897" w14:textId="77777777" w:rsidR="008440A9" w:rsidRDefault="008440A9" w:rsidP="008440A9">
      <w:pPr>
        <w:pStyle w:val="ListParagraph"/>
        <w:ind w:left="1440"/>
      </w:pPr>
    </w:p>
    <w:p w14:paraId="07522A3D" w14:textId="77777777" w:rsidR="001212B5" w:rsidRDefault="001212B5" w:rsidP="001212B5">
      <w:pPr>
        <w:pStyle w:val="ListParagraph"/>
        <w:numPr>
          <w:ilvl w:val="0"/>
          <w:numId w:val="1"/>
        </w:numPr>
      </w:pPr>
      <w:r>
        <w:t>Descriptions of how the program:</w:t>
      </w:r>
    </w:p>
    <w:p w14:paraId="762B0A33" w14:textId="77777777" w:rsidR="001212B5" w:rsidRDefault="001212B5" w:rsidP="001212B5">
      <w:pPr>
        <w:pStyle w:val="ListParagraph"/>
        <w:numPr>
          <w:ilvl w:val="1"/>
          <w:numId w:val="1"/>
        </w:numPr>
      </w:pPr>
      <w:r>
        <w:t>Improved the delivery of education;</w:t>
      </w:r>
    </w:p>
    <w:p w14:paraId="6C332E87" w14:textId="77777777" w:rsidR="001212B5" w:rsidRDefault="001212B5" w:rsidP="001212B5">
      <w:pPr>
        <w:pStyle w:val="ListParagraph"/>
        <w:numPr>
          <w:ilvl w:val="1"/>
          <w:numId w:val="1"/>
        </w:numPr>
      </w:pPr>
      <w:r>
        <w:t>Improved the administration of education;</w:t>
      </w:r>
    </w:p>
    <w:p w14:paraId="028CCF62" w14:textId="77777777" w:rsidR="001212B5" w:rsidRDefault="001212B5" w:rsidP="001212B5">
      <w:pPr>
        <w:pStyle w:val="ListParagraph"/>
        <w:numPr>
          <w:ilvl w:val="1"/>
          <w:numId w:val="1"/>
        </w:numPr>
      </w:pPr>
      <w:r>
        <w:t>Provided increased education opportunities for students; and</w:t>
      </w:r>
    </w:p>
    <w:p w14:paraId="6EFC8A16" w14:textId="1983A969" w:rsidR="001212B5" w:rsidRDefault="001212B5" w:rsidP="001212B5">
      <w:pPr>
        <w:pStyle w:val="ListParagraph"/>
        <w:numPr>
          <w:ilvl w:val="1"/>
          <w:numId w:val="1"/>
        </w:numPr>
      </w:pPr>
      <w:r>
        <w:t>Improved the academic success for students.</w:t>
      </w:r>
    </w:p>
    <w:p w14:paraId="694A63A1" w14:textId="77777777" w:rsidR="001212B5" w:rsidRDefault="001212B5" w:rsidP="001212B5">
      <w:pPr>
        <w:pStyle w:val="ListParagraph"/>
        <w:ind w:left="1440"/>
      </w:pPr>
    </w:p>
    <w:p w14:paraId="65DD0F26" w14:textId="7F26344B" w:rsidR="001212B5" w:rsidRDefault="001212B5" w:rsidP="001212B5">
      <w:pPr>
        <w:pStyle w:val="ListParagraph"/>
        <w:numPr>
          <w:ilvl w:val="0"/>
          <w:numId w:val="1"/>
        </w:numPr>
      </w:pPr>
      <w:r>
        <w:t>In addition, other evaluation measures such as attendance, disciplinary incidents, student engagement, student voice, student and parent surveys, and evidence of improved instructional practices may be utilized.</w:t>
      </w:r>
    </w:p>
    <w:p w14:paraId="4A403B3E" w14:textId="77777777" w:rsidR="00642D81" w:rsidRDefault="005C47D7" w:rsidP="009226F3">
      <w:pPr>
        <w:rPr>
          <w:b/>
          <w:bCs/>
        </w:rPr>
      </w:pPr>
      <w:r w:rsidRPr="005C47D7">
        <w:rPr>
          <w:b/>
          <w:bCs/>
        </w:rPr>
        <w:t>Revocation</w:t>
      </w:r>
    </w:p>
    <w:p w14:paraId="551617F0" w14:textId="0D63D71D" w:rsidR="009226F3" w:rsidRDefault="009226F3" w:rsidP="009226F3">
      <w:r>
        <w:t xml:space="preserve">The superintendent of Public Instruction still has the right to revoke </w:t>
      </w:r>
      <w:r w:rsidR="008D633E">
        <w:t xml:space="preserve">program approval if the superintendent of public instruction determines the school district, nonpublic school, or sponsoring entity failed to comply with the </w:t>
      </w:r>
      <w:r w:rsidR="005C47D7">
        <w:t>agreed-upon</w:t>
      </w:r>
      <w:r w:rsidR="008D633E">
        <w:t xml:space="preserve"> terms of the educational opportunity proposal or the school district policy, or failed to meet the requirements of this section.</w:t>
      </w:r>
    </w:p>
    <w:p w14:paraId="6C9B01B7" w14:textId="77B1220B" w:rsidR="001212B5" w:rsidRDefault="001212B5" w:rsidP="001212B5">
      <w:r>
        <w:t xml:space="preserve">If you have any questions, please contact </w:t>
      </w:r>
      <w:hyperlink r:id="rId13" w:history="1">
        <w:r w:rsidRPr="00CA72DB">
          <w:rPr>
            <w:rStyle w:val="Hyperlink"/>
          </w:rPr>
          <w:t>Joe Kolosky</w:t>
        </w:r>
      </w:hyperlink>
      <w:r>
        <w:t xml:space="preserve"> at (701) 328-2755.</w:t>
      </w:r>
    </w:p>
    <w:p w14:paraId="136CE608" w14:textId="77777777" w:rsidR="001212B5" w:rsidRPr="001212B5" w:rsidRDefault="001212B5" w:rsidP="001212B5"/>
    <w:p w14:paraId="5A2770AB" w14:textId="569A80C2" w:rsidR="001212B5" w:rsidRPr="001212B5" w:rsidRDefault="001212B5" w:rsidP="001212B5">
      <w:pPr>
        <w:tabs>
          <w:tab w:val="left" w:pos="2865"/>
        </w:tabs>
      </w:pPr>
    </w:p>
    <w:sectPr w:rsidR="001212B5" w:rsidRPr="001212B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2ACF6" w14:textId="77777777" w:rsidR="00B82F57" w:rsidRDefault="00B82F57" w:rsidP="001212B5">
      <w:pPr>
        <w:spacing w:after="0" w:line="240" w:lineRule="auto"/>
      </w:pPr>
      <w:r>
        <w:separator/>
      </w:r>
    </w:p>
  </w:endnote>
  <w:endnote w:type="continuationSeparator" w:id="0">
    <w:p w14:paraId="7E575263" w14:textId="77777777" w:rsidR="00B82F57" w:rsidRDefault="00B82F57" w:rsidP="0012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726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F6F4D" w14:textId="11D93FF4" w:rsidR="002A67A2" w:rsidRDefault="002A67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BD871" w14:textId="77777777" w:rsidR="002A67A2" w:rsidRDefault="002A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4A58" w14:textId="77777777" w:rsidR="00B82F57" w:rsidRDefault="00B82F57" w:rsidP="001212B5">
      <w:pPr>
        <w:spacing w:after="0" w:line="240" w:lineRule="auto"/>
      </w:pPr>
      <w:r>
        <w:separator/>
      </w:r>
    </w:p>
  </w:footnote>
  <w:footnote w:type="continuationSeparator" w:id="0">
    <w:p w14:paraId="44EFC700" w14:textId="77777777" w:rsidR="00B82F57" w:rsidRDefault="00B82F57" w:rsidP="0012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8A78" w14:textId="19C1974D" w:rsidR="001212B5" w:rsidRDefault="001212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D62B1B" wp14:editId="2C5AFDAC">
          <wp:simplePos x="0" y="0"/>
          <wp:positionH relativeFrom="column">
            <wp:posOffset>1447800</wp:posOffset>
          </wp:positionH>
          <wp:positionV relativeFrom="paragraph">
            <wp:posOffset>-95250</wp:posOffset>
          </wp:positionV>
          <wp:extent cx="3009900" cy="1225550"/>
          <wp:effectExtent l="0" t="0" r="0" b="0"/>
          <wp:wrapTight wrapText="bothSides">
            <wp:wrapPolygon edited="0">
              <wp:start x="0" y="0"/>
              <wp:lineTo x="0" y="21152"/>
              <wp:lineTo x="21463" y="21152"/>
              <wp:lineTo x="21463" y="0"/>
              <wp:lineTo x="0" y="0"/>
            </wp:wrapPolygon>
          </wp:wrapTight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34" r="23998"/>
                  <a:stretch/>
                </pic:blipFill>
                <pic:spPr bwMode="auto">
                  <a:xfrm>
                    <a:off x="0" y="0"/>
                    <a:ext cx="3009900" cy="1225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8529F"/>
    <w:multiLevelType w:val="hybridMultilevel"/>
    <w:tmpl w:val="D48E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52DE"/>
    <w:multiLevelType w:val="hybridMultilevel"/>
    <w:tmpl w:val="9D64A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6AE9"/>
    <w:multiLevelType w:val="hybridMultilevel"/>
    <w:tmpl w:val="6A60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28679">
    <w:abstractNumId w:val="1"/>
  </w:num>
  <w:num w:numId="2" w16cid:durableId="416250505">
    <w:abstractNumId w:val="0"/>
  </w:num>
  <w:num w:numId="3" w16cid:durableId="677737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B5"/>
    <w:rsid w:val="000933FB"/>
    <w:rsid w:val="000B3803"/>
    <w:rsid w:val="001208EB"/>
    <w:rsid w:val="001212B5"/>
    <w:rsid w:val="00146404"/>
    <w:rsid w:val="0019677C"/>
    <w:rsid w:val="00263112"/>
    <w:rsid w:val="002A67A2"/>
    <w:rsid w:val="003179BF"/>
    <w:rsid w:val="0033608F"/>
    <w:rsid w:val="003E2846"/>
    <w:rsid w:val="004C7280"/>
    <w:rsid w:val="004E6B5C"/>
    <w:rsid w:val="005574DB"/>
    <w:rsid w:val="005858C4"/>
    <w:rsid w:val="005C47D7"/>
    <w:rsid w:val="005F6D95"/>
    <w:rsid w:val="00611F1F"/>
    <w:rsid w:val="006317F3"/>
    <w:rsid w:val="00642D81"/>
    <w:rsid w:val="006E2BA6"/>
    <w:rsid w:val="007823E1"/>
    <w:rsid w:val="008440A9"/>
    <w:rsid w:val="00882DBA"/>
    <w:rsid w:val="008D633E"/>
    <w:rsid w:val="008F25E3"/>
    <w:rsid w:val="009226F3"/>
    <w:rsid w:val="00992AED"/>
    <w:rsid w:val="009B1614"/>
    <w:rsid w:val="00AC0A71"/>
    <w:rsid w:val="00AF7BF4"/>
    <w:rsid w:val="00B43707"/>
    <w:rsid w:val="00B650A6"/>
    <w:rsid w:val="00B82F57"/>
    <w:rsid w:val="00C35F1E"/>
    <w:rsid w:val="00D12D98"/>
    <w:rsid w:val="00D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BF0B7"/>
  <w15:chartTrackingRefBased/>
  <w15:docId w15:val="{E7B96F45-92D5-4849-8195-A849EC94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B5"/>
  </w:style>
  <w:style w:type="paragraph" w:styleId="Footer">
    <w:name w:val="footer"/>
    <w:basedOn w:val="Normal"/>
    <w:link w:val="FooterChar"/>
    <w:uiPriority w:val="99"/>
    <w:unhideWhenUsed/>
    <w:rsid w:val="0012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B5"/>
  </w:style>
  <w:style w:type="paragraph" w:styleId="ListParagraph">
    <w:name w:val="List Paragraph"/>
    <w:basedOn w:val="Normal"/>
    <w:uiPriority w:val="34"/>
    <w:qFormat/>
    <w:rsid w:val="00121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2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2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kolosky@nd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kolosky@nd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legis.gov/assembly/68-2023/regular/documents/23-0924-0300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7B2FDC1CA2B4DAA53AACD1BECB5D1" ma:contentTypeVersion="18" ma:contentTypeDescription="Create a new document." ma:contentTypeScope="" ma:versionID="323c30f4b9cf1be99d6b93181c21c0de">
  <xsd:schema xmlns:xsd="http://www.w3.org/2001/XMLSchema" xmlns:xs="http://www.w3.org/2001/XMLSchema" xmlns:p="http://schemas.microsoft.com/office/2006/metadata/properties" xmlns:ns1="http://schemas.microsoft.com/sharepoint/v3" xmlns:ns2="113c7915-1ef0-448a-bdc1-48dd9ac6318b" xmlns:ns3="fea09e8a-9508-42e0-8a73-95250538bc69" xmlns:ns4="25d83d48-fb20-4537-95a6-325135718581" targetNamespace="http://schemas.microsoft.com/office/2006/metadata/properties" ma:root="true" ma:fieldsID="5cd782701872a155a96c2ed7ee802cdf" ns1:_="" ns2:_="" ns3:_="" ns4:_="">
    <xsd:import namespace="http://schemas.microsoft.com/sharepoint/v3"/>
    <xsd:import namespace="113c7915-1ef0-448a-bdc1-48dd9ac6318b"/>
    <xsd:import namespace="fea09e8a-9508-42e0-8a73-95250538bc69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c7915-1ef0-448a-bdc1-48dd9ac63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9e8a-9508-42e0-8a73-95250538b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183f085-dcaf-4e8a-b434-aabac56ac7a4}" ma:internalName="TaxCatchAll" ma:showField="CatchAllData" ma:web="fea09e8a-9508-42e0-8a73-95250538b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c7915-1ef0-448a-bdc1-48dd9ac6318b">
      <Terms xmlns="http://schemas.microsoft.com/office/infopath/2007/PartnerControls"/>
    </lcf76f155ced4ddcb4097134ff3c332f>
    <TaxCatchAll xmlns="25d83d48-fb20-4537-95a6-32513571858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7349-1C71-4D8E-9432-6A6387A0B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3c7915-1ef0-448a-bdc1-48dd9ac6318b"/>
    <ds:schemaRef ds:uri="fea09e8a-9508-42e0-8a73-95250538bc69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39584-B0D7-420F-B08C-BAD3BC5D3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973FA-433D-441E-AFB5-6DD77ABAF861}">
  <ds:schemaRefs>
    <ds:schemaRef ds:uri="http://schemas.microsoft.com/office/2006/metadata/properties"/>
    <ds:schemaRef ds:uri="http://schemas.microsoft.com/office/infopath/2007/PartnerControls"/>
    <ds:schemaRef ds:uri="113c7915-1ef0-448a-bdc1-48dd9ac6318b"/>
    <ds:schemaRef ds:uri="25d83d48-fb20-4537-95a6-32513571858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2A5787-0C47-4DA7-8308-3FDAE872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514</Words>
  <Characters>3220</Characters>
  <Application>Microsoft Office Word</Application>
  <DocSecurity>0</DocSecurity>
  <Lines>70</Lines>
  <Paragraphs>40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Kelsie A.</dc:creator>
  <cp:keywords/>
  <dc:description/>
  <cp:lastModifiedBy>Kolosky, Josef J.</cp:lastModifiedBy>
  <cp:revision>33</cp:revision>
  <dcterms:created xsi:type="dcterms:W3CDTF">2023-04-12T15:23:00Z</dcterms:created>
  <dcterms:modified xsi:type="dcterms:W3CDTF">2024-08-19T17:11:00Z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1737083eaa7d5bf771912a7f1302910559514ffda8268b9d449f173d43401864</vt:lpwstr>
  </property>
  <property fmtid="{D5CDD505-2E9C-101B-9397-08002B2CF9AE}" pid="3" name="MediaServiceImageTags">
    <vt:lpwstr/>
  </property>
  <property fmtid="{D5CDD505-2E9C-101B-9397-08002B2CF9AE}" pid="4" name="ContentTypeId">
    <vt:lpwstr>0x010100B5A7B2FDC1CA2B4DAA53AACD1BECB5D1</vt:lpwstr>
  </property>
</Properties>
</file>