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F89" w:rsidRDefault="00DD7664">
      <w:r>
        <w:rPr>
          <w:noProof/>
        </w:rPr>
        <w:drawing>
          <wp:inline distT="0" distB="0" distL="0" distR="0">
            <wp:extent cx="2419203" cy="9048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BGLogoGreyPRI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3356" cy="906428"/>
                    </a:xfrm>
                    <a:prstGeom prst="rect">
                      <a:avLst/>
                    </a:prstGeom>
                  </pic:spPr>
                </pic:pic>
              </a:graphicData>
            </a:graphic>
          </wp:inline>
        </w:drawing>
      </w:r>
    </w:p>
    <w:p w:rsidR="00EE46D2" w:rsidRDefault="00EE46D2">
      <w:r>
        <w:rPr>
          <w:noProof/>
        </w:rPr>
        <w:drawing>
          <wp:inline distT="0" distB="0" distL="0" distR="0">
            <wp:extent cx="1840523" cy="1840523"/>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Les Twi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5367" cy="1845367"/>
                    </a:xfrm>
                    <a:prstGeom prst="rect">
                      <a:avLst/>
                    </a:prstGeom>
                  </pic:spPr>
                </pic:pic>
              </a:graphicData>
            </a:graphic>
          </wp:inline>
        </w:drawing>
      </w:r>
      <w:r>
        <w:t xml:space="preserve">               </w:t>
      </w:r>
      <w:r>
        <w:rPr>
          <w:noProof/>
        </w:rPr>
        <w:drawing>
          <wp:inline distT="0" distB="0" distL="0" distR="0">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icks_Shadow-Know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6713" cy="1836713"/>
                    </a:xfrm>
                    <a:prstGeom prst="rect">
                      <a:avLst/>
                    </a:prstGeom>
                  </pic:spPr>
                </pic:pic>
              </a:graphicData>
            </a:graphic>
          </wp:inline>
        </w:drawing>
      </w:r>
    </w:p>
    <w:p w:rsidR="00DD7664" w:rsidRPr="00EE46D2" w:rsidRDefault="00DD7664" w:rsidP="00DD7664">
      <w:pPr>
        <w:spacing w:after="0" w:line="360" w:lineRule="auto"/>
        <w:rPr>
          <w:b/>
          <w:sz w:val="24"/>
          <w:szCs w:val="24"/>
        </w:rPr>
      </w:pPr>
      <w:r w:rsidRPr="00EE46D2">
        <w:rPr>
          <w:b/>
          <w:sz w:val="24"/>
          <w:szCs w:val="24"/>
        </w:rPr>
        <w:t>FOR IMMEDIATE RELEASE</w:t>
      </w:r>
    </w:p>
    <w:p w:rsidR="00F01CEC" w:rsidRDefault="00C71B8A" w:rsidP="00DD7664">
      <w:pPr>
        <w:spacing w:after="0" w:line="360" w:lineRule="auto"/>
        <w:rPr>
          <w:sz w:val="24"/>
          <w:szCs w:val="24"/>
        </w:rPr>
      </w:pPr>
      <w:r>
        <w:rPr>
          <w:sz w:val="24"/>
          <w:szCs w:val="24"/>
        </w:rPr>
        <w:t xml:space="preserve">Contact: </w:t>
      </w:r>
    </w:p>
    <w:p w:rsidR="00C71B8A" w:rsidRPr="00922336" w:rsidRDefault="00C71B8A" w:rsidP="00DD7664">
      <w:pPr>
        <w:spacing w:after="0" w:line="360" w:lineRule="auto"/>
        <w:rPr>
          <w:sz w:val="24"/>
          <w:szCs w:val="24"/>
        </w:rPr>
      </w:pPr>
      <w:r>
        <w:rPr>
          <w:sz w:val="24"/>
          <w:szCs w:val="24"/>
        </w:rPr>
        <w:t xml:space="preserve">Stacy Bloom Rexrode, Curator at </w:t>
      </w:r>
      <w:hyperlink r:id="rId7" w:history="1">
        <w:r w:rsidRPr="00924760">
          <w:rPr>
            <w:rStyle w:val="Hyperlink"/>
            <w:sz w:val="24"/>
            <w:szCs w:val="24"/>
          </w:rPr>
          <w:t>stacy.bloom-rexrode@raleighnc.gov</w:t>
        </w:r>
      </w:hyperlink>
      <w:r>
        <w:rPr>
          <w:sz w:val="24"/>
          <w:szCs w:val="24"/>
        </w:rPr>
        <w:t xml:space="preserve"> </w:t>
      </w:r>
    </w:p>
    <w:p w:rsidR="00DD7664" w:rsidRDefault="00DA68B5" w:rsidP="00F01CEC">
      <w:r>
        <w:t>October 4</w:t>
      </w:r>
      <w:r w:rsidR="003D062A">
        <w:t>, 201</w:t>
      </w:r>
      <w:r w:rsidR="003B10F1">
        <w:t>9</w:t>
      </w:r>
    </w:p>
    <w:p w:rsidR="00DA68B5" w:rsidRPr="00DA68B5" w:rsidRDefault="00DA68B5" w:rsidP="00DA68B5">
      <w:pPr>
        <w:spacing w:after="0" w:line="240" w:lineRule="auto"/>
        <w:rPr>
          <w:b/>
        </w:rPr>
      </w:pPr>
      <w:r w:rsidRPr="00DA68B5">
        <w:rPr>
          <w:rFonts w:eastAsia="Times New Roman"/>
          <w:b/>
        </w:rPr>
        <w:t>Celluloids and Light Voids</w:t>
      </w:r>
    </w:p>
    <w:p w:rsidR="002B38DB" w:rsidRDefault="00DA68B5" w:rsidP="00DA68B5">
      <w:pPr>
        <w:spacing w:after="0" w:line="240" w:lineRule="auto"/>
        <w:rPr>
          <w:rFonts w:eastAsia="Times New Roman" w:cstheme="minorHAnsi"/>
          <w:lang w:val="en-GB"/>
        </w:rPr>
      </w:pPr>
      <w:r>
        <w:rPr>
          <w:rFonts w:eastAsia="Times New Roman" w:cstheme="minorHAnsi"/>
          <w:lang w:val="en-GB"/>
        </w:rPr>
        <w:t>Warren Hicks and Tama Hochbaum</w:t>
      </w:r>
    </w:p>
    <w:p w:rsidR="00893DA5" w:rsidRDefault="00893DA5" w:rsidP="00DA68B5">
      <w:pPr>
        <w:spacing w:after="0" w:line="240" w:lineRule="auto"/>
        <w:rPr>
          <w:rFonts w:eastAsia="Times New Roman" w:cstheme="minorHAnsi"/>
          <w:lang w:val="en-GB"/>
        </w:rPr>
      </w:pPr>
    </w:p>
    <w:p w:rsidR="00893DA5" w:rsidRPr="00893DA5" w:rsidRDefault="00893DA5" w:rsidP="00893DA5">
      <w:pPr>
        <w:spacing w:after="0" w:line="240" w:lineRule="auto"/>
        <w:rPr>
          <w:rFonts w:eastAsia="Times New Roman" w:cstheme="minorHAnsi"/>
          <w:b/>
        </w:rPr>
      </w:pPr>
      <w:r w:rsidRPr="00893DA5">
        <w:rPr>
          <w:rFonts w:eastAsia="Times New Roman" w:cstheme="minorHAnsi"/>
          <w:b/>
        </w:rPr>
        <w:t>Artist Reception: December 6, 2019, 6 – 8 PM</w:t>
      </w:r>
    </w:p>
    <w:p w:rsidR="00893DA5" w:rsidRPr="00893DA5" w:rsidRDefault="00893DA5" w:rsidP="00893DA5">
      <w:pPr>
        <w:spacing w:after="0" w:line="240" w:lineRule="auto"/>
        <w:rPr>
          <w:rFonts w:eastAsia="Times New Roman" w:cstheme="minorHAnsi"/>
        </w:rPr>
      </w:pPr>
      <w:r w:rsidRPr="00893DA5">
        <w:rPr>
          <w:rFonts w:eastAsia="Times New Roman" w:cstheme="minorHAnsi"/>
        </w:rPr>
        <w:t>October 4, 2019 – January 10, 2020</w:t>
      </w:r>
    </w:p>
    <w:p w:rsidR="00893DA5" w:rsidRPr="002B38DB" w:rsidRDefault="00893DA5" w:rsidP="00DA68B5">
      <w:pPr>
        <w:spacing w:after="0" w:line="240" w:lineRule="auto"/>
        <w:rPr>
          <w:rFonts w:eastAsia="Times New Roman" w:cstheme="minorHAnsi"/>
          <w:lang w:val="en-GB"/>
        </w:rPr>
      </w:pPr>
    </w:p>
    <w:p w:rsidR="002B38DB" w:rsidRPr="002B38DB" w:rsidRDefault="002B38DB" w:rsidP="002B38DB">
      <w:pPr>
        <w:spacing w:after="0" w:line="240" w:lineRule="auto"/>
        <w:rPr>
          <w:rFonts w:eastAsia="Times New Roman" w:cstheme="minorHAnsi"/>
          <w:lang w:val="en-GB"/>
        </w:rPr>
      </w:pPr>
    </w:p>
    <w:p w:rsidR="00DD7664" w:rsidRDefault="00DD7664" w:rsidP="000867B8">
      <w:pPr>
        <w:spacing w:after="0"/>
      </w:pPr>
      <w:r w:rsidRPr="0035611A">
        <w:t>Block Gallery – Raleigh Municipal Building</w:t>
      </w:r>
    </w:p>
    <w:p w:rsidR="000867B8" w:rsidRDefault="00C71B8A" w:rsidP="000867B8">
      <w:pPr>
        <w:spacing w:after="0"/>
      </w:pPr>
      <w:r w:rsidRPr="00F54E13">
        <w:t>222 W. Hargett St., Raleigh, NC 27602</w:t>
      </w:r>
    </w:p>
    <w:p w:rsidR="003D062A" w:rsidRDefault="003D062A" w:rsidP="000867B8">
      <w:pPr>
        <w:spacing w:after="0"/>
      </w:pPr>
    </w:p>
    <w:p w:rsidR="00893DA5" w:rsidRPr="00EE46D2" w:rsidRDefault="00893DA5" w:rsidP="00893DA5">
      <w:pPr>
        <w:spacing w:after="160"/>
        <w:rPr>
          <w:rFonts w:eastAsia="Times New Roman" w:cstheme="minorHAnsi"/>
          <w:lang w:val="en-GB"/>
        </w:rPr>
      </w:pPr>
      <w:r w:rsidRPr="00EE46D2">
        <w:rPr>
          <w:rFonts w:eastAsia="Times New Roman" w:cstheme="minorHAnsi"/>
          <w:lang w:val="en-GB"/>
        </w:rPr>
        <w:t>“</w:t>
      </w:r>
      <w:r w:rsidRPr="00EE46D2">
        <w:rPr>
          <w:rFonts w:eastAsia="Times New Roman" w:cstheme="minorHAnsi"/>
          <w:i/>
          <w:lang w:val="en-GB"/>
        </w:rPr>
        <w:t>In photography there is a reality so subtle that it becomes more real than reality</w:t>
      </w:r>
      <w:r w:rsidRPr="00EE46D2">
        <w:rPr>
          <w:rFonts w:eastAsia="Times New Roman" w:cstheme="minorHAnsi"/>
          <w:lang w:val="en-GB"/>
        </w:rPr>
        <w:t>.”</w:t>
      </w:r>
      <w:r w:rsidRPr="00EE46D2">
        <w:rPr>
          <w:rFonts w:eastAsia="Times New Roman" w:cstheme="minorHAnsi"/>
          <w:lang w:val="en-GB"/>
        </w:rPr>
        <w:br/>
        <w:t>— </w:t>
      </w:r>
      <w:r w:rsidRPr="00EE46D2">
        <w:rPr>
          <w:rFonts w:eastAsia="Times New Roman" w:cstheme="minorHAnsi"/>
          <w:bCs/>
          <w:lang w:val="en-GB"/>
        </w:rPr>
        <w:t>Alfred Stieglitz</w:t>
      </w:r>
    </w:p>
    <w:p w:rsidR="00893DA5" w:rsidRPr="00EE46D2" w:rsidRDefault="00893DA5" w:rsidP="00893DA5">
      <w:pPr>
        <w:spacing w:after="160"/>
        <w:rPr>
          <w:rFonts w:eastAsia="Times New Roman" w:cstheme="minorHAnsi"/>
          <w:lang w:val="en-GB"/>
        </w:rPr>
      </w:pPr>
    </w:p>
    <w:p w:rsidR="00893DA5" w:rsidRPr="00EE46D2" w:rsidRDefault="00893DA5" w:rsidP="00893DA5">
      <w:pPr>
        <w:spacing w:after="160"/>
        <w:rPr>
          <w:rFonts w:eastAsia="Times New Roman" w:cstheme="minorHAnsi"/>
          <w:lang w:val="en-GB"/>
        </w:rPr>
      </w:pPr>
      <w:r w:rsidRPr="00EE46D2">
        <w:rPr>
          <w:rFonts w:eastAsia="Times New Roman" w:cstheme="minorHAnsi"/>
          <w:lang w:val="en-GB"/>
        </w:rPr>
        <w:t xml:space="preserve">Photography has long been a rapidly evolving medium with the introduction of new technologies, making it ever easier to capture an image. Very few artists continue to produce images using tintypes, wet plate negatives or for that matter even rolled film. The introduction of the cell phone camera jettisoned these past image methods to art appreciation lectures and the history books for the most part. These compact mobile devices provide a viable instant image capture with the possibilities of multiples at a time. Long gone is the stress of waiting to learn if you got that perfect shot or waving the Polaroid in a futile effort to speed up the developing time. Both artists of </w:t>
      </w:r>
      <w:r w:rsidRPr="00EE46D2">
        <w:rPr>
          <w:rFonts w:eastAsia="Times New Roman" w:cstheme="minorHAnsi"/>
          <w:i/>
          <w:lang w:val="en-GB"/>
        </w:rPr>
        <w:t>Celluloids and Light Voids</w:t>
      </w:r>
      <w:r w:rsidRPr="00EE46D2">
        <w:rPr>
          <w:rFonts w:eastAsia="Times New Roman" w:cstheme="minorHAnsi"/>
          <w:lang w:val="en-GB"/>
        </w:rPr>
        <w:t xml:space="preserve"> utilize their cell phone cameras for convenience and inspiration.</w:t>
      </w:r>
    </w:p>
    <w:p w:rsidR="00893DA5" w:rsidRPr="00EE46D2" w:rsidRDefault="00893DA5" w:rsidP="00893DA5">
      <w:pPr>
        <w:spacing w:after="160"/>
        <w:rPr>
          <w:rFonts w:eastAsia="Times New Roman" w:cstheme="minorHAnsi"/>
          <w:lang w:val="en-GB"/>
        </w:rPr>
      </w:pPr>
      <w:r w:rsidRPr="00EE46D2">
        <w:rPr>
          <w:rFonts w:eastAsia="Times New Roman" w:cstheme="minorHAnsi"/>
          <w:b/>
          <w:lang w:val="en-GB"/>
        </w:rPr>
        <w:lastRenderedPageBreak/>
        <w:t>Warren Hicks</w:t>
      </w:r>
      <w:r w:rsidRPr="00EE46D2">
        <w:rPr>
          <w:rFonts w:eastAsia="Times New Roman" w:cstheme="minorHAnsi"/>
          <w:lang w:val="en-GB"/>
        </w:rPr>
        <w:t xml:space="preserve"> approach to photography is related to his painting practice, taking on abstracted forms with </w:t>
      </w:r>
      <w:proofErr w:type="gramStart"/>
      <w:r w:rsidRPr="00EE46D2">
        <w:rPr>
          <w:rFonts w:eastAsia="Times New Roman" w:cstheme="minorHAnsi"/>
          <w:lang w:val="en-GB"/>
        </w:rPr>
        <w:t>particular attention</w:t>
      </w:r>
      <w:proofErr w:type="gramEnd"/>
      <w:r w:rsidRPr="00EE46D2">
        <w:rPr>
          <w:rFonts w:eastAsia="Times New Roman" w:cstheme="minorHAnsi"/>
          <w:lang w:val="en-GB"/>
        </w:rPr>
        <w:t xml:space="preserve"> to shadow, space, and geometry. Speaking specifically to this series, </w:t>
      </w:r>
      <w:r w:rsidRPr="00EE46D2">
        <w:rPr>
          <w:rFonts w:eastAsia="Times New Roman" w:cstheme="minorHAnsi"/>
          <w:i/>
          <w:lang w:val="en-GB"/>
        </w:rPr>
        <w:t xml:space="preserve">The Shadow Knows, </w:t>
      </w:r>
      <w:r w:rsidRPr="00EE46D2">
        <w:rPr>
          <w:rFonts w:eastAsia="Times New Roman" w:cstheme="minorHAnsi"/>
          <w:lang w:val="en-GB"/>
        </w:rPr>
        <w:t>Hicks states, “I positioned the camera directly above the object to obscure its defining characteristics, only revealing them via their shadow. Shadows can often be more interesting than the objects that cast them.”</w:t>
      </w:r>
    </w:p>
    <w:p w:rsidR="00893DA5" w:rsidRPr="00EE46D2" w:rsidRDefault="00893DA5" w:rsidP="00893DA5">
      <w:pPr>
        <w:spacing w:after="160"/>
        <w:rPr>
          <w:rFonts w:eastAsia="Times New Roman" w:cstheme="minorHAnsi"/>
          <w:iCs/>
          <w:lang w:val="en-GB"/>
        </w:rPr>
      </w:pPr>
      <w:r w:rsidRPr="00EE46D2">
        <w:rPr>
          <w:rFonts w:eastAsia="Times New Roman" w:cstheme="minorHAnsi"/>
          <w:b/>
          <w:lang w:val="en-GB"/>
        </w:rPr>
        <w:t>Tama Hochbaum</w:t>
      </w:r>
      <w:r w:rsidRPr="00EE46D2">
        <w:rPr>
          <w:rFonts w:eastAsia="Times New Roman" w:cstheme="minorHAnsi"/>
          <w:lang w:val="en-GB"/>
        </w:rPr>
        <w:t xml:space="preserve"> uses snippets of dancers to portray fragments of memory and time, and more precisely the passage of time. She shares, “</w:t>
      </w:r>
      <w:r w:rsidRPr="00EE46D2">
        <w:rPr>
          <w:rFonts w:eastAsia="Times New Roman" w:cstheme="minorHAnsi"/>
        </w:rPr>
        <w:t>Whether it be the piece I consider to be my first work as an artist, a composite family portrait/landscape etching that I produced in college, or the pieces included in this exhibition, my Silver Screen: Dancers, or the images I worked on this morning, time passing has been the notion that haunts me, the idea that obsesses.”</w:t>
      </w:r>
    </w:p>
    <w:p w:rsidR="00EE46D2" w:rsidRPr="00EE46D2" w:rsidRDefault="00893DA5" w:rsidP="00EE46D2">
      <w:pPr>
        <w:spacing w:after="160"/>
        <w:rPr>
          <w:rFonts w:eastAsia="Times New Roman" w:cstheme="minorHAnsi"/>
          <w:lang w:val="en-GB"/>
        </w:rPr>
      </w:pPr>
      <w:r w:rsidRPr="00EE46D2">
        <w:rPr>
          <w:rFonts w:eastAsia="Times New Roman" w:cstheme="minorHAnsi"/>
          <w:lang w:val="en-GB"/>
        </w:rPr>
        <w:t>Both Hicks and Hochbaum use cues from a common language in their works by abstracting or breaking an image down to a more simplistic form. Each requires the viewer to be inquisitive and spend a bit more time with the photograph discovering the magic in the mundane.</w:t>
      </w:r>
    </w:p>
    <w:p w:rsidR="00DF254D" w:rsidRPr="00BA3526" w:rsidRDefault="00DF254D" w:rsidP="00DF254D">
      <w:pPr>
        <w:spacing w:after="0" w:line="360" w:lineRule="auto"/>
        <w:rPr>
          <w:b/>
          <w:sz w:val="24"/>
          <w:szCs w:val="24"/>
        </w:rPr>
      </w:pPr>
      <w:r w:rsidRPr="00BA3526">
        <w:rPr>
          <w:b/>
          <w:sz w:val="24"/>
          <w:szCs w:val="24"/>
        </w:rPr>
        <w:t xml:space="preserve">BLOCK GALLERY </w:t>
      </w:r>
    </w:p>
    <w:p w:rsidR="00DF254D" w:rsidRDefault="00DF254D" w:rsidP="00EE46D2">
      <w:pPr>
        <w:spacing w:after="0"/>
        <w:rPr>
          <w:sz w:val="24"/>
          <w:szCs w:val="24"/>
        </w:rPr>
      </w:pPr>
      <w:r w:rsidRPr="00BA3526">
        <w:rPr>
          <w:sz w:val="24"/>
          <w:szCs w:val="24"/>
        </w:rPr>
        <w:t>Connecting local artists to community through ongoing exhibitions and public outreach, the Block Gallery was dedicated in 2006 to honor Miriam Preston Block, a former Raleigh City Council member and community leader. Greeting all visitors to the Upchurch Government Complex, the gallery’s marble walls and elegant staircase provide an ideal setting for showcasing original artworks. Exhibits change every eight to 12 weeks.</w:t>
      </w:r>
    </w:p>
    <w:p w:rsidR="00EE46D2" w:rsidRPr="00BA3526" w:rsidRDefault="00EE46D2" w:rsidP="00EE46D2">
      <w:pPr>
        <w:spacing w:after="0"/>
        <w:rPr>
          <w:sz w:val="24"/>
          <w:szCs w:val="24"/>
        </w:rPr>
      </w:pPr>
    </w:p>
    <w:p w:rsidR="00DF254D" w:rsidRPr="00BA3526" w:rsidRDefault="00DF254D" w:rsidP="00DF254D">
      <w:pPr>
        <w:spacing w:after="0" w:line="360" w:lineRule="auto"/>
        <w:rPr>
          <w:b/>
          <w:sz w:val="24"/>
          <w:szCs w:val="24"/>
        </w:rPr>
      </w:pPr>
      <w:r w:rsidRPr="00BA3526">
        <w:rPr>
          <w:b/>
          <w:sz w:val="24"/>
          <w:szCs w:val="24"/>
        </w:rPr>
        <w:t xml:space="preserve">OFFICE OF RALEIGH ARTS </w:t>
      </w:r>
    </w:p>
    <w:p w:rsidR="00DF254D" w:rsidRPr="00BA3526" w:rsidRDefault="00DF254D" w:rsidP="00EE46D2">
      <w:pPr>
        <w:spacing w:after="0"/>
        <w:rPr>
          <w:sz w:val="24"/>
          <w:szCs w:val="24"/>
        </w:rPr>
      </w:pPr>
      <w:r w:rsidRPr="00BA3526">
        <w:rPr>
          <w:sz w:val="24"/>
          <w:szCs w:val="24"/>
        </w:rPr>
        <w:t xml:space="preserve">The Office of Raleigh Arts, a part of the City of Raleigh’s Parks, Recreation and Cultural Resources Department, fosters and promotes the arts in Raleigh by administering the programs of the Raleigh Arts Commission and the Public Art and Design Board and supporting the Pullen and </w:t>
      </w:r>
      <w:proofErr w:type="spellStart"/>
      <w:r w:rsidRPr="00BA3526">
        <w:rPr>
          <w:sz w:val="24"/>
          <w:szCs w:val="24"/>
        </w:rPr>
        <w:t>Sertoma</w:t>
      </w:r>
      <w:proofErr w:type="spellEnd"/>
      <w:r w:rsidRPr="00BA3526">
        <w:rPr>
          <w:sz w:val="24"/>
          <w:szCs w:val="24"/>
        </w:rPr>
        <w:t xml:space="preserve"> Arts Centers.</w:t>
      </w:r>
    </w:p>
    <w:p w:rsidR="00DF254D" w:rsidRDefault="00DF254D"/>
    <w:p w:rsidR="00C831A1" w:rsidRDefault="00C831A1" w:rsidP="002B38DB">
      <w:pPr>
        <w:autoSpaceDE w:val="0"/>
        <w:autoSpaceDN w:val="0"/>
        <w:adjustRightInd w:val="0"/>
        <w:spacing w:after="0" w:line="240" w:lineRule="auto"/>
      </w:pPr>
      <w:r>
        <w:t xml:space="preserve">Image Credit: </w:t>
      </w:r>
    </w:p>
    <w:p w:rsidR="00EE46D2" w:rsidRDefault="00EE46D2" w:rsidP="00EE46D2">
      <w:pPr>
        <w:autoSpaceDE w:val="0"/>
        <w:autoSpaceDN w:val="0"/>
        <w:adjustRightInd w:val="0"/>
        <w:spacing w:after="0" w:line="240" w:lineRule="auto"/>
        <w:rPr>
          <w:rFonts w:ascii="Avenir-Light" w:hAnsi="Avenir-Light" w:cs="Avenir-Light"/>
        </w:rPr>
      </w:pPr>
      <w:r>
        <w:rPr>
          <w:rFonts w:ascii="Avenir-Light" w:hAnsi="Avenir-Light" w:cs="Avenir-Light"/>
        </w:rPr>
        <w:t xml:space="preserve">Tama Hochbaum, </w:t>
      </w:r>
      <w:r w:rsidRPr="00EE46D2">
        <w:rPr>
          <w:rFonts w:ascii="Avenir-Light" w:hAnsi="Avenir-Light" w:cs="Avenir-Light"/>
        </w:rPr>
        <w:t>Les Twins, 2015</w:t>
      </w:r>
      <w:r>
        <w:rPr>
          <w:rFonts w:ascii="Avenir-Light" w:hAnsi="Avenir-Light" w:cs="Avenir-Light"/>
        </w:rPr>
        <w:t xml:space="preserve">, </w:t>
      </w:r>
      <w:r w:rsidRPr="00EE46D2">
        <w:rPr>
          <w:rFonts w:ascii="Avenir-Light" w:hAnsi="Avenir-Light" w:cs="Avenir-Light"/>
        </w:rPr>
        <w:t>Dye sublimation print on</w:t>
      </w:r>
      <w:r>
        <w:rPr>
          <w:rFonts w:ascii="Avenir-Light" w:hAnsi="Avenir-Light" w:cs="Avenir-Light"/>
        </w:rPr>
        <w:t xml:space="preserve"> </w:t>
      </w:r>
      <w:r w:rsidRPr="00EE46D2">
        <w:rPr>
          <w:rFonts w:ascii="Avenir-Light" w:hAnsi="Avenir-Light" w:cs="Avenir-Light"/>
        </w:rPr>
        <w:t>aluminum</w:t>
      </w:r>
      <w:r>
        <w:rPr>
          <w:rFonts w:ascii="Avenir-Light" w:hAnsi="Avenir-Light" w:cs="Avenir-Light"/>
        </w:rPr>
        <w:t xml:space="preserve">, </w:t>
      </w:r>
      <w:r w:rsidRPr="00EE46D2">
        <w:rPr>
          <w:rFonts w:ascii="Avenir-Light" w:hAnsi="Avenir-Light" w:cs="Avenir-Light"/>
        </w:rPr>
        <w:t>40” x 40”</w:t>
      </w:r>
    </w:p>
    <w:p w:rsidR="00EE46D2" w:rsidRPr="002B38DB" w:rsidRDefault="00EE46D2" w:rsidP="00EE46D2">
      <w:pPr>
        <w:autoSpaceDE w:val="0"/>
        <w:autoSpaceDN w:val="0"/>
        <w:adjustRightInd w:val="0"/>
        <w:spacing w:after="0" w:line="240" w:lineRule="auto"/>
        <w:rPr>
          <w:rFonts w:ascii="Avenir-Light" w:hAnsi="Avenir-Light" w:cs="Avenir-Light"/>
        </w:rPr>
      </w:pPr>
      <w:r>
        <w:rPr>
          <w:rFonts w:ascii="Avenir-Light" w:hAnsi="Avenir-Light" w:cs="Avenir-Light"/>
        </w:rPr>
        <w:t xml:space="preserve">Warren Hicks, </w:t>
      </w:r>
      <w:r w:rsidR="00FE1B61">
        <w:rPr>
          <w:rFonts w:ascii="Avenir-Light" w:hAnsi="Avenir-Light" w:cs="Avenir-Light"/>
        </w:rPr>
        <w:t xml:space="preserve">The Shadow Knows #1, 2016, Photograph mounted on </w:t>
      </w:r>
      <w:proofErr w:type="spellStart"/>
      <w:r w:rsidR="00FE1B61">
        <w:rPr>
          <w:rFonts w:ascii="Avenir-Light" w:hAnsi="Avenir-Light" w:cs="Avenir-Light"/>
        </w:rPr>
        <w:t>Dib</w:t>
      </w:r>
      <w:bookmarkStart w:id="0" w:name="_GoBack"/>
      <w:bookmarkEnd w:id="0"/>
      <w:r w:rsidR="00FE1B61">
        <w:rPr>
          <w:rFonts w:ascii="Avenir-Light" w:hAnsi="Avenir-Light" w:cs="Avenir-Light"/>
        </w:rPr>
        <w:t>ond</w:t>
      </w:r>
      <w:proofErr w:type="spellEnd"/>
      <w:r w:rsidR="00FE1B61">
        <w:rPr>
          <w:rFonts w:ascii="Avenir-Light" w:hAnsi="Avenir-Light" w:cs="Avenir-Light"/>
        </w:rPr>
        <w:t>, 24” x 24”</w:t>
      </w:r>
    </w:p>
    <w:sectPr w:rsidR="00EE46D2" w:rsidRPr="002B38DB" w:rsidSect="00F01CEC">
      <w:pgSz w:w="12240" w:h="15840"/>
      <w:pgMar w:top="810" w:right="1440" w:bottom="117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veni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64"/>
    <w:rsid w:val="000867B8"/>
    <w:rsid w:val="000F6A48"/>
    <w:rsid w:val="0017248D"/>
    <w:rsid w:val="00273D29"/>
    <w:rsid w:val="002B38DB"/>
    <w:rsid w:val="003B10F1"/>
    <w:rsid w:val="003D062A"/>
    <w:rsid w:val="0048015E"/>
    <w:rsid w:val="004806E6"/>
    <w:rsid w:val="00714A11"/>
    <w:rsid w:val="007D1326"/>
    <w:rsid w:val="00813C25"/>
    <w:rsid w:val="00893DA5"/>
    <w:rsid w:val="00AC3B4B"/>
    <w:rsid w:val="00BA64FB"/>
    <w:rsid w:val="00C71B8A"/>
    <w:rsid w:val="00C831A1"/>
    <w:rsid w:val="00D13E95"/>
    <w:rsid w:val="00DA68B5"/>
    <w:rsid w:val="00DD7664"/>
    <w:rsid w:val="00DF254D"/>
    <w:rsid w:val="00EE46D2"/>
    <w:rsid w:val="00F01CEC"/>
    <w:rsid w:val="00FE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8A2B"/>
  <w15:docId w15:val="{8DD0F35E-B101-4B94-9FBD-B45AB95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64"/>
    <w:rPr>
      <w:rFonts w:ascii="Tahoma" w:hAnsi="Tahoma" w:cs="Tahoma"/>
      <w:sz w:val="16"/>
      <w:szCs w:val="16"/>
    </w:rPr>
  </w:style>
  <w:style w:type="character" w:styleId="Hyperlink">
    <w:name w:val="Hyperlink"/>
    <w:basedOn w:val="DefaultParagraphFont"/>
    <w:uiPriority w:val="99"/>
    <w:unhideWhenUsed/>
    <w:rsid w:val="00C71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cy.bloom-rexrode@raleighn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Bloom-Rexrode, Stacy</dc:creator>
  <cp:lastModifiedBy>Bloom-Rexrode, Stacy</cp:lastModifiedBy>
  <cp:revision>2</cp:revision>
  <dcterms:created xsi:type="dcterms:W3CDTF">2019-10-04T02:58:00Z</dcterms:created>
  <dcterms:modified xsi:type="dcterms:W3CDTF">2019-10-04T02:58:00Z</dcterms:modified>
</cp:coreProperties>
</file>