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653A49" w14:textId="535BB3FA" w:rsidR="00A44E7F" w:rsidRPr="00A44E7F" w:rsidRDefault="00A44E7F">
      <w:pPr>
        <w:rPr>
          <w:sz w:val="28"/>
          <w:szCs w:val="28"/>
        </w:rPr>
      </w:pPr>
      <w:r w:rsidRPr="00A44E7F">
        <w:rPr>
          <w:sz w:val="28"/>
          <w:szCs w:val="28"/>
        </w:rPr>
        <w:t xml:space="preserve">MAYO CLINIC ‘s </w:t>
      </w:r>
      <w:r w:rsidRPr="00A44E7F">
        <w:rPr>
          <w:b/>
          <w:bCs/>
          <w:sz w:val="28"/>
          <w:szCs w:val="28"/>
        </w:rPr>
        <w:t>LID-ON</w:t>
      </w:r>
      <w:r w:rsidRPr="00A44E7F">
        <w:rPr>
          <w:sz w:val="28"/>
          <w:szCs w:val="28"/>
        </w:rPr>
        <w:t xml:space="preserve"> Plate Screening Method </w:t>
      </w:r>
    </w:p>
    <w:p w14:paraId="6C1C8A47" w14:textId="16C61EB0" w:rsidR="00A44E7F" w:rsidRDefault="00CE6CBE">
      <w:r>
        <w:rPr>
          <w:noProof/>
        </w:rPr>
        <w:drawing>
          <wp:anchor distT="0" distB="0" distL="114300" distR="114300" simplePos="0" relativeHeight="251658752" behindDoc="0" locked="0" layoutInCell="1" allowOverlap="1" wp14:anchorId="049AD9FE" wp14:editId="59787E52">
            <wp:simplePos x="0" y="0"/>
            <wp:positionH relativeFrom="margin">
              <wp:align>right</wp:align>
            </wp:positionH>
            <wp:positionV relativeFrom="paragraph">
              <wp:posOffset>226060</wp:posOffset>
            </wp:positionV>
            <wp:extent cx="2200275" cy="1466850"/>
            <wp:effectExtent l="0" t="0" r="9525" b="0"/>
            <wp:wrapSquare wrapText="bothSides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44E7F" w:rsidRPr="00A44E7F">
        <w:rPr>
          <w:b/>
          <w:bCs/>
          <w:sz w:val="28"/>
          <w:szCs w:val="28"/>
        </w:rPr>
        <w:t>L</w:t>
      </w:r>
      <w:r w:rsidR="00A44E7F">
        <w:rPr>
          <w:b/>
          <w:bCs/>
        </w:rPr>
        <w:t xml:space="preserve"> </w:t>
      </w:r>
      <w:r w:rsidR="00A44E7F" w:rsidRPr="00A44E7F">
        <w:rPr>
          <w:b/>
          <w:bCs/>
        </w:rPr>
        <w:t>-</w:t>
      </w:r>
      <w:r w:rsidR="00A44E7F">
        <w:rPr>
          <w:b/>
          <w:bCs/>
        </w:rPr>
        <w:t xml:space="preserve"> </w:t>
      </w:r>
      <w:r w:rsidR="00A44E7F" w:rsidRPr="00A44E7F">
        <w:rPr>
          <w:b/>
          <w:bCs/>
        </w:rPr>
        <w:t>Lid</w:t>
      </w:r>
      <w:r w:rsidR="00A44E7F">
        <w:t xml:space="preserve"> </w:t>
      </w:r>
      <w:r w:rsidR="00A44E7F" w:rsidRPr="00A44E7F">
        <w:rPr>
          <w:b/>
          <w:bCs/>
        </w:rPr>
        <w:t>stays on</w:t>
      </w:r>
      <w:r w:rsidR="00A44E7F">
        <w:t xml:space="preserve"> plate</w:t>
      </w:r>
      <w:r w:rsidR="00332BF9">
        <w:t xml:space="preserve">                                                                                  </w:t>
      </w:r>
    </w:p>
    <w:p w14:paraId="320CE6E8" w14:textId="3F2558A2" w:rsidR="00A44E7F" w:rsidRDefault="00A44E7F" w:rsidP="00A44E7F">
      <w:r w:rsidRPr="00A44E7F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 xml:space="preserve"> </w:t>
      </w:r>
      <w:r w:rsidRPr="00A44E7F">
        <w:rPr>
          <w:b/>
          <w:bCs/>
        </w:rPr>
        <w:t>-</w:t>
      </w:r>
      <w:r>
        <w:rPr>
          <w:b/>
          <w:bCs/>
        </w:rPr>
        <w:t xml:space="preserve"> </w:t>
      </w:r>
      <w:r w:rsidRPr="00A44E7F">
        <w:rPr>
          <w:b/>
          <w:bCs/>
        </w:rPr>
        <w:t>Inspect</w:t>
      </w:r>
      <w:r>
        <w:t xml:space="preserve"> visually through lid</w:t>
      </w:r>
      <w:r w:rsidR="00B2476A">
        <w:t xml:space="preserve">  (assess for growth)</w:t>
      </w:r>
    </w:p>
    <w:p w14:paraId="09ACF3BC" w14:textId="05223D0B" w:rsidR="00A44E7F" w:rsidRDefault="00A44E7F">
      <w:r w:rsidRPr="00A44E7F">
        <w:rPr>
          <w:b/>
          <w:bCs/>
          <w:sz w:val="28"/>
          <w:szCs w:val="28"/>
        </w:rPr>
        <w:t>D</w:t>
      </w:r>
      <w:r>
        <w:rPr>
          <w:b/>
          <w:bCs/>
        </w:rPr>
        <w:t xml:space="preserve"> </w:t>
      </w:r>
      <w:r w:rsidRPr="00A44E7F">
        <w:rPr>
          <w:b/>
          <w:bCs/>
        </w:rPr>
        <w:t>-</w:t>
      </w:r>
      <w:r>
        <w:rPr>
          <w:b/>
          <w:bCs/>
        </w:rPr>
        <w:t xml:space="preserve"> </w:t>
      </w:r>
      <w:r w:rsidRPr="00A44E7F">
        <w:rPr>
          <w:b/>
          <w:bCs/>
        </w:rPr>
        <w:t>Direct</w:t>
      </w:r>
      <w:r>
        <w:t xml:space="preserve"> to BSC or Bench</w:t>
      </w:r>
      <w:r w:rsidR="00B2476A">
        <w:t xml:space="preserve">  (all suspicious growth)</w:t>
      </w:r>
    </w:p>
    <w:p w14:paraId="27DB3B6A" w14:textId="5E154ED6" w:rsidR="00A44E7F" w:rsidRDefault="00A44E7F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27E506A" wp14:editId="7CC15D6C">
                <wp:simplePos x="0" y="0"/>
                <wp:positionH relativeFrom="column">
                  <wp:posOffset>-9525</wp:posOffset>
                </wp:positionH>
                <wp:positionV relativeFrom="paragraph">
                  <wp:posOffset>67309</wp:posOffset>
                </wp:positionV>
                <wp:extent cx="1838325" cy="9525"/>
                <wp:effectExtent l="0" t="0" r="28575" b="28575"/>
                <wp:wrapNone/>
                <wp:docPr id="965618687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3832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D45788" id="Straight Connector 1" o:spid="_x0000_s1026" alt="&quot;&quot;" style="position:absolute;flip:y;z-index:251654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75pt,5.3pt" to="2in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uK7wgEAAN8DAAAOAAAAZHJzL2Uyb0RvYy54bWysU01v2zAMvQ/ofxB0b+ykyJAacXpo0V6G&#10;rdjW3VWJioXpC5IWO/9+lOw4xboBRbGLIIuPj++R9PZmMJocIETlbEuXi5oSsNwJZfctffp+f7mh&#10;JCZmBdPOQkuPEOnN7uLDtvcNrFzntIBAkMTGpvct7VLyTVVF3oFhceE8WAxKFwxL+Bn2lQisR3aj&#10;q1Vdf6x6F4QPjkOM+Ho3Bumu8EsJPH2RMkIiuqWoLZUzlPM5n9Vuy5p9YL5TfJLB3qHCMGWx6Ex1&#10;xxIjv4J6RWUUDy46mRbcmcpJqTgUD+hmWf/h5lvHPBQv2Jzo5zbF/0fLPx9u7WPANvQ+NtE/huxi&#10;kMEQqZX/gTMtvlApGUrbjnPbYEiE4+Nyc7W5Wq0p4Ri7XuMN6aqRJbP5ENMDOEPypaVa2WyKNezw&#10;KaYReoLkZ21Jj6TX9bousOi0EvdK6xwsiwG3OpADw5GmYTkVe4HC0tqigrOjcktHDSP/V5BEiax8&#10;LJCX7cwpfp44tUVkTpFYfU6aVP0racLmNCgL+NbEGV0qOpvmRKOsC3+TerYvR/zJ9eg123524ljm&#10;W9qBW1RGM218XtOX3yX9/F/ufgMAAP//AwBQSwMEFAAGAAgAAAAhACCobjfcAAAACAEAAA8AAABk&#10;cnMvZG93bnJldi54bWxMj8FOwzAQRO9I/IO1SNxaJ5EoUYhTARISIHpoywds4iWJGq+j2G3C37Oc&#10;4Lgzo9k35XZxg7rQFHrPBtJ1Aoq48bbn1sDn8WWVgwoR2eLgmQx8U4BtdX1VYmH9zHu6HGKrpIRD&#10;gQa6GMdC69B05DCs/Ugs3pefHEY5p1bbCWcpd4POkmSjHfYsHzoc6bmj5nQ4OwPN2+5+d/I019r6&#10;+P5q9x/41Blze7M8PoCKtMS/MPziCzpUwlT7M9ugBgOr9E6SoicbUOJneS7bahGyFHRV6v8Dqh8A&#10;AAD//wMAUEsBAi0AFAAGAAgAAAAhALaDOJL+AAAA4QEAABMAAAAAAAAAAAAAAAAAAAAAAFtDb250&#10;ZW50X1R5cGVzXS54bWxQSwECLQAUAAYACAAAACEAOP0h/9YAAACUAQAACwAAAAAAAAAAAAAAAAAv&#10;AQAAX3JlbHMvLnJlbHNQSwECLQAUAAYACAAAACEAZCriu8IBAADfAwAADgAAAAAAAAAAAAAAAAAu&#10;AgAAZHJzL2Uyb0RvYy54bWxQSwECLQAUAAYACAAAACEAIKhuN9wAAAAIAQAADwAAAAAAAAAAAAAA&#10;AAAcBAAAZHJzL2Rvd25yZXYueG1sUEsFBgAAAAAEAAQA8wAAACUFAAAAAA==&#10;" strokecolor="black [3213]" strokeweight="1.5pt">
                <v:stroke joinstyle="miter"/>
              </v:line>
            </w:pict>
          </mc:Fallback>
        </mc:AlternateContent>
      </w:r>
    </w:p>
    <w:p w14:paraId="357BA485" w14:textId="7899B2E9" w:rsidR="00A44E7F" w:rsidRPr="00A44E7F" w:rsidRDefault="00A44E7F">
      <w:r w:rsidRPr="00A44E7F">
        <w:rPr>
          <w:b/>
          <w:bCs/>
          <w:sz w:val="28"/>
          <w:szCs w:val="28"/>
        </w:rPr>
        <w:t>O</w:t>
      </w:r>
      <w:r>
        <w:rPr>
          <w:b/>
          <w:bCs/>
        </w:rPr>
        <w:t xml:space="preserve"> - Open</w:t>
      </w:r>
      <w:r>
        <w:t xml:space="preserve"> and test safely</w:t>
      </w:r>
      <w:r w:rsidR="00B2476A">
        <w:t xml:space="preserve">  (manipulate in the BSC </w:t>
      </w:r>
      <w:r w:rsidR="00B2476A" w:rsidRPr="0015790C">
        <w:rPr>
          <w:u w:val="single"/>
        </w:rPr>
        <w:t>only</w:t>
      </w:r>
      <w:r w:rsidR="00B2476A">
        <w:t xml:space="preserve"> until completely ruled safe)</w:t>
      </w:r>
    </w:p>
    <w:p w14:paraId="5064E7B1" w14:textId="681ED45F" w:rsidR="00B2476A" w:rsidRPr="00DE55CB" w:rsidRDefault="00A44E7F">
      <w:pPr>
        <w:rPr>
          <w:b/>
          <w:bCs/>
        </w:rPr>
      </w:pPr>
      <w:r w:rsidRPr="00A44E7F">
        <w:rPr>
          <w:b/>
          <w:bCs/>
          <w:sz w:val="28"/>
          <w:szCs w:val="28"/>
        </w:rPr>
        <w:t>N</w:t>
      </w:r>
      <w:r>
        <w:rPr>
          <w:b/>
          <w:bCs/>
        </w:rPr>
        <w:t xml:space="preserve"> - No Exposure!</w:t>
      </w:r>
      <w:r w:rsidR="00F50133">
        <w:rPr>
          <w:noProof/>
        </w:rPr>
        <w:drawing>
          <wp:anchor distT="0" distB="0" distL="114300" distR="114300" simplePos="0" relativeHeight="251660800" behindDoc="0" locked="0" layoutInCell="1" allowOverlap="1" wp14:anchorId="575CC4EB" wp14:editId="7E92FDC8">
            <wp:simplePos x="0" y="0"/>
            <wp:positionH relativeFrom="margin">
              <wp:align>right</wp:align>
            </wp:positionH>
            <wp:positionV relativeFrom="paragraph">
              <wp:posOffset>258445</wp:posOffset>
            </wp:positionV>
            <wp:extent cx="2124075" cy="1592580"/>
            <wp:effectExtent l="0" t="0" r="9525" b="7620"/>
            <wp:wrapSquare wrapText="bothSides"/>
            <wp:docPr id="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042308" w14:textId="31D22673" w:rsidR="00B2476A" w:rsidRDefault="00B2476A">
      <w:r>
        <w:t xml:space="preserve">Traditional bench plate examination </w:t>
      </w:r>
      <w:r w:rsidR="000E3C5A">
        <w:t xml:space="preserve">typically </w:t>
      </w:r>
      <w:r>
        <w:t>involves either:</w:t>
      </w:r>
    </w:p>
    <w:p w14:paraId="472AF856" w14:textId="2C2DD0D3" w:rsidR="00B2476A" w:rsidRDefault="00B2476A" w:rsidP="00B2476A">
      <w:pPr>
        <w:pStyle w:val="ListParagraph"/>
        <w:numPr>
          <w:ilvl w:val="0"/>
          <w:numId w:val="2"/>
        </w:numPr>
      </w:pPr>
      <w:r>
        <w:t>Holding a stack of 4-5 plates in one hand and sequentially flipping the plate lids open to view growth on agar medium or</w:t>
      </w:r>
      <w:r w:rsidR="00F50133">
        <w:rPr>
          <w:noProof/>
        </w:rPr>
        <w:t xml:space="preserve">                                   </w:t>
      </w:r>
    </w:p>
    <w:p w14:paraId="3CD969B7" w14:textId="77777777" w:rsidR="00B2476A" w:rsidRDefault="00B2476A" w:rsidP="00B2476A">
      <w:pPr>
        <w:pStyle w:val="ListParagraph"/>
        <w:numPr>
          <w:ilvl w:val="0"/>
          <w:numId w:val="2"/>
        </w:numPr>
      </w:pPr>
      <w:r>
        <w:t>Placing plates on a bench top, lid down, and lifting the lids to view growth on agar medium.</w:t>
      </w:r>
    </w:p>
    <w:p w14:paraId="074335C7" w14:textId="01C61DF4" w:rsidR="0015790C" w:rsidRDefault="00B2476A" w:rsidP="00B2476A">
      <w:r>
        <w:t xml:space="preserve">This can </w:t>
      </w:r>
      <w:r w:rsidR="00B4248F">
        <w:t>result in</w:t>
      </w:r>
      <w:r>
        <w:t xml:space="preserve"> accidental exposure on the benchtop. </w:t>
      </w:r>
      <w:r w:rsidR="00B4248F">
        <w:t>Preparing gram stains and spot tests (especially catalase) can lead to aerosol production and is another means for exposure to Select Agents. Remember: even small amounts of aerosol production can infect lab personnel</w:t>
      </w:r>
      <w:r w:rsidR="00714C03">
        <w:t>!</w:t>
      </w:r>
    </w:p>
    <w:p w14:paraId="61D5FE95" w14:textId="6410ADE7" w:rsidR="00B2476A" w:rsidRDefault="0015790C" w:rsidP="00B2476A">
      <w:r w:rsidRPr="0015790C">
        <w:rPr>
          <w:b/>
          <w:bCs/>
        </w:rPr>
        <w:t>LID-ON Method</w:t>
      </w:r>
      <w:r>
        <w:t xml:space="preserve"> for initial culture plate inspection</w:t>
      </w:r>
      <w:r w:rsidR="00B2476A">
        <w:t xml:space="preserve"> </w:t>
      </w:r>
      <w:r>
        <w:t>features:</w:t>
      </w:r>
    </w:p>
    <w:p w14:paraId="7AFFB2DA" w14:textId="0E5BB218" w:rsidR="0015790C" w:rsidRDefault="00332BF9" w:rsidP="0015790C">
      <w:pPr>
        <w:pStyle w:val="ListParagraph"/>
        <w:numPr>
          <w:ilvl w:val="0"/>
          <w:numId w:val="3"/>
        </w:numPr>
      </w:pPr>
      <w:r>
        <w:t xml:space="preserve">The </w:t>
      </w:r>
      <w:r w:rsidR="0015790C">
        <w:t>risk of accidental exposure is removed</w:t>
      </w:r>
      <w:r>
        <w:t xml:space="preserve"> by not opening the lids during the initial inspection.</w:t>
      </w:r>
    </w:p>
    <w:p w14:paraId="17CC229F" w14:textId="0BF2EFD5" w:rsidR="0015790C" w:rsidRDefault="0015790C" w:rsidP="0015790C">
      <w:pPr>
        <w:pStyle w:val="ListParagraph"/>
        <w:numPr>
          <w:ilvl w:val="0"/>
          <w:numId w:val="3"/>
        </w:numPr>
      </w:pPr>
      <w:r>
        <w:t>Plate growth can be seen through the clear agar plate lid.</w:t>
      </w:r>
    </w:p>
    <w:p w14:paraId="27B1489A" w14:textId="7F4C6957" w:rsidR="0015790C" w:rsidRDefault="0015790C" w:rsidP="0015790C">
      <w:pPr>
        <w:pStyle w:val="ListParagraph"/>
        <w:numPr>
          <w:ilvl w:val="0"/>
          <w:numId w:val="3"/>
        </w:numPr>
      </w:pPr>
      <w:r>
        <w:t xml:space="preserve">Suspicious growth cultures (i.e., pinpoint growth on SBA or MAC plates or </w:t>
      </w:r>
      <w:r w:rsidRPr="00E479BD">
        <w:rPr>
          <w:i/>
          <w:iCs/>
        </w:rPr>
        <w:t>Bacillus</w:t>
      </w:r>
      <w:r>
        <w:t>-like growth) can be set aside for further evaluation in a BSC</w:t>
      </w:r>
      <w:r w:rsidR="00C574A4">
        <w:t>.</w:t>
      </w:r>
    </w:p>
    <w:p w14:paraId="13C61D3E" w14:textId="0861F090" w:rsidR="00A44E7F" w:rsidRPr="00F50133" w:rsidRDefault="0015790C" w:rsidP="00F50133">
      <w:pPr>
        <w:pStyle w:val="ListParagraph"/>
        <w:numPr>
          <w:ilvl w:val="0"/>
          <w:numId w:val="3"/>
        </w:numPr>
      </w:pPr>
      <w:r>
        <w:t>Minimal to no disruption to the workflow.</w:t>
      </w:r>
    </w:p>
    <w:p w14:paraId="3BEFCA67" w14:textId="48425C85" w:rsidR="00A44E7F" w:rsidRPr="00E479BD" w:rsidRDefault="00E479BD">
      <w:r>
        <w:t xml:space="preserve">For a video of the LID-ON plate screening method </w:t>
      </w:r>
      <w:r w:rsidR="00BB2CE4">
        <w:t>see:</w:t>
      </w:r>
    </w:p>
    <w:p w14:paraId="7F23FE4A" w14:textId="738B08A4" w:rsidR="00264E9D" w:rsidRDefault="00DE55CB">
      <w:hyperlink r:id="rId7" w:history="1">
        <w:r w:rsidR="00BB2CE4" w:rsidRPr="00351A5B">
          <w:rPr>
            <w:rStyle w:val="Hyperlink"/>
          </w:rPr>
          <w:t>https://news.mayocliniclabs.com/select-agents-module</w:t>
        </w:r>
      </w:hyperlink>
    </w:p>
    <w:p w14:paraId="4F642834" w14:textId="02432802" w:rsidR="00354148" w:rsidRDefault="00BB2CE4">
      <w:r>
        <w:t>This is an e</w:t>
      </w:r>
      <w:r w:rsidR="00627A32">
        <w:t>xcellent module covering the LID-ON plate screening method</w:t>
      </w:r>
      <w:r>
        <w:t xml:space="preserve"> as well as Select Agents. To stretch your diagnostic abilities, the module has 6 scenarios that are designed in a fun “Choose Your Own Adventure” format in which the case may be a Select Agent or a mimic organism with similar growth characteristics. Th</w:t>
      </w:r>
      <w:r w:rsidR="00332BF9">
        <w:t xml:space="preserve">is free </w:t>
      </w:r>
      <w:r>
        <w:t xml:space="preserve">training module offers </w:t>
      </w:r>
      <w:r w:rsidRPr="00BB2CE4">
        <w:rPr>
          <w:b/>
          <w:bCs/>
        </w:rPr>
        <w:t>0.5 PACE Credits</w:t>
      </w:r>
      <w:r>
        <w:t xml:space="preserve"> and is available until </w:t>
      </w:r>
      <w:r w:rsidR="00652E61">
        <w:t xml:space="preserve">May 8, </w:t>
      </w:r>
      <w:r>
        <w:t>202</w:t>
      </w:r>
      <w:r w:rsidR="00F50133">
        <w:t>5.</w:t>
      </w:r>
    </w:p>
    <w:sectPr w:rsidR="003541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E7118"/>
    <w:multiLevelType w:val="hybridMultilevel"/>
    <w:tmpl w:val="5D527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246C7"/>
    <w:multiLevelType w:val="hybridMultilevel"/>
    <w:tmpl w:val="EB281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C4CE3"/>
    <w:multiLevelType w:val="hybridMultilevel"/>
    <w:tmpl w:val="C616DC70"/>
    <w:lvl w:ilvl="0" w:tplc="0A2E06B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665091">
    <w:abstractNumId w:val="2"/>
  </w:num>
  <w:num w:numId="2" w16cid:durableId="1721897737">
    <w:abstractNumId w:val="1"/>
  </w:num>
  <w:num w:numId="3" w16cid:durableId="1317106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A32"/>
    <w:rsid w:val="00055811"/>
    <w:rsid w:val="000E3C5A"/>
    <w:rsid w:val="0015790C"/>
    <w:rsid w:val="00200D5B"/>
    <w:rsid w:val="00264E9D"/>
    <w:rsid w:val="002A0C4D"/>
    <w:rsid w:val="00332BF9"/>
    <w:rsid w:val="00354148"/>
    <w:rsid w:val="00627A32"/>
    <w:rsid w:val="00652E61"/>
    <w:rsid w:val="0067500F"/>
    <w:rsid w:val="00707CC3"/>
    <w:rsid w:val="00714C03"/>
    <w:rsid w:val="008E2219"/>
    <w:rsid w:val="008E6D07"/>
    <w:rsid w:val="00A44E7F"/>
    <w:rsid w:val="00A6750D"/>
    <w:rsid w:val="00B2476A"/>
    <w:rsid w:val="00B4248F"/>
    <w:rsid w:val="00BB2CE4"/>
    <w:rsid w:val="00C11A4E"/>
    <w:rsid w:val="00C574A4"/>
    <w:rsid w:val="00CE6CBE"/>
    <w:rsid w:val="00DE55CB"/>
    <w:rsid w:val="00E479BD"/>
    <w:rsid w:val="00F5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8206E"/>
  <w15:chartTrackingRefBased/>
  <w15:docId w15:val="{C421005B-4228-4C92-9840-64553474C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7A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7A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7A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7A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7A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7A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7A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7A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7A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7A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7A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7A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7A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7A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7A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7A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7A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7A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7A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7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7A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A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7A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7A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7A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7A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7A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7A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7A3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27A3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7A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B2CE4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54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22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ews.mayocliniclabs.com/select-agents-modu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Newman, Kim</dc:creator>
  <cp:keywords/>
  <dc:description/>
  <cp:lastModifiedBy>Mashek, Jenna</cp:lastModifiedBy>
  <cp:revision>7</cp:revision>
  <cp:lastPrinted>2024-10-11T16:43:00Z</cp:lastPrinted>
  <dcterms:created xsi:type="dcterms:W3CDTF">2024-10-11T16:04:00Z</dcterms:created>
  <dcterms:modified xsi:type="dcterms:W3CDTF">2024-10-26T16:42:00Z</dcterms:modified>
</cp:coreProperties>
</file>