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B6F3" w14:textId="3C8ED690" w:rsidR="000D024B" w:rsidRDefault="00CD6D02" w:rsidP="00CD6D02">
      <w:pPr>
        <w:jc w:val="center"/>
      </w:pPr>
      <w:r>
        <w:t>Diabetes</w:t>
      </w:r>
    </w:p>
    <w:p w14:paraId="3CEA2764" w14:textId="77777777" w:rsidR="00CD6D02" w:rsidRDefault="00CD6D02" w:rsidP="00CD6D02">
      <w:r>
        <w:t>American Diabetes Association Guidelines Standards of Medical Care in Diabetes-2022. Section 10. Cardiovascular Disease and Risk Management</w:t>
      </w:r>
    </w:p>
    <w:p w14:paraId="7DF60BCE" w14:textId="77777777" w:rsidR="00CD6D02" w:rsidRDefault="00CD6D02" w:rsidP="00CD6D02">
      <w:r>
        <w:t>Diabetes and Hypertension: A Position Statement by The American Diabetes Association August 14, 2017</w:t>
      </w:r>
    </w:p>
    <w:p w14:paraId="632FCDED" w14:textId="77777777" w:rsidR="00CD6D02" w:rsidRDefault="00CD6D02" w:rsidP="00CD6D02">
      <w:r>
        <w:t xml:space="preserve">Validation Status of Blood Pressure Measuring Devices Sold Globally, JAMA Feb 15, 2022 </w:t>
      </w:r>
    </w:p>
    <w:p w14:paraId="4ECA2B40" w14:textId="573856D6" w:rsidR="00CD6D02" w:rsidRDefault="00CD6D02" w:rsidP="00CD6D02">
      <w:pPr>
        <w:jc w:val="center"/>
      </w:pPr>
      <w:r>
        <w:t>Asthma</w:t>
      </w:r>
    </w:p>
    <w:p w14:paraId="7B7ACC5B"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When Asthma Is Not Just Asthma: Type 2 Inflammation (</w:t>
      </w:r>
      <w:proofErr w:type="gramStart"/>
      <w:r w:rsidRPr="00CD6D02">
        <w:rPr>
          <w:rFonts w:eastAsia="Times New Roman"/>
        </w:rPr>
        <w:t>n.d.).</w:t>
      </w:r>
      <w:proofErr w:type="gramEnd"/>
      <w:r w:rsidRPr="00CD6D02">
        <w:rPr>
          <w:rFonts w:eastAsia="Times New Roman"/>
        </w:rPr>
        <w:t xml:space="preserve"> Allergy &amp; Asthma Network website. Accessed November 17, 2018. https://allergyasthmanetwork.org/news/when-asthma-not-just-asthma-type-inflammation/</w:t>
      </w:r>
    </w:p>
    <w:p w14:paraId="30FEBE37" w14:textId="77777777" w:rsidR="00CD6D02" w:rsidRPr="00CD6D02" w:rsidRDefault="00CD6D02" w:rsidP="00CD6D02">
      <w:pPr>
        <w:numPr>
          <w:ilvl w:val="0"/>
          <w:numId w:val="1"/>
        </w:numPr>
        <w:spacing w:before="100" w:beforeAutospacing="1" w:after="100" w:afterAutospacing="1" w:line="240" w:lineRule="auto"/>
        <w:rPr>
          <w:rFonts w:eastAsia="Times New Roman"/>
        </w:rPr>
      </w:pPr>
      <w:proofErr w:type="spellStart"/>
      <w:r w:rsidRPr="00CD6D02">
        <w:rPr>
          <w:rFonts w:eastAsia="Times New Roman"/>
        </w:rPr>
        <w:t>Doroudchi</w:t>
      </w:r>
      <w:proofErr w:type="spellEnd"/>
      <w:r w:rsidRPr="00CD6D02">
        <w:rPr>
          <w:rFonts w:eastAsia="Times New Roman"/>
        </w:rPr>
        <w:t xml:space="preserve"> A, </w:t>
      </w:r>
      <w:proofErr w:type="spellStart"/>
      <w:r w:rsidRPr="00CD6D02">
        <w:rPr>
          <w:rFonts w:eastAsia="Times New Roman"/>
        </w:rPr>
        <w:t>Pathria</w:t>
      </w:r>
      <w:proofErr w:type="spellEnd"/>
      <w:r w:rsidRPr="00CD6D02">
        <w:rPr>
          <w:rFonts w:eastAsia="Times New Roman"/>
        </w:rPr>
        <w:t xml:space="preserve"> M, Modena BD. Asthma biologics: Comparing trial designs, patient cohorts and study results. Ann Allergy Asthma Immunol 2020;124(1):44-56.</w:t>
      </w:r>
    </w:p>
    <w:p w14:paraId="37D400E6"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Global Initiative for Asthma. Global Strategy for Asthma Management and Prevention, 2021 (n.d.). Global Initiative for Asthma website. Accessed November 16, 2021. https://ginasthma.org/wp-content/uploads/2021/05/GINA-Main-Report-2021-V2-WMS.pdf</w:t>
      </w:r>
    </w:p>
    <w:p w14:paraId="5B3344E1"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Expert Panel Working Group of the National Heart, Lung, and Blood Institute (NHLBI) administered and coordinated National Asthma Education and Prevention Program Coordinating Committee (NAEPPCC), Cloutier MM, Baptist AP, Blake KV, et al. 2020 Focused Updates to the Asthma Management Guidelines: A Report from the National Asthma Education and Prevention Program Coordinating Committee Expert Panel Working Group. J Allergy Clin Immunol 2020;146(6):1217-1270.</w:t>
      </w:r>
    </w:p>
    <w:p w14:paraId="58E656F6"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 xml:space="preserve"> McGregor MC, </w:t>
      </w:r>
      <w:proofErr w:type="spellStart"/>
      <w:r w:rsidRPr="00CD6D02">
        <w:rPr>
          <w:rFonts w:eastAsia="Times New Roman"/>
        </w:rPr>
        <w:t>Krings</w:t>
      </w:r>
      <w:proofErr w:type="spellEnd"/>
      <w:r w:rsidRPr="00CD6D02">
        <w:rPr>
          <w:rFonts w:eastAsia="Times New Roman"/>
        </w:rPr>
        <w:t xml:space="preserve"> JG, Nair P, Castro M. Role of Biologics in Asthma. Am J Respir Crit Care Med 2019;199(4):433-445.</w:t>
      </w:r>
    </w:p>
    <w:p w14:paraId="17A2F270"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 xml:space="preserve">Xolair [package insert]. San Francisco, CA: </w:t>
      </w:r>
      <w:proofErr w:type="spellStart"/>
      <w:r w:rsidRPr="00CD6D02">
        <w:rPr>
          <w:rFonts w:eastAsia="Times New Roman"/>
        </w:rPr>
        <w:t>Genetech</w:t>
      </w:r>
      <w:proofErr w:type="spellEnd"/>
      <w:r w:rsidRPr="00CD6D02">
        <w:rPr>
          <w:rFonts w:eastAsia="Times New Roman"/>
        </w:rPr>
        <w:t xml:space="preserve"> Inc.; 2021 April.</w:t>
      </w:r>
    </w:p>
    <w:p w14:paraId="613B68B6"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Nucala [package insert]. Philadelphia, PA: GlaxoSmithKline LLC; 2019 September.</w:t>
      </w:r>
    </w:p>
    <w:p w14:paraId="3F2CE688"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 xml:space="preserve">Fasenra [package insert]. </w:t>
      </w:r>
      <w:proofErr w:type="spellStart"/>
      <w:r w:rsidRPr="00CD6D02">
        <w:rPr>
          <w:rFonts w:eastAsia="Times New Roman"/>
        </w:rPr>
        <w:t>Södertälje</w:t>
      </w:r>
      <w:proofErr w:type="spellEnd"/>
      <w:r w:rsidRPr="00CD6D02">
        <w:rPr>
          <w:rFonts w:eastAsia="Times New Roman"/>
        </w:rPr>
        <w:t>, Sweden: AstraZeneca AB; 2019 October.</w:t>
      </w:r>
    </w:p>
    <w:p w14:paraId="3894D622" w14:textId="77777777" w:rsidR="00CD6D02" w:rsidRPr="00CD6D02" w:rsidRDefault="00CD6D02" w:rsidP="00CD6D02">
      <w:pPr>
        <w:numPr>
          <w:ilvl w:val="0"/>
          <w:numId w:val="1"/>
        </w:numPr>
        <w:spacing w:before="100" w:beforeAutospacing="1" w:after="100" w:afterAutospacing="1" w:line="240" w:lineRule="auto"/>
        <w:rPr>
          <w:rFonts w:eastAsia="Times New Roman"/>
        </w:rPr>
      </w:pPr>
      <w:proofErr w:type="spellStart"/>
      <w:r w:rsidRPr="00CD6D02">
        <w:rPr>
          <w:rFonts w:eastAsia="Times New Roman"/>
        </w:rPr>
        <w:t>Cinquair</w:t>
      </w:r>
      <w:proofErr w:type="spellEnd"/>
      <w:r w:rsidRPr="00CD6D02">
        <w:rPr>
          <w:rFonts w:eastAsia="Times New Roman"/>
        </w:rPr>
        <w:t xml:space="preserve"> [package insert]. Frazer, PA: Teva Respiratory, LLC; 2019 January.</w:t>
      </w:r>
    </w:p>
    <w:p w14:paraId="40E7B151" w14:textId="77777777" w:rsidR="00CD6D02" w:rsidRPr="00CD6D02" w:rsidRDefault="00CD6D02" w:rsidP="00CD6D02">
      <w:pPr>
        <w:numPr>
          <w:ilvl w:val="0"/>
          <w:numId w:val="1"/>
        </w:numPr>
        <w:spacing w:before="100" w:beforeAutospacing="1" w:after="100" w:afterAutospacing="1" w:line="240" w:lineRule="auto"/>
        <w:rPr>
          <w:rFonts w:eastAsia="Times New Roman"/>
        </w:rPr>
      </w:pPr>
      <w:r w:rsidRPr="00CD6D02">
        <w:rPr>
          <w:rFonts w:eastAsia="Times New Roman"/>
        </w:rPr>
        <w:t>Dupixent [package insert]. Tarrytown, NY: Regeneron Pharmaceuticals, Inc.; 2021 October.</w:t>
      </w:r>
    </w:p>
    <w:p w14:paraId="2768325A" w14:textId="77777777" w:rsidR="00CD6D02" w:rsidRDefault="00CD6D02" w:rsidP="00CD6D02"/>
    <w:sectPr w:rsidR="00CD6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131BB"/>
    <w:multiLevelType w:val="multilevel"/>
    <w:tmpl w:val="0CAC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02"/>
    <w:rsid w:val="000D024B"/>
    <w:rsid w:val="00CD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0397"/>
  <w15:chartTrackingRefBased/>
  <w15:docId w15:val="{E11E4ED2-D3DD-41CF-A91E-8AECA5CA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45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Syckle, Jennifer</dc:creator>
  <cp:keywords/>
  <dc:description/>
  <cp:lastModifiedBy>Van Syckle, Jennifer</cp:lastModifiedBy>
  <cp:revision>1</cp:revision>
  <dcterms:created xsi:type="dcterms:W3CDTF">2022-02-25T20:24:00Z</dcterms:created>
  <dcterms:modified xsi:type="dcterms:W3CDTF">2022-02-25T20:26:00Z</dcterms:modified>
</cp:coreProperties>
</file>