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7996" w14:textId="490EAA21" w:rsidR="002E07F3" w:rsidRDefault="001D27B4">
      <w:pPr>
        <w:rPr>
          <w:b/>
          <w:bCs/>
        </w:rPr>
      </w:pPr>
      <w:r>
        <w:rPr>
          <w:b/>
          <w:bCs/>
        </w:rPr>
        <w:t>2.1</w:t>
      </w:r>
      <w:r w:rsidR="000500A6">
        <w:rPr>
          <w:b/>
          <w:bCs/>
        </w:rPr>
        <w:t>8</w:t>
      </w:r>
      <w:r>
        <w:rPr>
          <w:b/>
          <w:bCs/>
        </w:rPr>
        <w:t>.2022</w:t>
      </w:r>
    </w:p>
    <w:p w14:paraId="1818D679" w14:textId="1E245F41" w:rsidR="00842292" w:rsidRPr="001C6E07" w:rsidRDefault="00842292">
      <w:pPr>
        <w:rPr>
          <w:b/>
          <w:bCs/>
        </w:rPr>
      </w:pPr>
      <w:r w:rsidRPr="001850F5">
        <w:rPr>
          <w:b/>
          <w:bCs/>
        </w:rPr>
        <w:t xml:space="preserve">Implementing Universal </w:t>
      </w:r>
      <w:r w:rsidR="001C6E07" w:rsidRPr="001850F5">
        <w:rPr>
          <w:b/>
          <w:bCs/>
        </w:rPr>
        <w:t xml:space="preserve">Use of Eye Protection </w:t>
      </w:r>
      <w:r w:rsidRPr="001850F5">
        <w:rPr>
          <w:b/>
          <w:bCs/>
        </w:rPr>
        <w:t xml:space="preserve">When Community Transmission of COVID-19 </w:t>
      </w:r>
      <w:r w:rsidR="00707C8A" w:rsidRPr="001850F5">
        <w:rPr>
          <w:b/>
          <w:bCs/>
        </w:rPr>
        <w:t xml:space="preserve">is </w:t>
      </w:r>
      <w:r w:rsidRPr="001850F5">
        <w:rPr>
          <w:b/>
          <w:bCs/>
        </w:rPr>
        <w:t>High or Substantial</w:t>
      </w:r>
    </w:p>
    <w:p w14:paraId="0D255C6A" w14:textId="7466FD61" w:rsidR="004C6B11" w:rsidRDefault="00842292" w:rsidP="004C6B11">
      <w:pPr>
        <w:pStyle w:val="NormalWeb"/>
      </w:pPr>
      <w:r>
        <w:t xml:space="preserve">The level of community transmission of COVID-19 directs the personal protective equipment (PPE) recommendations for individual health care workers (HCWs). </w:t>
      </w:r>
      <w:r w:rsidR="004C6B11">
        <w:t xml:space="preserve">The CDC COVID Data Tracker </w:t>
      </w:r>
      <w:r w:rsidR="00707C8A">
        <w:t>should</w:t>
      </w:r>
      <w:r w:rsidR="004C6B11">
        <w:t xml:space="preserve"> be used to assess the level of community transmission </w:t>
      </w:r>
      <w:hyperlink r:id="rId5" w:anchor="county-view?list_select_state=all_states&amp;list_select_county=all_counties&amp;data-type=Risk" w:history="1">
        <w:r w:rsidR="004C6B11">
          <w:rPr>
            <w:rStyle w:val="Hyperlink"/>
          </w:rPr>
          <w:t>CDC COVID Data Tracker</w:t>
        </w:r>
      </w:hyperlink>
      <w:r w:rsidR="00707C8A">
        <w:rPr>
          <w:rStyle w:val="Hyperlink"/>
        </w:rPr>
        <w:t>.</w:t>
      </w:r>
    </w:p>
    <w:p w14:paraId="424E8963" w14:textId="2CC9860B" w:rsidR="004C6B11" w:rsidRDefault="00842292" w:rsidP="00842292">
      <w:pPr>
        <w:pStyle w:val="NormalWeb"/>
      </w:pPr>
      <w:r>
        <w:t xml:space="preserve">HCWs </w:t>
      </w:r>
      <w:r w:rsidR="001C6E07">
        <w:t xml:space="preserve">working </w:t>
      </w:r>
      <w:r>
        <w:t xml:space="preserve">in facilities located in </w:t>
      </w:r>
      <w:r w:rsidR="001C6E07">
        <w:t>counties</w:t>
      </w:r>
      <w:r>
        <w:t xml:space="preserve"> with </w:t>
      </w:r>
      <w:r w:rsidR="004C6B11">
        <w:t>substantial</w:t>
      </w:r>
      <w:r>
        <w:t xml:space="preserve"> to </w:t>
      </w:r>
      <w:r w:rsidR="004C6B11">
        <w:t>high</w:t>
      </w:r>
      <w:r>
        <w:t xml:space="preserve"> community transmission are more likely to encounter asymptomatic or pre-symptomatic</w:t>
      </w:r>
      <w:r w:rsidR="004C6B11">
        <w:t xml:space="preserve"> </w:t>
      </w:r>
      <w:r>
        <w:t xml:space="preserve">residents with SARS-CoV-2 infection. </w:t>
      </w:r>
      <w:r w:rsidR="004C6B11" w:rsidRPr="001850F5">
        <w:t>HCWs working in counties with substantial or high transmission should wear eye protection (i.e., goggles or a face shield that covers the front and sides of the face) during all resident encounters.</w:t>
      </w:r>
      <w:r w:rsidR="004C6B11">
        <w:t xml:space="preserve"> </w:t>
      </w:r>
    </w:p>
    <w:p w14:paraId="0F563D43" w14:textId="77777777" w:rsidR="00842292" w:rsidRDefault="00842292" w:rsidP="00842292">
      <w:pPr>
        <w:pStyle w:val="NormalWeb"/>
      </w:pPr>
      <w:r>
        <w:t>MDH recommendations:</w:t>
      </w:r>
    </w:p>
    <w:p w14:paraId="75230925" w14:textId="77777777" w:rsidR="001D27B4" w:rsidRDefault="001C6E07" w:rsidP="00842292">
      <w:pPr>
        <w:numPr>
          <w:ilvl w:val="0"/>
          <w:numId w:val="2"/>
        </w:numPr>
        <w:spacing w:before="100" w:beforeAutospacing="1" w:after="100" w:afterAutospacing="1" w:line="240" w:lineRule="auto"/>
        <w:rPr>
          <w:rStyle w:val="Strong"/>
          <w:rFonts w:eastAsia="Times New Roman"/>
          <w:b w:val="0"/>
          <w:bCs w:val="0"/>
        </w:rPr>
      </w:pPr>
      <w:r w:rsidRPr="00AE4D5F">
        <w:rPr>
          <w:rStyle w:val="Strong"/>
          <w:rFonts w:eastAsia="Times New Roman"/>
          <w:b w:val="0"/>
          <w:bCs w:val="0"/>
        </w:rPr>
        <w:t>Health</w:t>
      </w:r>
      <w:r>
        <w:rPr>
          <w:rStyle w:val="Strong"/>
          <w:rFonts w:eastAsia="Times New Roman"/>
          <w:b w:val="0"/>
          <w:bCs w:val="0"/>
        </w:rPr>
        <w:t xml:space="preserve"> care facilities</w:t>
      </w:r>
      <w:r w:rsidR="00F36B1A">
        <w:rPr>
          <w:rStyle w:val="Strong"/>
          <w:rFonts w:eastAsia="Times New Roman"/>
          <w:b w:val="0"/>
          <w:bCs w:val="0"/>
        </w:rPr>
        <w:t xml:space="preserve"> should </w:t>
      </w:r>
      <w:r>
        <w:rPr>
          <w:rStyle w:val="Strong"/>
          <w:rFonts w:eastAsia="Times New Roman"/>
          <w:b w:val="0"/>
          <w:bCs w:val="0"/>
        </w:rPr>
        <w:t xml:space="preserve">have policies </w:t>
      </w:r>
      <w:r w:rsidR="00F36B1A">
        <w:rPr>
          <w:rStyle w:val="Strong"/>
          <w:rFonts w:eastAsia="Times New Roman"/>
          <w:b w:val="0"/>
          <w:bCs w:val="0"/>
        </w:rPr>
        <w:t xml:space="preserve">and procedures </w:t>
      </w:r>
      <w:r w:rsidR="0026244C">
        <w:rPr>
          <w:rStyle w:val="Strong"/>
          <w:rFonts w:eastAsia="Times New Roman"/>
          <w:b w:val="0"/>
          <w:bCs w:val="0"/>
        </w:rPr>
        <w:t xml:space="preserve">regarding </w:t>
      </w:r>
      <w:r w:rsidR="004A7F58">
        <w:rPr>
          <w:rStyle w:val="Strong"/>
          <w:rFonts w:eastAsia="Times New Roman"/>
          <w:b w:val="0"/>
          <w:bCs w:val="0"/>
        </w:rPr>
        <w:t>universal use of eye protection</w:t>
      </w:r>
      <w:r w:rsidR="00F36B1A">
        <w:rPr>
          <w:rStyle w:val="Strong"/>
          <w:rFonts w:eastAsia="Times New Roman"/>
          <w:b w:val="0"/>
          <w:bCs w:val="0"/>
        </w:rPr>
        <w:t xml:space="preserve">. </w:t>
      </w:r>
      <w:r w:rsidR="007D3B58">
        <w:rPr>
          <w:rStyle w:val="Strong"/>
          <w:rFonts w:eastAsia="Times New Roman"/>
          <w:b w:val="0"/>
          <w:bCs w:val="0"/>
        </w:rPr>
        <w:t xml:space="preserve">The facility should define resident care encounters internally and educate staff on use of universal eye protection. </w:t>
      </w:r>
    </w:p>
    <w:p w14:paraId="353CC49D" w14:textId="4A514249" w:rsidR="001B4AF1" w:rsidRPr="001850F5" w:rsidRDefault="0026244C" w:rsidP="001B4AF1">
      <w:pPr>
        <w:numPr>
          <w:ilvl w:val="0"/>
          <w:numId w:val="2"/>
        </w:numPr>
        <w:spacing w:before="100" w:beforeAutospacing="1" w:after="100" w:afterAutospacing="1" w:line="240" w:lineRule="auto"/>
        <w:rPr>
          <w:rStyle w:val="Strong"/>
          <w:rFonts w:eastAsia="Times New Roman"/>
          <w:b w:val="0"/>
          <w:bCs w:val="0"/>
        </w:rPr>
      </w:pPr>
      <w:r w:rsidRPr="001850F5">
        <w:rPr>
          <w:rStyle w:val="Strong"/>
          <w:rFonts w:eastAsia="Times New Roman"/>
          <w:b w:val="0"/>
          <w:bCs w:val="0"/>
        </w:rPr>
        <w:t>A process should be in place regarding proper storage, use, cleaning</w:t>
      </w:r>
      <w:r w:rsidR="00E504EE">
        <w:rPr>
          <w:rStyle w:val="Strong"/>
          <w:rFonts w:eastAsia="Times New Roman"/>
          <w:b w:val="0"/>
          <w:bCs w:val="0"/>
        </w:rPr>
        <w:t>,</w:t>
      </w:r>
      <w:r w:rsidRPr="001850F5">
        <w:rPr>
          <w:rStyle w:val="Strong"/>
          <w:rFonts w:eastAsia="Times New Roman"/>
          <w:b w:val="0"/>
          <w:bCs w:val="0"/>
        </w:rPr>
        <w:t xml:space="preserve"> and disinfection</w:t>
      </w:r>
      <w:r w:rsidR="009B710D" w:rsidRPr="001850F5">
        <w:rPr>
          <w:rStyle w:val="Strong"/>
          <w:rFonts w:eastAsia="Times New Roman"/>
          <w:b w:val="0"/>
          <w:bCs w:val="0"/>
        </w:rPr>
        <w:t xml:space="preserve"> </w:t>
      </w:r>
      <w:r w:rsidR="00E504EE">
        <w:rPr>
          <w:rStyle w:val="Strong"/>
          <w:rFonts w:eastAsia="Times New Roman"/>
          <w:b w:val="0"/>
          <w:bCs w:val="0"/>
        </w:rPr>
        <w:t>of</w:t>
      </w:r>
      <w:r w:rsidR="009B710D" w:rsidRPr="001850F5">
        <w:rPr>
          <w:rStyle w:val="Strong"/>
          <w:rFonts w:eastAsia="Times New Roman"/>
          <w:b w:val="0"/>
          <w:bCs w:val="0"/>
        </w:rPr>
        <w:t xml:space="preserve"> eye protection</w:t>
      </w:r>
      <w:r w:rsidRPr="001850F5">
        <w:rPr>
          <w:rStyle w:val="Strong"/>
          <w:rFonts w:eastAsia="Times New Roman"/>
          <w:b w:val="0"/>
          <w:bCs w:val="0"/>
        </w:rPr>
        <w:t>.</w:t>
      </w:r>
      <w:r w:rsidR="001D27B4" w:rsidRPr="001850F5">
        <w:rPr>
          <w:rStyle w:val="Strong"/>
          <w:rFonts w:eastAsia="Times New Roman"/>
          <w:b w:val="0"/>
          <w:bCs w:val="0"/>
        </w:rPr>
        <w:t xml:space="preserve"> </w:t>
      </w:r>
      <w:r w:rsidR="001B4AF1" w:rsidRPr="001850F5">
        <w:rPr>
          <w:rStyle w:val="Strong"/>
          <w:rFonts w:eastAsia="Times New Roman"/>
          <w:b w:val="0"/>
          <w:bCs w:val="0"/>
        </w:rPr>
        <w:t xml:space="preserve">See CDC recommendations below: </w:t>
      </w:r>
      <w:hyperlink r:id="rId6" w:history="1">
        <w:r w:rsidR="001B4AF1" w:rsidRPr="001850F5">
          <w:rPr>
            <w:color w:val="0000FF"/>
            <w:u w:val="single"/>
          </w:rPr>
          <w:t>Strategies for Optimizing the Supply of Eye Protection: COVID-19 | CDC</w:t>
        </w:r>
      </w:hyperlink>
    </w:p>
    <w:p w14:paraId="67DE1E8F" w14:textId="77777777" w:rsidR="001B4AF1" w:rsidRPr="001B4AF1" w:rsidRDefault="001B4AF1" w:rsidP="001B4AF1">
      <w:pPr>
        <w:pStyle w:val="NormalWeb"/>
        <w:shd w:val="clear" w:color="auto" w:fill="FFFFFF"/>
        <w:spacing w:before="0" w:beforeAutospacing="0"/>
        <w:ind w:left="720"/>
        <w:rPr>
          <w:rFonts w:asciiTheme="minorHAnsi" w:hAnsiTheme="minorHAnsi" w:cstheme="minorHAnsi"/>
          <w:i/>
          <w:iCs/>
          <w:color w:val="000000"/>
        </w:rPr>
      </w:pPr>
      <w:r w:rsidRPr="001B4AF1">
        <w:rPr>
          <w:rFonts w:asciiTheme="minorHAnsi" w:hAnsiTheme="minorHAnsi" w:cstheme="minorHAnsi"/>
          <w:i/>
          <w:iCs/>
          <w:color w:val="000000"/>
        </w:rPr>
        <w:t>Extended use of eye protection is the practice of wearing the same eye protection for repeated close contact encounters with several different patients, without removing eye protection between patient encounters. Extended use of eye protection can be applied to disposable and reusable devices.</w:t>
      </w:r>
    </w:p>
    <w:p w14:paraId="4F473A9A" w14:textId="12F2BC58" w:rsidR="001B4AF1" w:rsidRPr="001B4AF1" w:rsidRDefault="001B4AF1" w:rsidP="001B4AF1">
      <w:pPr>
        <w:pStyle w:val="NormalWeb"/>
        <w:shd w:val="clear" w:color="auto" w:fill="FFFFFF"/>
        <w:spacing w:before="0" w:beforeAutospacing="0"/>
        <w:ind w:left="720"/>
        <w:rPr>
          <w:rFonts w:asciiTheme="minorHAnsi" w:hAnsiTheme="minorHAnsi" w:cstheme="minorHAnsi"/>
          <w:i/>
          <w:iCs/>
          <w:color w:val="000000"/>
        </w:rPr>
      </w:pPr>
      <w:r w:rsidRPr="001850F5">
        <w:rPr>
          <w:rFonts w:asciiTheme="minorHAnsi" w:hAnsiTheme="minorHAnsi" w:cstheme="minorHAnsi"/>
          <w:i/>
          <w:iCs/>
          <w:color w:val="000000"/>
        </w:rPr>
        <w:t>In </w:t>
      </w:r>
      <w:hyperlink r:id="rId7" w:anchor="county-view" w:history="1">
        <w:r w:rsidRPr="001850F5">
          <w:rPr>
            <w:rStyle w:val="Hyperlink"/>
            <w:rFonts w:asciiTheme="minorHAnsi" w:hAnsiTheme="minorHAnsi" w:cstheme="minorHAnsi"/>
            <w:i/>
            <w:iCs/>
            <w:color w:val="075290"/>
          </w:rPr>
          <w:t>areas of substantial to high transmission</w:t>
        </w:r>
      </w:hyperlink>
      <w:r w:rsidRPr="001850F5">
        <w:rPr>
          <w:rFonts w:asciiTheme="minorHAnsi" w:hAnsiTheme="minorHAnsi" w:cstheme="minorHAnsi"/>
          <w:i/>
          <w:iCs/>
          <w:color w:val="000000"/>
        </w:rPr>
        <w:t> in which HC</w:t>
      </w:r>
      <w:r w:rsidR="000500A6">
        <w:rPr>
          <w:rFonts w:asciiTheme="minorHAnsi" w:hAnsiTheme="minorHAnsi" w:cstheme="minorHAnsi"/>
          <w:i/>
          <w:iCs/>
          <w:color w:val="000000"/>
        </w:rPr>
        <w:t>W</w:t>
      </w:r>
      <w:r w:rsidRPr="001850F5">
        <w:rPr>
          <w:rFonts w:asciiTheme="minorHAnsi" w:hAnsiTheme="minorHAnsi" w:cstheme="minorHAnsi"/>
          <w:i/>
          <w:iCs/>
          <w:color w:val="000000"/>
        </w:rPr>
        <w:t xml:space="preserve"> are using eye protection for all patient encounters, extended use of eye protection may be considered as a conventional capacity strategy</w:t>
      </w:r>
      <w:r w:rsidRPr="001B4AF1">
        <w:rPr>
          <w:rFonts w:asciiTheme="minorHAnsi" w:hAnsiTheme="minorHAnsi" w:cstheme="minorHAnsi"/>
          <w:i/>
          <w:iCs/>
          <w:color w:val="000000"/>
        </w:rPr>
        <w:t>.</w:t>
      </w:r>
    </w:p>
    <w:p w14:paraId="7A9FF9F0" w14:textId="77777777" w:rsidR="001B4AF1" w:rsidRPr="001B4AF1" w:rsidRDefault="001B4AF1" w:rsidP="001B4AF1">
      <w:pPr>
        <w:numPr>
          <w:ilvl w:val="1"/>
          <w:numId w:val="2"/>
        </w:numPr>
        <w:shd w:val="clear" w:color="auto" w:fill="FFFFFF"/>
        <w:spacing w:before="100" w:beforeAutospacing="1" w:after="100" w:afterAutospacing="1" w:line="240" w:lineRule="auto"/>
        <w:rPr>
          <w:rFonts w:cstheme="minorHAnsi"/>
          <w:i/>
          <w:iCs/>
          <w:color w:val="000000"/>
        </w:rPr>
      </w:pPr>
      <w:r w:rsidRPr="001B4AF1">
        <w:rPr>
          <w:rFonts w:cstheme="minorHAnsi"/>
          <w:i/>
          <w:iCs/>
          <w:color w:val="000000"/>
        </w:rPr>
        <w:t>Eye protection should be removed, cleaned, and disinfected if it becomes visibly soiled or difficult to see through.</w:t>
      </w:r>
    </w:p>
    <w:p w14:paraId="66445DC7" w14:textId="0E979267" w:rsidR="001B4AF1" w:rsidRPr="001B4AF1" w:rsidRDefault="001B4AF1" w:rsidP="001B4AF1">
      <w:pPr>
        <w:numPr>
          <w:ilvl w:val="1"/>
          <w:numId w:val="2"/>
        </w:numPr>
        <w:shd w:val="clear" w:color="auto" w:fill="FFFFFF"/>
        <w:spacing w:before="100" w:beforeAutospacing="1" w:after="0" w:line="240" w:lineRule="auto"/>
        <w:rPr>
          <w:rFonts w:cstheme="minorHAnsi"/>
          <w:i/>
          <w:iCs/>
          <w:color w:val="000000"/>
        </w:rPr>
      </w:pPr>
      <w:r w:rsidRPr="001B4AF1">
        <w:rPr>
          <w:rFonts w:cstheme="minorHAnsi"/>
          <w:i/>
          <w:iCs/>
          <w:color w:val="000000"/>
        </w:rPr>
        <w:t>If a disposable face shield or goggles is cleaned and disinfected, it should be dedicated to one HC</w:t>
      </w:r>
      <w:r w:rsidR="000500A6">
        <w:rPr>
          <w:rFonts w:cstheme="minorHAnsi"/>
          <w:i/>
          <w:iCs/>
          <w:color w:val="000000"/>
        </w:rPr>
        <w:t>W</w:t>
      </w:r>
      <w:r w:rsidRPr="001B4AF1">
        <w:rPr>
          <w:rFonts w:cstheme="minorHAnsi"/>
          <w:i/>
          <w:iCs/>
          <w:color w:val="000000"/>
        </w:rPr>
        <w:t xml:space="preserve"> and cleaned and disinfected whenever it is visibly soiled or removed (e.g., when leaving the isolation area) prior to putting it back on. </w:t>
      </w:r>
    </w:p>
    <w:p w14:paraId="67CE8337" w14:textId="77777777" w:rsidR="001B4AF1" w:rsidRPr="001B4AF1" w:rsidRDefault="001B4AF1" w:rsidP="001B4AF1">
      <w:pPr>
        <w:numPr>
          <w:ilvl w:val="1"/>
          <w:numId w:val="2"/>
        </w:numPr>
        <w:shd w:val="clear" w:color="auto" w:fill="FFFFFF"/>
        <w:spacing w:before="100" w:beforeAutospacing="1" w:after="100" w:afterAutospacing="1" w:line="240" w:lineRule="auto"/>
        <w:rPr>
          <w:rFonts w:cstheme="minorHAnsi"/>
          <w:i/>
          <w:iCs/>
          <w:color w:val="000000"/>
        </w:rPr>
      </w:pPr>
      <w:r w:rsidRPr="001B4AF1">
        <w:rPr>
          <w:rFonts w:cstheme="minorHAnsi"/>
          <w:i/>
          <w:iCs/>
          <w:color w:val="000000"/>
        </w:rPr>
        <w:t>Eye protection should be discarded if damaged (e.g., face shield or goggles can no longer fasten securely to the provider, if visibility is obscured and cleaning and disinfecting does not restore visibility).</w:t>
      </w:r>
    </w:p>
    <w:p w14:paraId="788CD2B5" w14:textId="40E4846B" w:rsidR="001B4AF1" w:rsidRPr="001B4AF1" w:rsidRDefault="001B4AF1" w:rsidP="001B4AF1">
      <w:pPr>
        <w:numPr>
          <w:ilvl w:val="1"/>
          <w:numId w:val="2"/>
        </w:numPr>
        <w:shd w:val="clear" w:color="auto" w:fill="FFFFFF"/>
        <w:spacing w:before="100" w:beforeAutospacing="1" w:after="100" w:afterAutospacing="1" w:line="240" w:lineRule="auto"/>
        <w:rPr>
          <w:rFonts w:cstheme="minorHAnsi"/>
          <w:i/>
          <w:iCs/>
          <w:color w:val="000000"/>
        </w:rPr>
      </w:pPr>
      <w:r w:rsidRPr="001B4AF1">
        <w:rPr>
          <w:rFonts w:cstheme="minorHAnsi"/>
          <w:i/>
          <w:iCs/>
          <w:color w:val="000000"/>
        </w:rPr>
        <w:t>HC</w:t>
      </w:r>
      <w:r w:rsidR="000500A6">
        <w:rPr>
          <w:rFonts w:cstheme="minorHAnsi"/>
          <w:i/>
          <w:iCs/>
          <w:color w:val="000000"/>
        </w:rPr>
        <w:t>W</w:t>
      </w:r>
      <w:r w:rsidRPr="001B4AF1">
        <w:rPr>
          <w:rFonts w:cstheme="minorHAnsi"/>
          <w:i/>
          <w:iCs/>
          <w:color w:val="000000"/>
        </w:rPr>
        <w:t xml:space="preserve"> should take care not to touch their eye protection. If they touch or adjust their eye protection, they must immediately perform hand hygiene.</w:t>
      </w:r>
    </w:p>
    <w:p w14:paraId="69512A0B" w14:textId="084463D8" w:rsidR="001D27B4" w:rsidRPr="001B4AF1" w:rsidRDefault="001B4AF1" w:rsidP="001B4AF1">
      <w:pPr>
        <w:numPr>
          <w:ilvl w:val="1"/>
          <w:numId w:val="2"/>
        </w:numPr>
        <w:shd w:val="clear" w:color="auto" w:fill="FFFFFF"/>
        <w:spacing w:before="100" w:beforeAutospacing="1" w:after="0" w:line="240" w:lineRule="auto"/>
        <w:rPr>
          <w:rStyle w:val="Strong"/>
          <w:rFonts w:cstheme="minorHAnsi"/>
          <w:b w:val="0"/>
          <w:bCs w:val="0"/>
          <w:i/>
          <w:iCs/>
          <w:color w:val="000000"/>
        </w:rPr>
      </w:pPr>
      <w:r w:rsidRPr="001B4AF1">
        <w:rPr>
          <w:rFonts w:cstheme="minorHAnsi"/>
          <w:i/>
          <w:iCs/>
          <w:color w:val="000000"/>
        </w:rPr>
        <w:t>HC</w:t>
      </w:r>
      <w:r w:rsidR="000500A6">
        <w:rPr>
          <w:rFonts w:cstheme="minorHAnsi"/>
          <w:i/>
          <w:iCs/>
          <w:color w:val="000000"/>
        </w:rPr>
        <w:t>W</w:t>
      </w:r>
      <w:r w:rsidRPr="001B4AF1">
        <w:rPr>
          <w:rFonts w:cstheme="minorHAnsi"/>
          <w:i/>
          <w:iCs/>
          <w:color w:val="000000"/>
        </w:rPr>
        <w:t xml:space="preserve"> should leave patient care area if they need to remove their eye protection. </w:t>
      </w:r>
    </w:p>
    <w:p w14:paraId="7A78E816" w14:textId="1FEA1BBA" w:rsidR="00842292" w:rsidRPr="001B4AF1" w:rsidRDefault="00842292" w:rsidP="001B4AF1">
      <w:pPr>
        <w:numPr>
          <w:ilvl w:val="1"/>
          <w:numId w:val="2"/>
        </w:numPr>
        <w:spacing w:before="100" w:beforeAutospacing="1" w:after="100" w:afterAutospacing="1" w:line="240" w:lineRule="auto"/>
        <w:rPr>
          <w:rFonts w:eastAsia="Times New Roman"/>
          <w:i/>
          <w:iCs/>
        </w:rPr>
      </w:pPr>
      <w:r w:rsidRPr="001B4AF1">
        <w:rPr>
          <w:rStyle w:val="Strong"/>
          <w:rFonts w:eastAsia="Times New Roman"/>
          <w:b w:val="0"/>
          <w:bCs w:val="0"/>
          <w:i/>
          <w:iCs/>
        </w:rPr>
        <w:t>Health care workers (HCW) should continue to follow</w:t>
      </w:r>
      <w:r w:rsidRPr="001B4AF1">
        <w:rPr>
          <w:rFonts w:eastAsia="Times New Roman"/>
          <w:i/>
          <w:iCs/>
        </w:rPr>
        <w:t xml:space="preserve"> the appropriate PPE guidance related to isolation and quarantine, aerosol-generating procedures (AGP), transmission-based precautions, and standard precautions.</w:t>
      </w:r>
    </w:p>
    <w:p w14:paraId="5EC61C30" w14:textId="0035722A" w:rsidR="00842292" w:rsidRDefault="00842292" w:rsidP="00842292">
      <w:pPr>
        <w:numPr>
          <w:ilvl w:val="0"/>
          <w:numId w:val="2"/>
        </w:numPr>
        <w:spacing w:before="100" w:beforeAutospacing="1" w:after="100" w:afterAutospacing="1" w:line="240" w:lineRule="auto"/>
        <w:rPr>
          <w:rFonts w:eastAsia="Times New Roman"/>
        </w:rPr>
      </w:pPr>
      <w:r w:rsidRPr="00AE4D5F">
        <w:rPr>
          <w:rStyle w:val="Strong"/>
          <w:rFonts w:eastAsia="Times New Roman"/>
          <w:b w:val="0"/>
          <w:bCs w:val="0"/>
        </w:rPr>
        <w:lastRenderedPageBreak/>
        <w:t>Facilities</w:t>
      </w:r>
      <w:r w:rsidRPr="004C6B11">
        <w:rPr>
          <w:rStyle w:val="Strong"/>
          <w:rFonts w:eastAsia="Times New Roman"/>
          <w:b w:val="0"/>
          <w:bCs w:val="0"/>
        </w:rPr>
        <w:t xml:space="preserve"> may choose to also assess community transmission rates for the county or counties</w:t>
      </w:r>
      <w:r>
        <w:rPr>
          <w:rFonts w:eastAsia="Times New Roman"/>
        </w:rPr>
        <w:t xml:space="preserve"> where their workforce lives, if different than the facility’s county (e.g., a large proportion of a facility’s workforce resides in a neighboring county).</w:t>
      </w:r>
    </w:p>
    <w:p w14:paraId="1D696B82" w14:textId="012AB8A5" w:rsidR="001C6E07" w:rsidRDefault="001C6E07" w:rsidP="00842292">
      <w:pPr>
        <w:numPr>
          <w:ilvl w:val="0"/>
          <w:numId w:val="2"/>
        </w:numPr>
        <w:spacing w:before="100" w:beforeAutospacing="1" w:after="100" w:afterAutospacing="1" w:line="240" w:lineRule="auto"/>
        <w:rPr>
          <w:rFonts w:eastAsia="Times New Roman"/>
        </w:rPr>
      </w:pPr>
      <w:r w:rsidRPr="00AE4D5F">
        <w:rPr>
          <w:rFonts w:eastAsia="Times New Roman"/>
        </w:rPr>
        <w:t>Facilities may choose</w:t>
      </w:r>
      <w:r>
        <w:rPr>
          <w:rFonts w:eastAsia="Times New Roman"/>
        </w:rPr>
        <w:t xml:space="preserve"> to continue universal eye protection based on level of risk to the HCW (e.g., working with population with low vaccination rate, high patient turnover/presentation with respiratory illnesses). </w:t>
      </w:r>
    </w:p>
    <w:p w14:paraId="54615938" w14:textId="14D77AF9" w:rsidR="004C6B11" w:rsidRDefault="004C6B11" w:rsidP="00842292">
      <w:pPr>
        <w:numPr>
          <w:ilvl w:val="0"/>
          <w:numId w:val="2"/>
        </w:numPr>
        <w:spacing w:before="100" w:beforeAutospacing="1" w:after="100" w:afterAutospacing="1" w:line="240" w:lineRule="auto"/>
        <w:rPr>
          <w:rFonts w:eastAsia="Times New Roman"/>
        </w:rPr>
      </w:pPr>
      <w:r>
        <w:rPr>
          <w:rFonts w:eastAsia="Times New Roman"/>
        </w:rPr>
        <w:t xml:space="preserve">Core principles of infection prevention and control should also be in place (e.g., use of respiratory protection, hand hygiene, physical distancing, and environmental cleaning and disinfection). </w:t>
      </w:r>
    </w:p>
    <w:p w14:paraId="6EB95F81" w14:textId="192233D9" w:rsidR="00376FBB" w:rsidRDefault="003A4439" w:rsidP="00376FBB">
      <w:pPr>
        <w:spacing w:before="100" w:beforeAutospacing="1" w:after="100" w:afterAutospacing="1" w:line="240" w:lineRule="auto"/>
        <w:rPr>
          <w:rStyle w:val="Hyperlink"/>
        </w:rPr>
      </w:pPr>
      <w:r w:rsidRPr="001850F5">
        <w:rPr>
          <w:rFonts w:eastAsia="Times New Roman"/>
        </w:rPr>
        <w:t xml:space="preserve">An educational module for staff regarding eye protection can be found on </w:t>
      </w:r>
      <w:hyperlink r:id="rId8" w:history="1">
        <w:r w:rsidRPr="001850F5">
          <w:rPr>
            <w:rStyle w:val="Hyperlink"/>
          </w:rPr>
          <w:t>Project Firstline Training and Resources - Minnesota Dept. of Health (state.mn.us)</w:t>
        </w:r>
      </w:hyperlink>
    </w:p>
    <w:p w14:paraId="502BCB12" w14:textId="165053BE" w:rsidR="00707C8A" w:rsidRDefault="00707C8A" w:rsidP="00376FBB">
      <w:pPr>
        <w:spacing w:before="100" w:beforeAutospacing="1" w:after="100" w:afterAutospacing="1" w:line="240" w:lineRule="auto"/>
        <w:rPr>
          <w:rFonts w:eastAsia="Times New Roman"/>
        </w:rPr>
      </w:pPr>
      <w:r w:rsidRPr="00E504EE">
        <w:rPr>
          <w:rStyle w:val="Hyperlink"/>
          <w:color w:val="auto"/>
          <w:u w:val="none"/>
        </w:rPr>
        <w:t>The Minnesota Department of Health’s COVID-19 Personal Protective Equipment and Source Control Grids for congregate care settings (including nursing facilities and assisted living facilities) can be found here</w:t>
      </w:r>
      <w:r>
        <w:rPr>
          <w:rStyle w:val="Hyperlink"/>
        </w:rPr>
        <w:t xml:space="preserve">: </w:t>
      </w:r>
      <w:hyperlink r:id="rId9" w:history="1">
        <w:r w:rsidRPr="00E13369">
          <w:rPr>
            <w:rStyle w:val="Hyperlink"/>
          </w:rPr>
          <w:t>https://www.health.state.mn.us/diseases/coronavirus/hcp/ppegrid.pdf</w:t>
        </w:r>
      </w:hyperlink>
      <w:r>
        <w:rPr>
          <w:rStyle w:val="Hyperlink"/>
        </w:rPr>
        <w:t>.</w:t>
      </w:r>
    </w:p>
    <w:p w14:paraId="773E5A88" w14:textId="77777777" w:rsidR="00842292" w:rsidRDefault="00842292"/>
    <w:sectPr w:rsidR="00842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E30F5"/>
    <w:multiLevelType w:val="multilevel"/>
    <w:tmpl w:val="D8FE0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5F04AB"/>
    <w:multiLevelType w:val="multilevel"/>
    <w:tmpl w:val="844A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02D0B"/>
    <w:multiLevelType w:val="multilevel"/>
    <w:tmpl w:val="88F2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20"/>
    <w:rsid w:val="000500A6"/>
    <w:rsid w:val="001850F5"/>
    <w:rsid w:val="00197AFF"/>
    <w:rsid w:val="001B4AF1"/>
    <w:rsid w:val="001C6E07"/>
    <w:rsid w:val="001D27B4"/>
    <w:rsid w:val="0026244C"/>
    <w:rsid w:val="002E07F3"/>
    <w:rsid w:val="00376FBB"/>
    <w:rsid w:val="003A4439"/>
    <w:rsid w:val="003C6313"/>
    <w:rsid w:val="004A7F58"/>
    <w:rsid w:val="004C6B11"/>
    <w:rsid w:val="004D62F8"/>
    <w:rsid w:val="00707C8A"/>
    <w:rsid w:val="007D3B58"/>
    <w:rsid w:val="007E61DA"/>
    <w:rsid w:val="00817193"/>
    <w:rsid w:val="00842292"/>
    <w:rsid w:val="009364FF"/>
    <w:rsid w:val="0099743A"/>
    <w:rsid w:val="009B710D"/>
    <w:rsid w:val="00AE4D5F"/>
    <w:rsid w:val="00B21945"/>
    <w:rsid w:val="00C65D3B"/>
    <w:rsid w:val="00C74820"/>
    <w:rsid w:val="00DF0CC1"/>
    <w:rsid w:val="00E504EE"/>
    <w:rsid w:val="00EB4C1A"/>
    <w:rsid w:val="00F07D0C"/>
    <w:rsid w:val="00F3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5B2D"/>
  <w15:chartTrackingRefBased/>
  <w15:docId w15:val="{BFA70CB8-9CED-4E22-BC57-4999DD65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292"/>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842292"/>
    <w:rPr>
      <w:b/>
      <w:bCs/>
    </w:rPr>
  </w:style>
  <w:style w:type="character" w:styleId="Hyperlink">
    <w:name w:val="Hyperlink"/>
    <w:basedOn w:val="DefaultParagraphFont"/>
    <w:uiPriority w:val="99"/>
    <w:unhideWhenUsed/>
    <w:rsid w:val="004C6B11"/>
    <w:rPr>
      <w:color w:val="0000FF"/>
      <w:u w:val="single"/>
    </w:rPr>
  </w:style>
  <w:style w:type="paragraph" w:styleId="Revision">
    <w:name w:val="Revision"/>
    <w:hidden/>
    <w:uiPriority w:val="99"/>
    <w:semiHidden/>
    <w:rsid w:val="00707C8A"/>
    <w:pPr>
      <w:spacing w:after="0" w:line="240" w:lineRule="auto"/>
    </w:pPr>
  </w:style>
  <w:style w:type="character" w:styleId="UnresolvedMention">
    <w:name w:val="Unresolved Mention"/>
    <w:basedOn w:val="DefaultParagraphFont"/>
    <w:uiPriority w:val="99"/>
    <w:semiHidden/>
    <w:unhideWhenUsed/>
    <w:rsid w:val="00707C8A"/>
    <w:rPr>
      <w:color w:val="605E5C"/>
      <w:shd w:val="clear" w:color="auto" w:fill="E1DFDD"/>
    </w:rPr>
  </w:style>
  <w:style w:type="character" w:styleId="CommentReference">
    <w:name w:val="annotation reference"/>
    <w:basedOn w:val="DefaultParagraphFont"/>
    <w:uiPriority w:val="99"/>
    <w:semiHidden/>
    <w:unhideWhenUsed/>
    <w:rsid w:val="00C65D3B"/>
    <w:rPr>
      <w:sz w:val="16"/>
      <w:szCs w:val="16"/>
    </w:rPr>
  </w:style>
  <w:style w:type="paragraph" w:styleId="CommentText">
    <w:name w:val="annotation text"/>
    <w:basedOn w:val="Normal"/>
    <w:link w:val="CommentTextChar"/>
    <w:uiPriority w:val="99"/>
    <w:semiHidden/>
    <w:unhideWhenUsed/>
    <w:rsid w:val="00C65D3B"/>
    <w:pPr>
      <w:spacing w:line="240" w:lineRule="auto"/>
    </w:pPr>
    <w:rPr>
      <w:sz w:val="20"/>
      <w:szCs w:val="20"/>
    </w:rPr>
  </w:style>
  <w:style w:type="character" w:customStyle="1" w:styleId="CommentTextChar">
    <w:name w:val="Comment Text Char"/>
    <w:basedOn w:val="DefaultParagraphFont"/>
    <w:link w:val="CommentText"/>
    <w:uiPriority w:val="99"/>
    <w:semiHidden/>
    <w:rsid w:val="00C65D3B"/>
    <w:rPr>
      <w:sz w:val="20"/>
      <w:szCs w:val="20"/>
    </w:rPr>
  </w:style>
  <w:style w:type="paragraph" w:styleId="CommentSubject">
    <w:name w:val="annotation subject"/>
    <w:basedOn w:val="CommentText"/>
    <w:next w:val="CommentText"/>
    <w:link w:val="CommentSubjectChar"/>
    <w:uiPriority w:val="99"/>
    <w:semiHidden/>
    <w:unhideWhenUsed/>
    <w:rsid w:val="00C65D3B"/>
    <w:rPr>
      <w:b/>
      <w:bCs/>
    </w:rPr>
  </w:style>
  <w:style w:type="character" w:customStyle="1" w:styleId="CommentSubjectChar">
    <w:name w:val="Comment Subject Char"/>
    <w:basedOn w:val="CommentTextChar"/>
    <w:link w:val="CommentSubject"/>
    <w:uiPriority w:val="99"/>
    <w:semiHidden/>
    <w:rsid w:val="00C65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53816">
      <w:bodyDiv w:val="1"/>
      <w:marLeft w:val="0"/>
      <w:marRight w:val="0"/>
      <w:marTop w:val="0"/>
      <w:marBottom w:val="0"/>
      <w:divBdr>
        <w:top w:val="none" w:sz="0" w:space="0" w:color="auto"/>
        <w:left w:val="none" w:sz="0" w:space="0" w:color="auto"/>
        <w:bottom w:val="none" w:sz="0" w:space="0" w:color="auto"/>
        <w:right w:val="none" w:sz="0" w:space="0" w:color="auto"/>
      </w:divBdr>
    </w:div>
    <w:div w:id="17776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facilities/patientsafety/infectioncontrol/pfl/training/index.html" TargetMode="External"/><Relationship Id="rId3" Type="http://schemas.openxmlformats.org/officeDocument/2006/relationships/settings" Target="settings.xml"/><Relationship Id="rId7" Type="http://schemas.openxmlformats.org/officeDocument/2006/relationships/hyperlink" Target="https://covid.cdc.gov/covid-data-tra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hcp/ppe-strategy/eye-protection.html" TargetMode="External"/><Relationship Id="rId11" Type="http://schemas.openxmlformats.org/officeDocument/2006/relationships/theme" Target="theme/theme1.xml"/><Relationship Id="rId5" Type="http://schemas.openxmlformats.org/officeDocument/2006/relationships/hyperlink" Target="https://covid.cdc.gov/covid-data-track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state.mn.us/diseases/coronavirus/hcp/ppegr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Tammy (MDH)</dc:creator>
  <cp:keywords/>
  <dc:description/>
  <cp:lastModifiedBy>Hale, Tammy (MDH)</cp:lastModifiedBy>
  <cp:revision>12</cp:revision>
  <dcterms:created xsi:type="dcterms:W3CDTF">2022-02-16T15:49:00Z</dcterms:created>
  <dcterms:modified xsi:type="dcterms:W3CDTF">2022-02-18T18:28:00Z</dcterms:modified>
</cp:coreProperties>
</file>