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B602" w14:textId="77777777" w:rsidR="00C6768A" w:rsidRPr="008631CB" w:rsidRDefault="00C6768A" w:rsidP="0023458F">
      <w:pPr>
        <w:pStyle w:val="Heading1"/>
      </w:pPr>
      <w:bookmarkStart w:id="0" w:name="_Toc8998315"/>
      <w:r w:rsidRPr="008631CB">
        <w:t>Transfers</w:t>
      </w:r>
      <w:bookmarkEnd w:id="0"/>
    </w:p>
    <w:p w14:paraId="704C6AED" w14:textId="77777777" w:rsidR="00C6768A" w:rsidRPr="008631CB" w:rsidRDefault="00C6768A" w:rsidP="00C6768A">
      <w:pPr>
        <w:pStyle w:val="Heading2"/>
      </w:pPr>
      <w:bookmarkStart w:id="1" w:name="_Toc8998316"/>
      <w:r w:rsidRPr="008631CB">
        <w:t xml:space="preserve">Transfer Policy for Hennepin </w:t>
      </w:r>
      <w:proofErr w:type="spellStart"/>
      <w:r w:rsidRPr="008631CB">
        <w:t>CoC</w:t>
      </w:r>
      <w:bookmarkEnd w:id="1"/>
      <w:proofErr w:type="spellEnd"/>
      <w:r w:rsidRPr="008631CB">
        <w:t xml:space="preserve"> </w:t>
      </w:r>
    </w:p>
    <w:p w14:paraId="3EAEFE35" w14:textId="0CE4CDFE" w:rsidR="00C6768A" w:rsidRPr="0023458F" w:rsidRDefault="00C6768A" w:rsidP="00C6768A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>Through Coordinated Entry, a process has been established for assessing, prioritizing and referring people who are experiencing homel</w:t>
      </w:r>
      <w:r w:rsidR="00015A3E">
        <w:rPr>
          <w:rFonts w:ascii="Calibri Light" w:hAnsi="Calibri Light" w:cs="Calibri Light"/>
        </w:rPr>
        <w:t xml:space="preserve">essness to </w:t>
      </w:r>
      <w:r w:rsidRPr="0023458F">
        <w:rPr>
          <w:rFonts w:ascii="Calibri Light" w:hAnsi="Calibri Light" w:cs="Calibri Light"/>
        </w:rPr>
        <w:t>homeless designated housing interventions. In order of intensity of support</w:t>
      </w:r>
      <w:r w:rsidR="00F2049B">
        <w:rPr>
          <w:rFonts w:ascii="Calibri Light" w:hAnsi="Calibri Light" w:cs="Calibri Light"/>
        </w:rPr>
        <w:t>,</w:t>
      </w:r>
      <w:r w:rsidRPr="0023458F">
        <w:rPr>
          <w:rFonts w:ascii="Calibri Light" w:hAnsi="Calibri Light" w:cs="Calibri Light"/>
        </w:rPr>
        <w:t xml:space="preserve"> the interventions covered by this document are:</w:t>
      </w:r>
    </w:p>
    <w:p w14:paraId="5A5B17AF" w14:textId="77777777" w:rsidR="00C6768A" w:rsidRPr="0023458F" w:rsidRDefault="00C6768A" w:rsidP="00C6768A">
      <w:pPr>
        <w:pStyle w:val="ListParagraph"/>
        <w:numPr>
          <w:ilvl w:val="0"/>
          <w:numId w:val="3"/>
        </w:numPr>
        <w:spacing w:after="160" w:line="252" w:lineRule="auto"/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Rapid </w:t>
      </w:r>
      <w:proofErr w:type="spellStart"/>
      <w:r w:rsidRPr="0023458F">
        <w:rPr>
          <w:rFonts w:ascii="Calibri Light" w:hAnsi="Calibri Light" w:cs="Calibri Light"/>
        </w:rPr>
        <w:t>ReHousing</w:t>
      </w:r>
      <w:proofErr w:type="spellEnd"/>
      <w:r w:rsidRPr="0023458F">
        <w:rPr>
          <w:rFonts w:ascii="Calibri Light" w:hAnsi="Calibri Light" w:cs="Calibri Light"/>
        </w:rPr>
        <w:t xml:space="preserve"> (RRH)</w:t>
      </w:r>
    </w:p>
    <w:p w14:paraId="73A88C02" w14:textId="77777777" w:rsidR="00C6768A" w:rsidRPr="0023458F" w:rsidRDefault="00C6768A" w:rsidP="00C6768A">
      <w:pPr>
        <w:pStyle w:val="ListParagraph"/>
        <w:numPr>
          <w:ilvl w:val="0"/>
          <w:numId w:val="3"/>
        </w:numPr>
        <w:spacing w:after="160" w:line="252" w:lineRule="auto"/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>Transitional Housing (TH)</w:t>
      </w:r>
    </w:p>
    <w:p w14:paraId="24101719" w14:textId="77777777" w:rsidR="00C6768A" w:rsidRPr="0023458F" w:rsidRDefault="00C6768A" w:rsidP="00C6768A">
      <w:pPr>
        <w:pStyle w:val="ListParagraph"/>
        <w:numPr>
          <w:ilvl w:val="0"/>
          <w:numId w:val="3"/>
        </w:numPr>
        <w:spacing w:after="160" w:line="252" w:lineRule="auto"/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>Permanent Supportive Housing (PSH)</w:t>
      </w:r>
    </w:p>
    <w:p w14:paraId="1852E2FD" w14:textId="102E0482" w:rsidR="00C6768A" w:rsidRDefault="00C6768A" w:rsidP="00C6768A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>There are cases</w:t>
      </w:r>
      <w:r w:rsidR="00146A89">
        <w:rPr>
          <w:rFonts w:ascii="Calibri Light" w:hAnsi="Calibri Light" w:cs="Calibri Light"/>
        </w:rPr>
        <w:t xml:space="preserve"> </w:t>
      </w:r>
      <w:r w:rsidRPr="0023458F">
        <w:rPr>
          <w:rFonts w:ascii="Calibri Light" w:hAnsi="Calibri Light" w:cs="Calibri Light"/>
        </w:rPr>
        <w:t>when the type of housing intervention may no</w:t>
      </w:r>
      <w:r w:rsidR="002969A4">
        <w:rPr>
          <w:rFonts w:ascii="Calibri Light" w:hAnsi="Calibri Light" w:cs="Calibri Light"/>
        </w:rPr>
        <w:t>t</w:t>
      </w:r>
      <w:r w:rsidRPr="0023458F">
        <w:rPr>
          <w:rFonts w:ascii="Calibri Light" w:hAnsi="Calibri Light" w:cs="Calibri Light"/>
        </w:rPr>
        <w:t xml:space="preserve"> meet the needs</w:t>
      </w:r>
      <w:r w:rsidR="00015A3E">
        <w:rPr>
          <w:rFonts w:ascii="Calibri Light" w:hAnsi="Calibri Light" w:cs="Calibri Light"/>
        </w:rPr>
        <w:t xml:space="preserve"> of the household post-program entry</w:t>
      </w:r>
      <w:r w:rsidRPr="0023458F">
        <w:rPr>
          <w:rFonts w:ascii="Calibri Light" w:hAnsi="Calibri Light" w:cs="Calibri Light"/>
        </w:rPr>
        <w:t xml:space="preserve">. </w:t>
      </w:r>
      <w:r w:rsidR="004007EC">
        <w:rPr>
          <w:rFonts w:ascii="Calibri Light" w:hAnsi="Calibri Light" w:cs="Calibri Light"/>
        </w:rPr>
        <w:t>Transfers are appropriate for households with the following circumstances:</w:t>
      </w:r>
    </w:p>
    <w:p w14:paraId="3EDAD3A2" w14:textId="77777777" w:rsidR="004007EC" w:rsidRDefault="004007EC" w:rsidP="004007EC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household has a current HMIS program entry for a homeless-dedicated housing program that reports to Hennepin County CES. </w:t>
      </w:r>
    </w:p>
    <w:p w14:paraId="6BF5D1E1" w14:textId="205B4F23" w:rsidR="004007EC" w:rsidRPr="0023458F" w:rsidRDefault="004007EC" w:rsidP="004007EC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and</w:t>
      </w:r>
    </w:p>
    <w:p w14:paraId="50819162" w14:textId="77777777" w:rsidR="00C6768A" w:rsidRPr="0023458F" w:rsidRDefault="00C6768A" w:rsidP="00C6768A">
      <w:pPr>
        <w:pStyle w:val="ListParagraph"/>
        <w:numPr>
          <w:ilvl w:val="0"/>
          <w:numId w:val="2"/>
        </w:numPr>
        <w:spacing w:after="160" w:line="252" w:lineRule="auto"/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The needs of the household have changed since </w:t>
      </w:r>
      <w:r w:rsidR="004007EC">
        <w:rPr>
          <w:rFonts w:ascii="Calibri Light" w:hAnsi="Calibri Light" w:cs="Calibri Light"/>
        </w:rPr>
        <w:t>program entry</w:t>
      </w:r>
      <w:r w:rsidRPr="0023458F">
        <w:rPr>
          <w:rFonts w:ascii="Calibri Light" w:hAnsi="Calibri Light" w:cs="Calibri Light"/>
        </w:rPr>
        <w:t>; or</w:t>
      </w:r>
    </w:p>
    <w:p w14:paraId="15B34521" w14:textId="77777777" w:rsidR="00C6768A" w:rsidRPr="0023458F" w:rsidRDefault="00C6768A" w:rsidP="00C6768A">
      <w:pPr>
        <w:pStyle w:val="ListParagraph"/>
        <w:numPr>
          <w:ilvl w:val="0"/>
          <w:numId w:val="2"/>
        </w:numPr>
        <w:spacing w:after="160" w:line="252" w:lineRule="auto"/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>The understanding of the ne</w:t>
      </w:r>
      <w:r w:rsidR="004007EC">
        <w:rPr>
          <w:rFonts w:ascii="Calibri Light" w:hAnsi="Calibri Light" w:cs="Calibri Light"/>
        </w:rPr>
        <w:t xml:space="preserve">eds </w:t>
      </w:r>
      <w:proofErr w:type="gramStart"/>
      <w:r w:rsidR="004007EC">
        <w:rPr>
          <w:rFonts w:ascii="Calibri Light" w:hAnsi="Calibri Light" w:cs="Calibri Light"/>
        </w:rPr>
        <w:t>have</w:t>
      </w:r>
      <w:proofErr w:type="gramEnd"/>
      <w:r w:rsidR="004007EC">
        <w:rPr>
          <w:rFonts w:ascii="Calibri Light" w:hAnsi="Calibri Light" w:cs="Calibri Light"/>
        </w:rPr>
        <w:t xml:space="preserve"> changed since program entry</w:t>
      </w:r>
      <w:r w:rsidRPr="0023458F">
        <w:rPr>
          <w:rFonts w:ascii="Calibri Light" w:hAnsi="Calibri Light" w:cs="Calibri Light"/>
        </w:rPr>
        <w:t>.</w:t>
      </w:r>
    </w:p>
    <w:p w14:paraId="196FC561" w14:textId="176663A4" w:rsidR="00C6768A" w:rsidRPr="0023458F" w:rsidRDefault="00C6768A" w:rsidP="00C6768A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In such cases there can be legitimate reasons for seeking a transfer to another housing program. In considering the types of transfer that may be requested, the following decision rules </w:t>
      </w:r>
      <w:r w:rsidR="00F2049B">
        <w:rPr>
          <w:rFonts w:ascii="Calibri Light" w:hAnsi="Calibri Light" w:cs="Calibri Light"/>
        </w:rPr>
        <w:t xml:space="preserve">will </w:t>
      </w:r>
      <w:r w:rsidRPr="0023458F">
        <w:rPr>
          <w:rFonts w:ascii="Calibri Light" w:hAnsi="Calibri Light" w:cs="Calibri Light"/>
        </w:rPr>
        <w:t>be applied: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576"/>
        <w:gridCol w:w="1575"/>
      </w:tblGrid>
      <w:tr w:rsidR="00A11C9C" w:rsidRPr="00E8640B" w14:paraId="772A276C" w14:textId="77777777" w:rsidTr="00A11C9C"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CB2A" w14:textId="77777777" w:rsidR="00A11C9C" w:rsidRPr="0023458F" w:rsidRDefault="00A11C9C" w:rsidP="00E466CE">
            <w:pPr>
              <w:rPr>
                <w:rFonts w:ascii="Calibri Light" w:hAnsi="Calibri Light" w:cs="Calibri Light"/>
                <w:b/>
                <w:bCs/>
              </w:rPr>
            </w:pPr>
            <w:r w:rsidRPr="0023458F">
              <w:rPr>
                <w:rFonts w:ascii="Calibri Light" w:hAnsi="Calibri Light" w:cs="Calibri Light"/>
                <w:b/>
                <w:bCs/>
              </w:rPr>
              <w:t>Transfer type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B8C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3458F">
              <w:rPr>
                <w:rFonts w:ascii="Calibri Light" w:hAnsi="Calibri Light" w:cs="Calibri Light"/>
                <w:b/>
                <w:bCs/>
              </w:rPr>
              <w:t>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1C47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3458F">
              <w:rPr>
                <w:rFonts w:ascii="Calibri Light" w:hAnsi="Calibri Light" w:cs="Calibri Light"/>
                <w:b/>
                <w:bCs/>
              </w:rPr>
              <w:t>N</w:t>
            </w:r>
          </w:p>
        </w:tc>
      </w:tr>
      <w:tr w:rsidR="00A11C9C" w:rsidRPr="00E8640B" w14:paraId="349B574D" w14:textId="77777777" w:rsidTr="00A11C9C"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527F" w14:textId="77777777" w:rsidR="00A11C9C" w:rsidRPr="0023458F" w:rsidRDefault="00A11C9C" w:rsidP="00E466CE">
            <w:pPr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Single ↔ Families (for same intervention type)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9A25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4645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1C9C" w:rsidRPr="00E8640B" w14:paraId="60687BAC" w14:textId="77777777" w:rsidTr="00A11C9C"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1D9" w14:textId="77777777" w:rsidR="00A11C9C" w:rsidRPr="0023458F" w:rsidRDefault="00A11C9C" w:rsidP="00E466CE">
            <w:pPr>
              <w:rPr>
                <w:rFonts w:ascii="Calibri Light" w:hAnsi="Calibri Light" w:cs="Calibri Light"/>
              </w:rPr>
            </w:pPr>
            <w:proofErr w:type="gramStart"/>
            <w:r w:rsidRPr="0023458F">
              <w:rPr>
                <w:rFonts w:ascii="Calibri Light" w:hAnsi="Calibri Light" w:cs="Calibri Light"/>
              </w:rPr>
              <w:t>PSH  ↔</w:t>
            </w:r>
            <w:proofErr w:type="gramEnd"/>
            <w:r w:rsidRPr="0023458F">
              <w:rPr>
                <w:rFonts w:ascii="Calibri Light" w:hAnsi="Calibri Light" w:cs="Calibri Light"/>
              </w:rPr>
              <w:t xml:space="preserve"> PSH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F99B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9F1A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1C9C" w:rsidRPr="00E8640B" w14:paraId="4DFD1224" w14:textId="77777777" w:rsidTr="00A11C9C"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64C1" w14:textId="11D8EF8D" w:rsidR="00A11C9C" w:rsidRPr="0023458F" w:rsidRDefault="00A11C9C" w:rsidP="00E466CE">
            <w:pPr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 xml:space="preserve">PSH → TH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0FD6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68C5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1C9C" w:rsidRPr="00E8640B" w14:paraId="5DAC8A2B" w14:textId="77777777" w:rsidTr="00A11C9C"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D7D5" w14:textId="77777777" w:rsidR="00A11C9C" w:rsidRPr="0023458F" w:rsidRDefault="00A11C9C" w:rsidP="00E466CE">
            <w:pPr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Single RRH/TH → Families PSH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B74F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1CA0" w14:textId="77777777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X</w:t>
            </w:r>
          </w:p>
        </w:tc>
      </w:tr>
      <w:tr w:rsidR="00A11C9C" w:rsidRPr="00E8640B" w14:paraId="289E4331" w14:textId="77777777" w:rsidTr="00A11C9C"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7B19" w14:textId="77777777" w:rsidR="00A11C9C" w:rsidRPr="0023458F" w:rsidRDefault="00A11C9C" w:rsidP="00E466CE">
            <w:pPr>
              <w:rPr>
                <w:rFonts w:ascii="Calibri Light" w:hAnsi="Calibri Light" w:cs="Calibri Light"/>
              </w:rPr>
            </w:pPr>
            <w:r w:rsidRPr="0023458F">
              <w:rPr>
                <w:rFonts w:ascii="Calibri Light" w:hAnsi="Calibri Light" w:cs="Calibri Light"/>
              </w:rPr>
              <w:t>RRH/TH → PSH (for same client group)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4201" w14:textId="6AA5BC52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With CES approval and documentation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E4A0" w14:textId="2E7742B8" w:rsidR="00A11C9C" w:rsidRPr="0023458F" w:rsidRDefault="00A11C9C" w:rsidP="00E466CE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A848438" w14:textId="62B28A84" w:rsidR="00C6768A" w:rsidRDefault="00C6768A" w:rsidP="00C6768A">
      <w:pPr>
        <w:rPr>
          <w:rFonts w:ascii="Calibri Light" w:hAnsi="Calibri Light" w:cs="Calibri Light"/>
          <w:b/>
        </w:rPr>
      </w:pPr>
    </w:p>
    <w:p w14:paraId="53FFEC09" w14:textId="222853EF" w:rsidR="00375154" w:rsidRPr="00A11C9C" w:rsidRDefault="00375154" w:rsidP="00C6768A">
      <w:pPr>
        <w:rPr>
          <w:rFonts w:ascii="Calibri Light" w:hAnsi="Calibri Light" w:cs="Calibri Light"/>
          <w:b/>
          <w:bCs/>
        </w:rPr>
      </w:pPr>
      <w:r w:rsidRPr="00A11C9C">
        <w:rPr>
          <w:rFonts w:ascii="Calibri Light" w:hAnsi="Calibri Light" w:cs="Calibri Light"/>
          <w:b/>
          <w:bCs/>
        </w:rPr>
        <w:t xml:space="preserve">Transfers are not appropriate for reasons </w:t>
      </w:r>
      <w:r w:rsidR="0084621E" w:rsidRPr="00A11C9C">
        <w:rPr>
          <w:rFonts w:ascii="Calibri Light" w:hAnsi="Calibri Light" w:cs="Calibri Light"/>
          <w:b/>
          <w:bCs/>
        </w:rPr>
        <w:t>related to protec</w:t>
      </w:r>
      <w:r w:rsidR="00826C2F" w:rsidRPr="00A11C9C">
        <w:rPr>
          <w:rFonts w:ascii="Calibri Light" w:hAnsi="Calibri Light" w:cs="Calibri Light"/>
          <w:b/>
          <w:bCs/>
        </w:rPr>
        <w:t>ted class status</w:t>
      </w:r>
      <w:r w:rsidR="00185571" w:rsidRPr="00A11C9C">
        <w:rPr>
          <w:rFonts w:ascii="Calibri Light" w:hAnsi="Calibri Light" w:cs="Calibri Light"/>
          <w:b/>
          <w:bCs/>
        </w:rPr>
        <w:t xml:space="preserve"> only</w:t>
      </w:r>
      <w:r w:rsidR="00BC4848" w:rsidRPr="00A11C9C">
        <w:rPr>
          <w:rFonts w:ascii="Calibri Light" w:hAnsi="Calibri Light" w:cs="Calibri Light"/>
          <w:b/>
          <w:bCs/>
        </w:rPr>
        <w:t>, including race, color,</w:t>
      </w:r>
      <w:r w:rsidR="00185571" w:rsidRPr="00A11C9C">
        <w:rPr>
          <w:rFonts w:ascii="Calibri Light" w:hAnsi="Calibri Light" w:cs="Calibri Light"/>
          <w:b/>
          <w:bCs/>
        </w:rPr>
        <w:t xml:space="preserve"> national origin, religion, sex, </w:t>
      </w:r>
      <w:r w:rsidR="00BC4848" w:rsidRPr="00A11C9C">
        <w:rPr>
          <w:rFonts w:ascii="Calibri Light" w:hAnsi="Calibri Light" w:cs="Calibri Light"/>
          <w:b/>
          <w:bCs/>
        </w:rPr>
        <w:t>disability, age, genetic information, mar</w:t>
      </w:r>
      <w:r w:rsidR="00185571" w:rsidRPr="00A11C9C">
        <w:rPr>
          <w:rFonts w:ascii="Calibri Light" w:hAnsi="Calibri Light" w:cs="Calibri Light"/>
          <w:b/>
          <w:bCs/>
        </w:rPr>
        <w:t>ital status, sexual orientation</w:t>
      </w:r>
      <w:r w:rsidR="00BC4848" w:rsidRPr="00A11C9C">
        <w:rPr>
          <w:rFonts w:ascii="Calibri Light" w:hAnsi="Calibri Light" w:cs="Calibri Light"/>
          <w:b/>
          <w:bCs/>
        </w:rPr>
        <w:t xml:space="preserve">, gender identity, </w:t>
      </w:r>
      <w:r w:rsidR="00185571" w:rsidRPr="00A11C9C">
        <w:rPr>
          <w:rFonts w:ascii="Calibri Light" w:hAnsi="Calibri Light" w:cs="Calibri Light"/>
          <w:b/>
          <w:bCs/>
        </w:rPr>
        <w:t xml:space="preserve">and </w:t>
      </w:r>
      <w:r w:rsidR="00BC4848" w:rsidRPr="00A11C9C">
        <w:rPr>
          <w:rFonts w:ascii="Calibri Light" w:hAnsi="Calibri Light" w:cs="Calibri Light"/>
          <w:b/>
          <w:bCs/>
        </w:rPr>
        <w:t>being a member of a local human right</w:t>
      </w:r>
      <w:r w:rsidR="0023458F" w:rsidRPr="00A11C9C">
        <w:rPr>
          <w:rFonts w:ascii="Calibri Light" w:hAnsi="Calibri Light" w:cs="Calibri Light"/>
          <w:b/>
          <w:bCs/>
        </w:rPr>
        <w:t>s</w:t>
      </w:r>
      <w:r w:rsidR="00185571" w:rsidRPr="00A11C9C">
        <w:rPr>
          <w:rFonts w:ascii="Calibri Light" w:hAnsi="Calibri Light" w:cs="Calibri Light"/>
          <w:b/>
          <w:bCs/>
        </w:rPr>
        <w:t xml:space="preserve"> commission</w:t>
      </w:r>
      <w:r w:rsidR="00BC4848" w:rsidRPr="00A11C9C">
        <w:rPr>
          <w:rFonts w:ascii="Calibri Light" w:hAnsi="Calibri Light" w:cs="Calibri Light"/>
          <w:b/>
          <w:bCs/>
        </w:rPr>
        <w:t xml:space="preserve">. </w:t>
      </w:r>
    </w:p>
    <w:p w14:paraId="12DB2DEE" w14:textId="34EE593C" w:rsidR="009B44C1" w:rsidRPr="00E24269" w:rsidRDefault="009B44C1" w:rsidP="009B44C1">
      <w:pPr>
        <w:spacing w:after="0" w:line="240" w:lineRule="auto"/>
        <w:rPr>
          <w:rFonts w:ascii="Calibri Light" w:hAnsi="Calibri Light" w:cs="Calibri Light"/>
          <w:b/>
          <w:bCs/>
          <w:color w:val="4472C4" w:themeColor="accent1"/>
          <w:sz w:val="26"/>
          <w:szCs w:val="26"/>
        </w:rPr>
      </w:pPr>
      <w:bookmarkStart w:id="2" w:name="_Toc8998317"/>
      <w:r w:rsidRPr="00E24269">
        <w:rPr>
          <w:rFonts w:ascii="Calibri Light" w:hAnsi="Calibri Light" w:cs="Calibri Light"/>
          <w:b/>
          <w:bCs/>
          <w:color w:val="4472C4" w:themeColor="accent1"/>
          <w:sz w:val="26"/>
          <w:szCs w:val="26"/>
        </w:rPr>
        <w:lastRenderedPageBreak/>
        <w:t>RRH</w:t>
      </w:r>
      <w:r w:rsidR="006075B9">
        <w:rPr>
          <w:rFonts w:ascii="Calibri Light" w:hAnsi="Calibri Light" w:cs="Calibri Light"/>
          <w:b/>
          <w:bCs/>
          <w:color w:val="4472C4" w:themeColor="accent1"/>
          <w:sz w:val="26"/>
          <w:szCs w:val="26"/>
        </w:rPr>
        <w:t>/TH</w:t>
      </w:r>
      <w:r w:rsidRPr="00E24269">
        <w:rPr>
          <w:rFonts w:ascii="Calibri Light" w:hAnsi="Calibri Light" w:cs="Calibri Light"/>
          <w:b/>
          <w:bCs/>
          <w:color w:val="4472C4" w:themeColor="accent1"/>
          <w:sz w:val="26"/>
          <w:szCs w:val="26"/>
        </w:rPr>
        <w:t xml:space="preserve"> to PSH Transfer</w:t>
      </w:r>
      <w:r>
        <w:rPr>
          <w:rFonts w:ascii="Calibri Light" w:hAnsi="Calibri Light" w:cs="Calibri Light"/>
          <w:b/>
          <w:bCs/>
          <w:color w:val="4472C4" w:themeColor="accent1"/>
          <w:sz w:val="26"/>
          <w:szCs w:val="26"/>
        </w:rPr>
        <w:t xml:space="preserve"> Eligibility</w:t>
      </w:r>
    </w:p>
    <w:p w14:paraId="7D7DCA44" w14:textId="607981B7" w:rsidR="009B44C1" w:rsidRDefault="009B44C1" w:rsidP="009B44C1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Vacancies to RRH</w:t>
      </w:r>
      <w:r w:rsidR="00526C3A">
        <w:rPr>
          <w:rFonts w:ascii="Calibri Light" w:hAnsi="Calibri Light" w:cs="Calibri Light"/>
        </w:rPr>
        <w:t>/TH</w:t>
      </w:r>
      <w:r>
        <w:rPr>
          <w:rFonts w:ascii="Calibri Light" w:hAnsi="Calibri Light" w:cs="Calibri Light"/>
        </w:rPr>
        <w:t xml:space="preserve"> programs are filled by client preference and/or being at the top of the priority list when an RRH</w:t>
      </w:r>
      <w:r w:rsidR="00526C3A">
        <w:rPr>
          <w:rFonts w:ascii="Calibri Light" w:hAnsi="Calibri Light" w:cs="Calibri Light"/>
        </w:rPr>
        <w:t>/TH</w:t>
      </w:r>
      <w:r>
        <w:rPr>
          <w:rFonts w:ascii="Calibri Light" w:hAnsi="Calibri Light" w:cs="Calibri Light"/>
        </w:rPr>
        <w:t xml:space="preserve"> opening was reported.</w:t>
      </w:r>
    </w:p>
    <w:p w14:paraId="5DC5857E" w14:textId="77777777" w:rsidR="009B44C1" w:rsidRDefault="009B44C1" w:rsidP="009B44C1">
      <w:pPr>
        <w:pStyle w:val="ListParagraph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Transfer requests from RRH to PSH are appropriate when the following criteria have been met:</w:t>
      </w:r>
    </w:p>
    <w:p w14:paraId="7D9F1719" w14:textId="77777777" w:rsidR="009B44C1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housing provider has </w:t>
      </w:r>
      <w:r w:rsidRPr="00EB1492">
        <w:rPr>
          <w:rFonts w:ascii="Calibri Light" w:hAnsi="Calibri Light" w:cs="Calibri Light"/>
        </w:rPr>
        <w:t>diligently</w:t>
      </w:r>
      <w:r>
        <w:rPr>
          <w:rFonts w:ascii="Calibri Light" w:hAnsi="Calibri Light" w:cs="Calibri Light"/>
        </w:rPr>
        <w:t xml:space="preserve"> met and worked with the client to search for/obtain housing, provided case management services, and done everything possible to stabilize the household in housing while in the RRH program.</w:t>
      </w:r>
    </w:p>
    <w:p w14:paraId="5B46229A" w14:textId="77777777" w:rsidR="009B44C1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Despite best efforts, the housing provider and household identify needs impacting housing stability that will not be met within 24 months of RRH services and/or the household will become homeless once RRH services end.</w:t>
      </w:r>
    </w:p>
    <w:p w14:paraId="2CAA45FD" w14:textId="77777777" w:rsidR="009B44C1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Household must meet one of the two benchmarks/criteria outlined below:</w:t>
      </w:r>
    </w:p>
    <w:p w14:paraId="1B4BBECC" w14:textId="28500919" w:rsidR="009B44C1" w:rsidRDefault="009B44C1" w:rsidP="009B44C1">
      <w:pPr>
        <w:pStyle w:val="ListParagraph"/>
        <w:numPr>
          <w:ilvl w:val="2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Client was housed through RRH, has reached at least </w:t>
      </w:r>
      <w:r w:rsidRPr="006A2127">
        <w:rPr>
          <w:rFonts w:ascii="Calibri Light" w:hAnsi="Calibri Light" w:cs="Calibri Light"/>
        </w:rPr>
        <w:t>1</w:t>
      </w:r>
      <w:r w:rsidR="00F55544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months of RRH services, and will need additional assistance with housing and services to remain in housing. </w:t>
      </w:r>
    </w:p>
    <w:p w14:paraId="43E36150" w14:textId="77777777" w:rsidR="009B44C1" w:rsidRDefault="009B44C1" w:rsidP="009B44C1">
      <w:pPr>
        <w:pStyle w:val="ListParagraph"/>
        <w:numPr>
          <w:ilvl w:val="2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Housing provider has been working with household to find housing for at least 5 months and identified other barriers supporting the need for more intensive PSH services. </w:t>
      </w:r>
    </w:p>
    <w:p w14:paraId="051925AA" w14:textId="77777777" w:rsidR="009B44C1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household must have a disability to qualify for PSH. </w:t>
      </w:r>
    </w:p>
    <w:p w14:paraId="30C697F1" w14:textId="77777777" w:rsidR="009B44C1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Household must be either LTH or Chronic </w:t>
      </w:r>
    </w:p>
    <w:p w14:paraId="4DBFC055" w14:textId="77777777" w:rsidR="009B44C1" w:rsidRPr="00F856FB" w:rsidRDefault="009B44C1" w:rsidP="009B44C1">
      <w:pPr>
        <w:pStyle w:val="ListParagraph"/>
        <w:numPr>
          <w:ilvl w:val="1"/>
          <w:numId w:val="8"/>
        </w:numPr>
        <w:rPr>
          <w:rFonts w:ascii="Calibri Light" w:hAnsi="Calibri Light" w:cs="Calibri Light"/>
        </w:rPr>
      </w:pPr>
      <w:r w:rsidRPr="00F856FB">
        <w:rPr>
          <w:rFonts w:ascii="Calibri Light" w:hAnsi="Calibri Light" w:cs="Calibri Light"/>
        </w:rPr>
        <w:t xml:space="preserve">The current housing provider </w:t>
      </w:r>
      <w:r>
        <w:rPr>
          <w:rFonts w:ascii="Calibri Light" w:hAnsi="Calibri Light" w:cs="Calibri Light"/>
        </w:rPr>
        <w:t>has tried to</w:t>
      </w:r>
      <w:r w:rsidRPr="00F856FB">
        <w:rPr>
          <w:rFonts w:ascii="Calibri Light" w:hAnsi="Calibri Light" w:cs="Calibri Light"/>
        </w:rPr>
        <w:t xml:space="preserve"> find another provider/program of the appropriate typology that is willing to accept the household and all coordination. However, if another appropriate provider/program cannot be found, the CES team will add the approved household to a transfer list and wait for the next appropriate vacancy.  </w:t>
      </w:r>
    </w:p>
    <w:p w14:paraId="04115173" w14:textId="666AAA52" w:rsidR="00BB1195" w:rsidRPr="003F40A3" w:rsidRDefault="00C6768A" w:rsidP="00E519A3">
      <w:pPr>
        <w:pStyle w:val="Heading2"/>
        <w:rPr>
          <w:u w:val="single"/>
        </w:rPr>
      </w:pPr>
      <w:r w:rsidRPr="003F40A3">
        <w:rPr>
          <w:u w:val="single"/>
        </w:rPr>
        <w:t>Transfer Procedure</w:t>
      </w:r>
      <w:bookmarkEnd w:id="2"/>
      <w:r w:rsidRPr="003F40A3">
        <w:rPr>
          <w:u w:val="single"/>
        </w:rPr>
        <w:t xml:space="preserve"> </w:t>
      </w:r>
      <w:r w:rsidR="001130E2" w:rsidRPr="003F40A3">
        <w:rPr>
          <w:u w:val="single"/>
        </w:rPr>
        <w:t>(</w:t>
      </w:r>
      <w:r w:rsidR="00E82F74">
        <w:rPr>
          <w:u w:val="single"/>
        </w:rPr>
        <w:t xml:space="preserve">Please see </w:t>
      </w:r>
      <w:r w:rsidR="001130E2" w:rsidRPr="003F40A3">
        <w:rPr>
          <w:u w:val="single"/>
        </w:rPr>
        <w:t>RRH to PSH transfer</w:t>
      </w:r>
      <w:r w:rsidR="00E82F74">
        <w:rPr>
          <w:u w:val="single"/>
        </w:rPr>
        <w:t xml:space="preserve"> procedure below</w:t>
      </w:r>
      <w:r w:rsidR="001130E2" w:rsidRPr="003F40A3">
        <w:rPr>
          <w:u w:val="single"/>
        </w:rPr>
        <w:t>)</w:t>
      </w:r>
    </w:p>
    <w:p w14:paraId="7CE68216" w14:textId="14F3F94D" w:rsidR="00C6768A" w:rsidRPr="0023458F" w:rsidRDefault="00093074" w:rsidP="00C6768A">
      <w:pPr>
        <w:rPr>
          <w:rFonts w:ascii="Calibri Light" w:hAnsi="Calibri Light" w:cs="Calibri Light"/>
        </w:rPr>
      </w:pPr>
      <w:r w:rsidRPr="004E5794">
        <w:rPr>
          <w:rFonts w:ascii="Calibri Light" w:hAnsi="Calibri Light" w:cs="Calibri Light"/>
          <w:b/>
          <w:bCs/>
        </w:rPr>
        <w:t>If ‘N</w:t>
      </w:r>
      <w:r w:rsidR="004E5794" w:rsidRPr="004E5794">
        <w:rPr>
          <w:rFonts w:ascii="Calibri Light" w:hAnsi="Calibri Light" w:cs="Calibri Light"/>
          <w:b/>
          <w:bCs/>
        </w:rPr>
        <w:t>’</w:t>
      </w:r>
      <w:r>
        <w:rPr>
          <w:rFonts w:ascii="Calibri Light" w:hAnsi="Calibri Light" w:cs="Calibri Light"/>
        </w:rPr>
        <w:t xml:space="preserve">:  Transfers </w:t>
      </w:r>
      <w:r w:rsidR="00C6768A" w:rsidRPr="0023458F">
        <w:rPr>
          <w:rFonts w:ascii="Calibri Light" w:hAnsi="Calibri Light" w:cs="Calibri Light"/>
        </w:rPr>
        <w:t>are not allowed under any circumstances</w:t>
      </w:r>
    </w:p>
    <w:p w14:paraId="33E3CE09" w14:textId="64B41F14" w:rsidR="00654AD2" w:rsidRPr="00654AD2" w:rsidRDefault="00093074" w:rsidP="00654AD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If ‘Y’</w:t>
      </w:r>
      <w:r w:rsidR="004E5794">
        <w:rPr>
          <w:rFonts w:ascii="Calibri Light" w:hAnsi="Calibri Light" w:cs="Calibri Light"/>
          <w:b/>
        </w:rPr>
        <w:t>:</w:t>
      </w:r>
      <w:r w:rsidR="00C6768A" w:rsidRPr="0023458F">
        <w:rPr>
          <w:rFonts w:ascii="Calibri Light" w:hAnsi="Calibri Light" w:cs="Calibri Light"/>
          <w:b/>
        </w:rPr>
        <w:t xml:space="preserve"> </w:t>
      </w:r>
      <w:r w:rsidR="00160ECE" w:rsidRPr="00756C4A">
        <w:rPr>
          <w:rFonts w:ascii="Calibri Light" w:hAnsi="Calibri Light" w:cs="Calibri Light"/>
        </w:rPr>
        <w:t xml:space="preserve">A transfer request form is required for all transfer requests and will be reviewed by the CES team. </w:t>
      </w:r>
      <w:r w:rsidR="00AE666E">
        <w:rPr>
          <w:rFonts w:ascii="Calibri Light" w:hAnsi="Calibri Light" w:cs="Calibri Light"/>
        </w:rPr>
        <w:t>The transfer form should be sen</w:t>
      </w:r>
      <w:r w:rsidR="00CD74A5">
        <w:rPr>
          <w:rFonts w:ascii="Calibri Light" w:hAnsi="Calibri Light" w:cs="Calibri Light"/>
        </w:rPr>
        <w:t>t</w:t>
      </w:r>
      <w:r w:rsidR="00AE666E">
        <w:rPr>
          <w:rFonts w:ascii="Calibri Light" w:hAnsi="Calibri Light" w:cs="Calibri Light"/>
        </w:rPr>
        <w:t xml:space="preserve"> to the CES inbox (</w:t>
      </w:r>
      <w:hyperlink r:id="rId9" w:history="1">
        <w:r w:rsidR="00F2049B" w:rsidRPr="00236B17">
          <w:rPr>
            <w:rStyle w:val="Hyperlink"/>
            <w:rFonts w:ascii="Calibri Light" w:hAnsi="Calibri Light" w:cs="Calibri Light"/>
          </w:rPr>
          <w:t>ces.hennepin@hennepin.us</w:t>
        </w:r>
      </w:hyperlink>
      <w:r w:rsidR="00AE666E">
        <w:rPr>
          <w:rFonts w:ascii="Calibri Light" w:hAnsi="Calibri Light" w:cs="Calibri Light"/>
        </w:rPr>
        <w:t>)</w:t>
      </w:r>
      <w:r w:rsidR="00F2049B">
        <w:rPr>
          <w:rFonts w:ascii="Calibri Light" w:hAnsi="Calibri Light" w:cs="Calibri Light"/>
        </w:rPr>
        <w:t xml:space="preserve">.  </w:t>
      </w:r>
      <w:r w:rsidR="00531B4F" w:rsidRPr="00756C4A">
        <w:rPr>
          <w:rFonts w:ascii="Calibri Light" w:hAnsi="Calibri Light" w:cs="Calibri Light"/>
        </w:rPr>
        <w:t xml:space="preserve">Include a CES Release of Information if one is not present in HMIS. </w:t>
      </w:r>
      <w:r w:rsidR="00C6768A" w:rsidRPr="00756C4A">
        <w:rPr>
          <w:rFonts w:ascii="Calibri Light" w:hAnsi="Calibri Light" w:cs="Calibri Light"/>
        </w:rPr>
        <w:t xml:space="preserve">The current housing provider is responsible for identifying another provider/program of the appropriate typology that is willing to accept the household and all coordination. </w:t>
      </w:r>
      <w:r w:rsidR="00654AD2">
        <w:rPr>
          <w:rFonts w:ascii="Calibri Light" w:hAnsi="Calibri Light" w:cs="Calibri Light"/>
        </w:rPr>
        <w:t>Upon agreement of the two providers, the transfer request form is to be sent</w:t>
      </w:r>
      <w:r w:rsidR="00654AD2" w:rsidRPr="00654AD2">
        <w:rPr>
          <w:rFonts w:ascii="Calibri Light" w:hAnsi="Calibri Light" w:cs="Calibri Light"/>
        </w:rPr>
        <w:t xml:space="preserve"> to the CES inbox (</w:t>
      </w:r>
      <w:hyperlink r:id="rId10" w:history="1">
        <w:r w:rsidR="00654AD2" w:rsidRPr="00654AD2">
          <w:rPr>
            <w:rStyle w:val="Hyperlink"/>
            <w:rFonts w:ascii="Calibri Light" w:hAnsi="Calibri Light" w:cs="Calibri Light"/>
          </w:rPr>
          <w:t>ces.hennepin@hennepin.us</w:t>
        </w:r>
      </w:hyperlink>
      <w:r w:rsidR="00654AD2" w:rsidRPr="00654AD2">
        <w:rPr>
          <w:rFonts w:ascii="Calibri Light" w:hAnsi="Calibri Light" w:cs="Calibri Light"/>
        </w:rPr>
        <w:t>) for review and approval</w:t>
      </w:r>
      <w:r w:rsidR="00654AD2">
        <w:rPr>
          <w:rFonts w:ascii="Calibri Light" w:hAnsi="Calibri Light" w:cs="Calibri Light"/>
        </w:rPr>
        <w:t>. Upon approval:</w:t>
      </w:r>
    </w:p>
    <w:p w14:paraId="60FC5683" w14:textId="43F50036" w:rsidR="00654AD2" w:rsidRPr="00654AD2" w:rsidRDefault="00654AD2" w:rsidP="00654AD2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Current program will provide all </w:t>
      </w:r>
      <w:r w:rsidRPr="0023458F">
        <w:rPr>
          <w:rFonts w:ascii="Calibri Light" w:hAnsi="Calibri Light" w:cs="Calibri Light"/>
        </w:rPr>
        <w:t>eligibility paperwork to the program accepting the transfer</w:t>
      </w:r>
    </w:p>
    <w:p w14:paraId="6F7BC109" w14:textId="5E6EA872" w:rsidR="00C6768A" w:rsidRPr="0023458F" w:rsidRDefault="00654AD2" w:rsidP="00654AD2">
      <w:pPr>
        <w:pStyle w:val="ListParagraph"/>
        <w:numPr>
          <w:ilvl w:val="0"/>
          <w:numId w:val="6"/>
        </w:numPr>
        <w:spacing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Current program will r</w:t>
      </w:r>
      <w:r w:rsidR="00C6768A" w:rsidRPr="0023458F">
        <w:rPr>
          <w:rFonts w:ascii="Calibri Light" w:hAnsi="Calibri Light" w:cs="Calibri Light"/>
        </w:rPr>
        <w:t>equest a new referral from the appropriate s</w:t>
      </w:r>
      <w:r>
        <w:rPr>
          <w:rFonts w:ascii="Calibri Light" w:hAnsi="Calibri Light" w:cs="Calibri Light"/>
        </w:rPr>
        <w:t>ystem (singles/families) upon completion of transfer</w:t>
      </w:r>
      <w:r w:rsidR="00C6768A" w:rsidRPr="0023458F">
        <w:rPr>
          <w:rFonts w:ascii="Calibri Light" w:hAnsi="Calibri Light" w:cs="Calibri Light"/>
        </w:rPr>
        <w:t>.</w:t>
      </w:r>
    </w:p>
    <w:p w14:paraId="79A97498" w14:textId="1A5970BD" w:rsidR="00C6768A" w:rsidRDefault="00C6768A" w:rsidP="00C6768A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Receiving provider is responsible for confirming eligibility. If no willing provider/program can be found, no transfer is possible. </w:t>
      </w:r>
    </w:p>
    <w:p w14:paraId="009D6BBA" w14:textId="041FB1A9" w:rsidR="0007032D" w:rsidRPr="0023458F" w:rsidRDefault="0007032D" w:rsidP="00C6768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CES Leadership Committees will receive periodic updates on the number of transfers requested.</w:t>
      </w:r>
      <w:r w:rsidR="00A11C9C">
        <w:rPr>
          <w:rFonts w:ascii="Calibri Light" w:hAnsi="Calibri Light" w:cs="Calibri Light"/>
        </w:rPr>
        <w:t xml:space="preserve">  The CES Leadership Committee will also be consulted if there is a transfer request that does not fall within the guidelines outlined in this document.  </w:t>
      </w:r>
    </w:p>
    <w:p w14:paraId="74C64F6D" w14:textId="77777777" w:rsidR="00C6768A" w:rsidRDefault="00C6768A" w:rsidP="00C6768A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Please see </w:t>
      </w:r>
      <w:r w:rsidRPr="006151DE">
        <w:rPr>
          <w:rFonts w:ascii="Calibri Light" w:hAnsi="Calibri Light" w:cs="Calibri Light"/>
        </w:rPr>
        <w:t>Appendix</w:t>
      </w:r>
      <w:r w:rsidRPr="0023458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E </w:t>
      </w:r>
      <w:r w:rsidRPr="0023458F">
        <w:rPr>
          <w:rFonts w:ascii="Calibri Light" w:hAnsi="Calibri Light" w:cs="Calibri Light"/>
        </w:rPr>
        <w:t>for Transfer Request Form</w:t>
      </w:r>
      <w:r>
        <w:rPr>
          <w:rFonts w:ascii="Calibri Light" w:hAnsi="Calibri Light" w:cs="Calibri Light"/>
        </w:rPr>
        <w:t>.</w:t>
      </w:r>
      <w:r w:rsidRPr="0023458F">
        <w:rPr>
          <w:rFonts w:ascii="Calibri Light" w:hAnsi="Calibri Light" w:cs="Calibri Light"/>
        </w:rPr>
        <w:t xml:space="preserve"> </w:t>
      </w:r>
    </w:p>
    <w:p w14:paraId="184F45AC" w14:textId="5038E2A1" w:rsidR="000F41D4" w:rsidRPr="003F40A3" w:rsidRDefault="000F41D4" w:rsidP="000F41D4">
      <w:pPr>
        <w:pStyle w:val="Heading2"/>
        <w:rPr>
          <w:u w:val="single"/>
        </w:rPr>
      </w:pPr>
      <w:r w:rsidRPr="003F40A3">
        <w:rPr>
          <w:u w:val="single"/>
        </w:rPr>
        <w:lastRenderedPageBreak/>
        <w:t xml:space="preserve">RRH to PSH Transfer Procedure </w:t>
      </w:r>
    </w:p>
    <w:p w14:paraId="34309959" w14:textId="093313FE" w:rsidR="000F41D4" w:rsidRPr="0023458F" w:rsidRDefault="00BF3C39" w:rsidP="000F41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Transfers from Single RRH to Family PSH</w:t>
      </w:r>
      <w:r w:rsidR="00C16B60"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 xml:space="preserve"> </w:t>
      </w:r>
      <w:r w:rsidR="000F41D4" w:rsidRPr="0023458F">
        <w:rPr>
          <w:rFonts w:ascii="Calibri Light" w:hAnsi="Calibri Light" w:cs="Calibri Light"/>
        </w:rPr>
        <w:t>are not allowed under any circumstances</w:t>
      </w:r>
    </w:p>
    <w:p w14:paraId="758BD587" w14:textId="77777777" w:rsidR="00E14148" w:rsidRDefault="00E95087" w:rsidP="000F41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Transfer request</w:t>
      </w:r>
      <w:r w:rsidR="007E0C92">
        <w:rPr>
          <w:rFonts w:ascii="Calibri Light" w:hAnsi="Calibri Light" w:cs="Calibri Light"/>
          <w:b/>
        </w:rPr>
        <w:t>s</w:t>
      </w:r>
      <w:r>
        <w:rPr>
          <w:rFonts w:ascii="Calibri Light" w:hAnsi="Calibri Light" w:cs="Calibri Light"/>
          <w:b/>
        </w:rPr>
        <w:t xml:space="preserve"> for RRH to PSH: </w:t>
      </w:r>
      <w:r w:rsidR="000F41D4" w:rsidRPr="00756C4A">
        <w:rPr>
          <w:rFonts w:ascii="Calibri Light" w:hAnsi="Calibri Light" w:cs="Calibri Light"/>
        </w:rPr>
        <w:t xml:space="preserve">A transfer request form is required for all transfer requests and will be reviewed by the CES team. </w:t>
      </w:r>
      <w:r w:rsidR="000F41D4">
        <w:rPr>
          <w:rFonts w:ascii="Calibri Light" w:hAnsi="Calibri Light" w:cs="Calibri Light"/>
        </w:rPr>
        <w:t>The transfer form should be sen</w:t>
      </w:r>
      <w:r w:rsidR="001F3B93">
        <w:rPr>
          <w:rFonts w:ascii="Calibri Light" w:hAnsi="Calibri Light" w:cs="Calibri Light"/>
        </w:rPr>
        <w:t>t</w:t>
      </w:r>
      <w:r w:rsidR="000F41D4">
        <w:rPr>
          <w:rFonts w:ascii="Calibri Light" w:hAnsi="Calibri Light" w:cs="Calibri Light"/>
        </w:rPr>
        <w:t xml:space="preserve"> to the CES inbox (</w:t>
      </w:r>
      <w:hyperlink r:id="rId11" w:history="1">
        <w:r w:rsidR="000F41D4" w:rsidRPr="00236B17">
          <w:rPr>
            <w:rStyle w:val="Hyperlink"/>
            <w:rFonts w:ascii="Calibri Light" w:hAnsi="Calibri Light" w:cs="Calibri Light"/>
          </w:rPr>
          <w:t>ces.hennepin@hennepin.us</w:t>
        </w:r>
      </w:hyperlink>
      <w:r w:rsidR="000F41D4">
        <w:rPr>
          <w:rFonts w:ascii="Calibri Light" w:hAnsi="Calibri Light" w:cs="Calibri Light"/>
        </w:rPr>
        <w:t xml:space="preserve">). </w:t>
      </w:r>
    </w:p>
    <w:p w14:paraId="0DA82813" w14:textId="108B8060" w:rsidR="00774697" w:rsidRDefault="00F27E3F" w:rsidP="00AC4E72">
      <w:pPr>
        <w:spacing w:after="0" w:line="240" w:lineRule="auto"/>
        <w:rPr>
          <w:rFonts w:ascii="Calibri Light" w:hAnsi="Calibri Light" w:cs="Calibri Light"/>
        </w:rPr>
      </w:pPr>
      <w:r w:rsidRPr="00AC4E72">
        <w:rPr>
          <w:rFonts w:ascii="Calibri Light" w:hAnsi="Calibri Light" w:cs="Calibri Light"/>
          <w:b/>
          <w:bCs/>
        </w:rPr>
        <w:t xml:space="preserve">All transfer requests </w:t>
      </w:r>
      <w:r w:rsidR="00F311C4" w:rsidRPr="00AC4E72">
        <w:rPr>
          <w:rFonts w:ascii="Calibri Light" w:hAnsi="Calibri Light" w:cs="Calibri Light"/>
          <w:b/>
          <w:bCs/>
        </w:rPr>
        <w:t>must include</w:t>
      </w:r>
      <w:r w:rsidR="00774697">
        <w:rPr>
          <w:rFonts w:ascii="Calibri Light" w:hAnsi="Calibri Light" w:cs="Calibri Light"/>
        </w:rPr>
        <w:t>:</w:t>
      </w:r>
    </w:p>
    <w:p w14:paraId="62AF73B4" w14:textId="77777777" w:rsidR="002546EB" w:rsidRDefault="008D1806" w:rsidP="00AC4E72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F311C4" w:rsidRPr="00772F27">
        <w:rPr>
          <w:rFonts w:ascii="Calibri Light" w:hAnsi="Calibri Light" w:cs="Calibri Light"/>
        </w:rPr>
        <w:t xml:space="preserve">arrative regarding </w:t>
      </w:r>
      <w:r w:rsidR="00A130F0" w:rsidRPr="00772F27">
        <w:rPr>
          <w:rFonts w:ascii="Calibri Light" w:hAnsi="Calibri Light" w:cs="Calibri Light"/>
        </w:rPr>
        <w:t>efforts made</w:t>
      </w:r>
      <w:r w:rsidR="00C16B60" w:rsidRPr="00772F27">
        <w:rPr>
          <w:rFonts w:ascii="Calibri Light" w:hAnsi="Calibri Light" w:cs="Calibri Light"/>
        </w:rPr>
        <w:t xml:space="preserve"> with the household to help them stabilize their housing using RRH.</w:t>
      </w:r>
    </w:p>
    <w:p w14:paraId="5283324F" w14:textId="27998CCA" w:rsidR="00B124DF" w:rsidRDefault="002546EB" w:rsidP="00AC4E72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Narrative including the need</w:t>
      </w:r>
      <w:r w:rsidR="003F33D1">
        <w:rPr>
          <w:rFonts w:ascii="Calibri Light" w:hAnsi="Calibri Light" w:cs="Calibri Light"/>
        </w:rPr>
        <w:t xml:space="preserve"> for PSH</w:t>
      </w:r>
      <w:r w:rsidR="00941367">
        <w:rPr>
          <w:rFonts w:ascii="Calibri Light" w:hAnsi="Calibri Light" w:cs="Calibri Light"/>
        </w:rPr>
        <w:t xml:space="preserve"> services</w:t>
      </w:r>
      <w:r w:rsidR="000406B8">
        <w:rPr>
          <w:rFonts w:ascii="Calibri Light" w:hAnsi="Calibri Light" w:cs="Calibri Light"/>
        </w:rPr>
        <w:t>.</w:t>
      </w:r>
    </w:p>
    <w:p w14:paraId="48BAD7C8" w14:textId="52C89EBE" w:rsidR="000406B8" w:rsidRPr="00772F27" w:rsidRDefault="000406B8" w:rsidP="00A33A0C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756C4A">
        <w:rPr>
          <w:rFonts w:ascii="Calibri Light" w:hAnsi="Calibri Light" w:cs="Calibri Light"/>
        </w:rPr>
        <w:t>CES Release of Information if one is not present in HMIS</w:t>
      </w:r>
      <w:r w:rsidR="00E14148">
        <w:rPr>
          <w:rFonts w:ascii="Calibri Light" w:hAnsi="Calibri Light" w:cs="Calibri Light"/>
        </w:rPr>
        <w:t>.</w:t>
      </w:r>
    </w:p>
    <w:p w14:paraId="79B6C505" w14:textId="77777777" w:rsidR="00A33A0C" w:rsidRDefault="00A33A0C" w:rsidP="00A33A0C">
      <w:pPr>
        <w:spacing w:after="0" w:line="240" w:lineRule="auto"/>
        <w:rPr>
          <w:rFonts w:ascii="Calibri Light" w:hAnsi="Calibri Light" w:cs="Calibri Light"/>
        </w:rPr>
      </w:pPr>
    </w:p>
    <w:p w14:paraId="4777B835" w14:textId="2BABD27D" w:rsidR="000F41D4" w:rsidRPr="00A33A0C" w:rsidRDefault="000F41D4" w:rsidP="00A33A0C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A33A0C">
        <w:rPr>
          <w:rFonts w:ascii="Calibri Light" w:hAnsi="Calibri Light" w:cs="Calibri Light"/>
          <w:b/>
          <w:bCs/>
        </w:rPr>
        <w:t>Upon approval:</w:t>
      </w:r>
    </w:p>
    <w:p w14:paraId="56E2B107" w14:textId="4BA1AB2B" w:rsidR="000F41D4" w:rsidRPr="00F567BE" w:rsidRDefault="000F41D4" w:rsidP="00A33A0C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</w:rPr>
      </w:pPr>
      <w:r w:rsidRPr="00F567BE">
        <w:rPr>
          <w:rFonts w:ascii="Calibri Light" w:hAnsi="Calibri Light" w:cs="Calibri Light"/>
        </w:rPr>
        <w:t>Current program will provide all eligibility paperwork to the program accepting the transfer</w:t>
      </w:r>
    </w:p>
    <w:p w14:paraId="6498CFD8" w14:textId="77777777" w:rsidR="00AF5242" w:rsidRDefault="000F41D4" w:rsidP="00A33A0C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Current program will r</w:t>
      </w:r>
      <w:r w:rsidRPr="0023458F">
        <w:rPr>
          <w:rFonts w:ascii="Calibri Light" w:hAnsi="Calibri Light" w:cs="Calibri Light"/>
        </w:rPr>
        <w:t>equest a new referral from the appropriate s</w:t>
      </w:r>
      <w:r>
        <w:rPr>
          <w:rFonts w:ascii="Calibri Light" w:hAnsi="Calibri Light" w:cs="Calibri Light"/>
        </w:rPr>
        <w:t>ystem (singles/families) upon completion of transfer</w:t>
      </w:r>
      <w:r w:rsidRPr="0023458F">
        <w:rPr>
          <w:rFonts w:ascii="Calibri Light" w:hAnsi="Calibri Light" w:cs="Calibri Light"/>
        </w:rPr>
        <w:t>.</w:t>
      </w:r>
    </w:p>
    <w:p w14:paraId="26404262" w14:textId="35B0CB98" w:rsidR="000F41D4" w:rsidRDefault="00AF5242" w:rsidP="00A33A0C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</w:rPr>
      </w:pPr>
      <w:r w:rsidRPr="00F567BE">
        <w:rPr>
          <w:rFonts w:ascii="Calibri Light" w:hAnsi="Calibri Light" w:cs="Calibri Light"/>
        </w:rPr>
        <w:t>R</w:t>
      </w:r>
      <w:r w:rsidR="000F41D4" w:rsidRPr="00F567BE">
        <w:rPr>
          <w:rFonts w:ascii="Calibri Light" w:hAnsi="Calibri Light" w:cs="Calibri Light"/>
        </w:rPr>
        <w:t xml:space="preserve">eceiving provider is responsible for confirming eligibility. </w:t>
      </w:r>
    </w:p>
    <w:p w14:paraId="5A7F5903" w14:textId="77777777" w:rsidR="00A33A0C" w:rsidRPr="00F567BE" w:rsidRDefault="00A33A0C" w:rsidP="00A33A0C">
      <w:pPr>
        <w:pStyle w:val="ListParagraph"/>
        <w:spacing w:after="0" w:line="240" w:lineRule="auto"/>
        <w:rPr>
          <w:rFonts w:ascii="Calibri Light" w:hAnsi="Calibri Light" w:cs="Calibri Light"/>
        </w:rPr>
      </w:pPr>
    </w:p>
    <w:p w14:paraId="0A3F70C9" w14:textId="77777777" w:rsidR="000F41D4" w:rsidRPr="0023458F" w:rsidRDefault="000F41D4" w:rsidP="000F41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CES Leadership Committees will receive periodic updates on the number of transfers requested.</w:t>
      </w:r>
    </w:p>
    <w:p w14:paraId="3ED697ED" w14:textId="77777777" w:rsidR="000F41D4" w:rsidRDefault="000F41D4" w:rsidP="000F41D4">
      <w:pPr>
        <w:rPr>
          <w:rFonts w:ascii="Calibri Light" w:hAnsi="Calibri Light" w:cs="Calibri Light"/>
        </w:rPr>
      </w:pPr>
      <w:r w:rsidRPr="0023458F">
        <w:rPr>
          <w:rFonts w:ascii="Calibri Light" w:hAnsi="Calibri Light" w:cs="Calibri Light"/>
        </w:rPr>
        <w:t xml:space="preserve">Please see </w:t>
      </w:r>
      <w:r w:rsidRPr="006151DE">
        <w:rPr>
          <w:rFonts w:ascii="Calibri Light" w:hAnsi="Calibri Light" w:cs="Calibri Light"/>
        </w:rPr>
        <w:t>Appendix</w:t>
      </w:r>
      <w:r w:rsidRPr="0023458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E </w:t>
      </w:r>
      <w:r w:rsidRPr="0023458F">
        <w:rPr>
          <w:rFonts w:ascii="Calibri Light" w:hAnsi="Calibri Light" w:cs="Calibri Light"/>
        </w:rPr>
        <w:t>for Transfer Request Form</w:t>
      </w:r>
      <w:r>
        <w:rPr>
          <w:rFonts w:ascii="Calibri Light" w:hAnsi="Calibri Light" w:cs="Calibri Light"/>
        </w:rPr>
        <w:t>.</w:t>
      </w:r>
      <w:r w:rsidRPr="0023458F">
        <w:rPr>
          <w:rFonts w:ascii="Calibri Light" w:hAnsi="Calibri Light" w:cs="Calibri Light"/>
        </w:rPr>
        <w:t xml:space="preserve"> </w:t>
      </w:r>
    </w:p>
    <w:p w14:paraId="498F2ED2" w14:textId="77777777" w:rsidR="000F41D4" w:rsidRPr="00C6768A" w:rsidRDefault="000F41D4" w:rsidP="000F41D4"/>
    <w:p w14:paraId="6E218DF1" w14:textId="77777777" w:rsidR="000F41D4" w:rsidRPr="00C6768A" w:rsidRDefault="000F41D4" w:rsidP="00C6768A"/>
    <w:sectPr w:rsidR="000F41D4" w:rsidRPr="00C6768A" w:rsidSect="0088401F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518F"/>
    <w:multiLevelType w:val="hybridMultilevel"/>
    <w:tmpl w:val="1F28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E26"/>
    <w:multiLevelType w:val="hybridMultilevel"/>
    <w:tmpl w:val="D088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557"/>
    <w:multiLevelType w:val="hybridMultilevel"/>
    <w:tmpl w:val="780C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1CEA"/>
    <w:multiLevelType w:val="hybridMultilevel"/>
    <w:tmpl w:val="E23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11F7"/>
    <w:multiLevelType w:val="hybridMultilevel"/>
    <w:tmpl w:val="C07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375B"/>
    <w:multiLevelType w:val="hybridMultilevel"/>
    <w:tmpl w:val="5498B776"/>
    <w:lvl w:ilvl="0" w:tplc="ED56A9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AE9"/>
    <w:multiLevelType w:val="hybridMultilevel"/>
    <w:tmpl w:val="EB6AD646"/>
    <w:lvl w:ilvl="0" w:tplc="410E1B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12D43"/>
    <w:multiLevelType w:val="hybridMultilevel"/>
    <w:tmpl w:val="209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A244F"/>
    <w:multiLevelType w:val="hybridMultilevel"/>
    <w:tmpl w:val="5628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22B"/>
    <w:multiLevelType w:val="hybridMultilevel"/>
    <w:tmpl w:val="33EC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151C"/>
    <w:multiLevelType w:val="hybridMultilevel"/>
    <w:tmpl w:val="2D24082C"/>
    <w:lvl w:ilvl="0" w:tplc="9D567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8A"/>
    <w:rsid w:val="00000D98"/>
    <w:rsid w:val="00015A3E"/>
    <w:rsid w:val="000406B8"/>
    <w:rsid w:val="0007032D"/>
    <w:rsid w:val="00083170"/>
    <w:rsid w:val="00093074"/>
    <w:rsid w:val="000A58EC"/>
    <w:rsid w:val="000C6E14"/>
    <w:rsid w:val="000F41D4"/>
    <w:rsid w:val="0010242C"/>
    <w:rsid w:val="0011285F"/>
    <w:rsid w:val="001130E2"/>
    <w:rsid w:val="00146A89"/>
    <w:rsid w:val="00150E3C"/>
    <w:rsid w:val="00160ECE"/>
    <w:rsid w:val="00185571"/>
    <w:rsid w:val="001C29B5"/>
    <w:rsid w:val="001C5A56"/>
    <w:rsid w:val="001F3935"/>
    <w:rsid w:val="001F3B93"/>
    <w:rsid w:val="0022033D"/>
    <w:rsid w:val="002321D6"/>
    <w:rsid w:val="0023458F"/>
    <w:rsid w:val="00235B63"/>
    <w:rsid w:val="002546EB"/>
    <w:rsid w:val="00266AD2"/>
    <w:rsid w:val="00272FF4"/>
    <w:rsid w:val="002969A4"/>
    <w:rsid w:val="002D1E15"/>
    <w:rsid w:val="002D2BDD"/>
    <w:rsid w:val="002E6443"/>
    <w:rsid w:val="00303ACA"/>
    <w:rsid w:val="00305955"/>
    <w:rsid w:val="003217BC"/>
    <w:rsid w:val="00332B8D"/>
    <w:rsid w:val="00337B6C"/>
    <w:rsid w:val="00375154"/>
    <w:rsid w:val="003B247A"/>
    <w:rsid w:val="003C131E"/>
    <w:rsid w:val="003D1E78"/>
    <w:rsid w:val="003F33D1"/>
    <w:rsid w:val="003F40A3"/>
    <w:rsid w:val="004007EC"/>
    <w:rsid w:val="00475B9B"/>
    <w:rsid w:val="004831DB"/>
    <w:rsid w:val="00484A8A"/>
    <w:rsid w:val="00497FB2"/>
    <w:rsid w:val="004D6EEC"/>
    <w:rsid w:val="004E5794"/>
    <w:rsid w:val="00526C3A"/>
    <w:rsid w:val="0052792E"/>
    <w:rsid w:val="00531B4F"/>
    <w:rsid w:val="005A2F00"/>
    <w:rsid w:val="005D7CED"/>
    <w:rsid w:val="005F4B72"/>
    <w:rsid w:val="00603165"/>
    <w:rsid w:val="006075B9"/>
    <w:rsid w:val="00622012"/>
    <w:rsid w:val="006220E6"/>
    <w:rsid w:val="00643E93"/>
    <w:rsid w:val="00654AD2"/>
    <w:rsid w:val="00665B04"/>
    <w:rsid w:val="00675787"/>
    <w:rsid w:val="006A2127"/>
    <w:rsid w:val="006A7A21"/>
    <w:rsid w:val="006E1411"/>
    <w:rsid w:val="00732E68"/>
    <w:rsid w:val="00756C4A"/>
    <w:rsid w:val="00772F27"/>
    <w:rsid w:val="00774697"/>
    <w:rsid w:val="00787281"/>
    <w:rsid w:val="00790293"/>
    <w:rsid w:val="0079517B"/>
    <w:rsid w:val="007C4002"/>
    <w:rsid w:val="007E0C92"/>
    <w:rsid w:val="00826C2F"/>
    <w:rsid w:val="0084621E"/>
    <w:rsid w:val="0088401F"/>
    <w:rsid w:val="00890DCF"/>
    <w:rsid w:val="008D1806"/>
    <w:rsid w:val="00941367"/>
    <w:rsid w:val="009801C8"/>
    <w:rsid w:val="009B44C1"/>
    <w:rsid w:val="00A006F0"/>
    <w:rsid w:val="00A11C9C"/>
    <w:rsid w:val="00A130F0"/>
    <w:rsid w:val="00A32FE2"/>
    <w:rsid w:val="00A33A0C"/>
    <w:rsid w:val="00A64CAB"/>
    <w:rsid w:val="00A95668"/>
    <w:rsid w:val="00AB350C"/>
    <w:rsid w:val="00AC1978"/>
    <w:rsid w:val="00AC4E72"/>
    <w:rsid w:val="00AE666E"/>
    <w:rsid w:val="00AF5242"/>
    <w:rsid w:val="00B045EC"/>
    <w:rsid w:val="00B124DF"/>
    <w:rsid w:val="00B525F8"/>
    <w:rsid w:val="00B5367D"/>
    <w:rsid w:val="00BA1A6F"/>
    <w:rsid w:val="00BA2DFC"/>
    <w:rsid w:val="00BA5202"/>
    <w:rsid w:val="00BB1195"/>
    <w:rsid w:val="00BB5E15"/>
    <w:rsid w:val="00BC4848"/>
    <w:rsid w:val="00BE6300"/>
    <w:rsid w:val="00BF3C39"/>
    <w:rsid w:val="00C14251"/>
    <w:rsid w:val="00C16B60"/>
    <w:rsid w:val="00C31962"/>
    <w:rsid w:val="00C45156"/>
    <w:rsid w:val="00C6768A"/>
    <w:rsid w:val="00C96595"/>
    <w:rsid w:val="00CA1C67"/>
    <w:rsid w:val="00CD0E88"/>
    <w:rsid w:val="00CD74A5"/>
    <w:rsid w:val="00CE5B90"/>
    <w:rsid w:val="00D03BB0"/>
    <w:rsid w:val="00D252DB"/>
    <w:rsid w:val="00D45627"/>
    <w:rsid w:val="00D46443"/>
    <w:rsid w:val="00D678C0"/>
    <w:rsid w:val="00D85A5E"/>
    <w:rsid w:val="00E14148"/>
    <w:rsid w:val="00E148DB"/>
    <w:rsid w:val="00E24269"/>
    <w:rsid w:val="00E519A3"/>
    <w:rsid w:val="00E56437"/>
    <w:rsid w:val="00E56B5F"/>
    <w:rsid w:val="00E825CE"/>
    <w:rsid w:val="00E82F74"/>
    <w:rsid w:val="00E95087"/>
    <w:rsid w:val="00EA54C4"/>
    <w:rsid w:val="00EB1492"/>
    <w:rsid w:val="00ED0C26"/>
    <w:rsid w:val="00F04B90"/>
    <w:rsid w:val="00F2049B"/>
    <w:rsid w:val="00F27E3F"/>
    <w:rsid w:val="00F311C4"/>
    <w:rsid w:val="00F405EC"/>
    <w:rsid w:val="00F55544"/>
    <w:rsid w:val="00F567BE"/>
    <w:rsid w:val="00F56BA4"/>
    <w:rsid w:val="00F92F0D"/>
    <w:rsid w:val="00FA76B6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BEA2"/>
  <w15:chartTrackingRefBased/>
  <w15:docId w15:val="{652CAF64-C057-4CD9-9AA7-4121457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6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76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68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C67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4A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s.hennepin@hennepin.u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es.hennepin@hennepin.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s.hennepin@hennep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31FBDB8A034E981576EDFBE4E68B" ma:contentTypeVersion="12" ma:contentTypeDescription="Create a new document." ma:contentTypeScope="" ma:versionID="033c802e2a10cfb65b9b7904793e6054">
  <xsd:schema xmlns:xsd="http://www.w3.org/2001/XMLSchema" xmlns:xs="http://www.w3.org/2001/XMLSchema" xmlns:p="http://schemas.microsoft.com/office/2006/metadata/properties" xmlns:ns3="0a2d7684-0bc3-4433-90ba-d2766508cfdf" xmlns:ns4="70859cf6-8fbe-4aae-8f56-186f7e116595" targetNamespace="http://schemas.microsoft.com/office/2006/metadata/properties" ma:root="true" ma:fieldsID="7c04f7377f584a06faf122ab5210386d" ns3:_="" ns4:_="">
    <xsd:import namespace="0a2d7684-0bc3-4433-90ba-d2766508cfdf"/>
    <xsd:import namespace="70859cf6-8fbe-4aae-8f56-186f7e1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d7684-0bc3-4433-90ba-d2766508c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59cf6-8fbe-4aae-8f56-186f7e11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81C9-8162-4553-8A26-612C7AFA8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A5B80-7B86-4E72-A891-BE4EE4DAD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16BB-F9D5-4DCB-8016-4CD8EBEFC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B0CB2-79E0-4B27-9B63-79E7B7288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d7684-0bc3-4433-90ba-d2766508cfdf"/>
    <ds:schemaRef ds:uri="70859cf6-8fbe-4aae-8f56-186f7e1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Wagner</dc:creator>
  <cp:keywords/>
  <dc:description/>
  <cp:lastModifiedBy>Amy E Donohue</cp:lastModifiedBy>
  <cp:revision>2</cp:revision>
  <cp:lastPrinted>2019-10-31T13:51:00Z</cp:lastPrinted>
  <dcterms:created xsi:type="dcterms:W3CDTF">2021-07-14T17:13:00Z</dcterms:created>
  <dcterms:modified xsi:type="dcterms:W3CDTF">2021-07-14T17:13:00Z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0x0101002B6731FBDB8A034E981576EDFBE4E68B</vt:lpwstr>
  </property>
</Properties>
</file>