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B471C" w14:textId="539F402F" w:rsidR="007F74D0" w:rsidRPr="00D82558" w:rsidRDefault="00EC109F" w:rsidP="007F74D0">
      <w:pPr>
        <w:spacing w:after="0" w:line="240" w:lineRule="auto"/>
        <w:rPr>
          <w:rFonts w:eastAsia="Times New Roman" w:cstheme="minorHAnsi"/>
          <w:b/>
          <w:bCs/>
        </w:rPr>
      </w:pPr>
      <w:r w:rsidRPr="00D82558">
        <w:rPr>
          <w:rFonts w:eastAsia="Times New Roman" w:cstheme="minorHAnsi"/>
          <w:b/>
          <w:bCs/>
        </w:rPr>
        <w:t>Emergency Housing Vouchers</w:t>
      </w:r>
    </w:p>
    <w:p w14:paraId="1F6E219E" w14:textId="16761E7E" w:rsidR="00EC109F" w:rsidRPr="00D82558" w:rsidRDefault="00DC0C97" w:rsidP="007F74D0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Eligibility and Process Definitions – Requirements of ‘Housing Case Managers’</w:t>
      </w:r>
      <w:r w:rsidR="00EC109F" w:rsidRPr="00D82558">
        <w:rPr>
          <w:rFonts w:eastAsia="Times New Roman" w:cstheme="minorHAnsi"/>
          <w:b/>
          <w:bCs/>
        </w:rPr>
        <w:t xml:space="preserve"> </w:t>
      </w:r>
      <w:r w:rsidR="00D82558">
        <w:rPr>
          <w:rFonts w:eastAsia="Times New Roman" w:cstheme="minorHAnsi"/>
          <w:b/>
          <w:bCs/>
        </w:rPr>
        <w:t xml:space="preserve">Services </w:t>
      </w:r>
    </w:p>
    <w:p w14:paraId="592DDD69" w14:textId="4F93DE9C" w:rsidR="00EC109F" w:rsidRPr="00444F40" w:rsidRDefault="00EC109F" w:rsidP="007F74D0">
      <w:pPr>
        <w:spacing w:after="0" w:line="240" w:lineRule="auto"/>
        <w:rPr>
          <w:rFonts w:eastAsia="Times New Roman" w:cstheme="minorHAnsi"/>
          <w:sz w:val="12"/>
          <w:szCs w:val="12"/>
        </w:rPr>
      </w:pPr>
    </w:p>
    <w:p w14:paraId="39AB9055" w14:textId="77777777" w:rsidR="00020241" w:rsidRPr="00571B91" w:rsidRDefault="00EC109F" w:rsidP="007F74D0">
      <w:pPr>
        <w:spacing w:after="0" w:line="240" w:lineRule="auto"/>
        <w:rPr>
          <w:rFonts w:eastAsia="Times New Roman" w:cstheme="minorHAnsi"/>
          <w:b/>
          <w:bCs/>
          <w:color w:val="4472C4" w:themeColor="accent1"/>
          <w:u w:val="single"/>
        </w:rPr>
      </w:pPr>
      <w:r w:rsidRPr="00571B91">
        <w:rPr>
          <w:rFonts w:eastAsia="Times New Roman" w:cstheme="minorHAnsi"/>
          <w:b/>
          <w:bCs/>
          <w:color w:val="4472C4" w:themeColor="accent1"/>
          <w:u w:val="single"/>
        </w:rPr>
        <w:t xml:space="preserve">What: </w:t>
      </w:r>
    </w:p>
    <w:p w14:paraId="5F2A9FEC" w14:textId="6F20A855" w:rsidR="00020241" w:rsidRPr="00D82558" w:rsidRDefault="00EC109F" w:rsidP="0002024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D82558">
        <w:rPr>
          <w:rFonts w:eastAsia="Times New Roman" w:cstheme="minorHAnsi"/>
        </w:rPr>
        <w:t xml:space="preserve">Hennepin County will be </w:t>
      </w:r>
      <w:r w:rsidR="006B5C89">
        <w:rPr>
          <w:rFonts w:eastAsia="Times New Roman" w:cstheme="minorHAnsi"/>
        </w:rPr>
        <w:t>collaborating</w:t>
      </w:r>
      <w:r w:rsidRPr="00D82558">
        <w:rPr>
          <w:rFonts w:eastAsia="Times New Roman" w:cstheme="minorHAnsi"/>
        </w:rPr>
        <w:t xml:space="preserve"> with Public Housing Authorities </w:t>
      </w:r>
      <w:r w:rsidR="00AE35AA" w:rsidRPr="00D82558">
        <w:rPr>
          <w:rFonts w:eastAsia="Times New Roman" w:cstheme="minorHAnsi"/>
        </w:rPr>
        <w:t>to issue 300+ Emergency Housing Vouchers</w:t>
      </w:r>
      <w:r w:rsidR="00711221" w:rsidRPr="00D82558">
        <w:rPr>
          <w:rFonts w:eastAsia="Times New Roman" w:cstheme="minorHAnsi"/>
        </w:rPr>
        <w:t xml:space="preserve"> (EHVs)</w:t>
      </w:r>
      <w:r w:rsidR="00DC0C97">
        <w:rPr>
          <w:rFonts w:eastAsia="Times New Roman" w:cstheme="minorHAnsi"/>
        </w:rPr>
        <w:t xml:space="preserve"> through the Hennepin County Coordinated Entry System</w:t>
      </w:r>
      <w:r w:rsidR="003E558F">
        <w:rPr>
          <w:rFonts w:eastAsia="Times New Roman" w:cstheme="minorHAnsi"/>
        </w:rPr>
        <w:t xml:space="preserve"> (CES)</w:t>
      </w:r>
      <w:r w:rsidR="00A53B66" w:rsidRPr="00D82558">
        <w:rPr>
          <w:rFonts w:eastAsia="Times New Roman" w:cstheme="minorHAnsi"/>
        </w:rPr>
        <w:t xml:space="preserve">.  </w:t>
      </w:r>
    </w:p>
    <w:p w14:paraId="250DCEBC" w14:textId="7128A7EC" w:rsidR="00DC0C97" w:rsidRDefault="00DC0C97" w:rsidP="00DC0C97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D82558">
        <w:rPr>
          <w:rFonts w:eastAsia="Times New Roman" w:cstheme="minorHAnsi"/>
        </w:rPr>
        <w:t>Hennepin County will continue to prioritize households based on CES assessment and prioritization (disability, chronic homelessness, and number of months HUD homeless)</w:t>
      </w:r>
      <w:r>
        <w:rPr>
          <w:rFonts w:eastAsia="Times New Roman" w:cstheme="minorHAnsi"/>
        </w:rPr>
        <w:t xml:space="preserve">. </w:t>
      </w:r>
    </w:p>
    <w:p w14:paraId="42876694" w14:textId="77777777" w:rsidR="00AD613B" w:rsidRPr="00D82558" w:rsidRDefault="00AD613B" w:rsidP="00AD613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D82558">
        <w:rPr>
          <w:rFonts w:eastAsia="Times New Roman" w:cstheme="minorHAnsi"/>
        </w:rPr>
        <w:t xml:space="preserve">There are no continuing support services provided with the Emergency Housing Vouchers. </w:t>
      </w:r>
    </w:p>
    <w:p w14:paraId="3D9752E4" w14:textId="5E9993A5" w:rsidR="00DC0C97" w:rsidRPr="00D82558" w:rsidRDefault="00AD613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To ensure full utilization of the available EHVs and quick connection to housing resources, a</w:t>
      </w:r>
      <w:r w:rsidR="00DC0C97">
        <w:rPr>
          <w:rFonts w:eastAsia="Times New Roman" w:cstheme="minorHAnsi"/>
        </w:rPr>
        <w:t xml:space="preserve">n </w:t>
      </w:r>
      <w:r w:rsidR="00167691">
        <w:rPr>
          <w:rFonts w:eastAsia="Times New Roman" w:cstheme="minorHAnsi"/>
        </w:rPr>
        <w:t>additional eligibility criterion</w:t>
      </w:r>
      <w:r w:rsidR="00DC0C97">
        <w:rPr>
          <w:rFonts w:eastAsia="Times New Roman" w:cstheme="minorHAnsi"/>
        </w:rPr>
        <w:t xml:space="preserve"> </w:t>
      </w:r>
      <w:r w:rsidR="00167691">
        <w:rPr>
          <w:rFonts w:eastAsia="Times New Roman" w:cstheme="minorHAnsi"/>
        </w:rPr>
        <w:t>for the EHVs will be that in order to receive a referral</w:t>
      </w:r>
      <w:r>
        <w:rPr>
          <w:rFonts w:eastAsia="Times New Roman" w:cstheme="minorHAnsi"/>
        </w:rPr>
        <w:t xml:space="preserve"> through CES</w:t>
      </w:r>
      <w:r w:rsidR="000706F1">
        <w:rPr>
          <w:rFonts w:eastAsia="Times New Roman" w:cstheme="minorHAnsi"/>
        </w:rPr>
        <w:t>,</w:t>
      </w:r>
      <w:r w:rsidR="00167691">
        <w:rPr>
          <w:rFonts w:eastAsia="Times New Roman" w:cstheme="minorHAnsi"/>
        </w:rPr>
        <w:t xml:space="preserve"> the person needs to be connected to a ‘Housing Case Manager’ </w:t>
      </w:r>
      <w:r>
        <w:rPr>
          <w:rFonts w:eastAsia="Times New Roman" w:cstheme="minorHAnsi"/>
        </w:rPr>
        <w:t>*</w:t>
      </w:r>
      <w:r w:rsidR="003E558F">
        <w:rPr>
          <w:rFonts w:eastAsia="Times New Roman" w:cstheme="minorHAnsi"/>
        </w:rPr>
        <w:t>(</w:t>
      </w:r>
      <w:r w:rsidR="00167691">
        <w:rPr>
          <w:rFonts w:eastAsia="Times New Roman" w:cstheme="minorHAnsi"/>
        </w:rPr>
        <w:t>as defined below</w:t>
      </w:r>
      <w:r>
        <w:rPr>
          <w:rFonts w:eastAsia="Times New Roman" w:cstheme="minorHAnsi"/>
        </w:rPr>
        <w:t>)</w:t>
      </w:r>
      <w:r w:rsidR="00167691">
        <w:rPr>
          <w:rFonts w:eastAsia="Times New Roman" w:cstheme="minorHAnsi"/>
        </w:rPr>
        <w:t xml:space="preserve"> </w:t>
      </w:r>
      <w:r w:rsidR="000706F1">
        <w:rPr>
          <w:rFonts w:eastAsia="Times New Roman" w:cstheme="minorHAnsi"/>
        </w:rPr>
        <w:t xml:space="preserve">which will </w:t>
      </w:r>
      <w:r w:rsidR="00167691">
        <w:rPr>
          <w:rFonts w:eastAsia="Times New Roman" w:cstheme="minorHAnsi"/>
        </w:rPr>
        <w:t xml:space="preserve"> be documented in </w:t>
      </w:r>
      <w:r w:rsidR="003E558F">
        <w:rPr>
          <w:rFonts w:eastAsia="Times New Roman" w:cstheme="minorHAnsi"/>
        </w:rPr>
        <w:t>the Homeless Management Information System (</w:t>
      </w:r>
      <w:r w:rsidR="00167691">
        <w:rPr>
          <w:rFonts w:eastAsia="Times New Roman" w:cstheme="minorHAnsi"/>
        </w:rPr>
        <w:t>HMIS</w:t>
      </w:r>
      <w:r w:rsidR="003E558F">
        <w:rPr>
          <w:rFonts w:eastAsia="Times New Roman" w:cstheme="minorHAnsi"/>
        </w:rPr>
        <w:t>)</w:t>
      </w:r>
      <w:r w:rsidR="00167691">
        <w:rPr>
          <w:rFonts w:eastAsia="Times New Roman" w:cstheme="minorHAnsi"/>
        </w:rPr>
        <w:t xml:space="preserve">. </w:t>
      </w:r>
      <w:r w:rsidR="00DC0C97">
        <w:rPr>
          <w:rFonts w:eastAsia="Times New Roman" w:cstheme="minorHAnsi"/>
        </w:rPr>
        <w:t xml:space="preserve"> </w:t>
      </w:r>
    </w:p>
    <w:p w14:paraId="053B3B22" w14:textId="4438E933" w:rsidR="00020241" w:rsidRPr="00D82558" w:rsidRDefault="00020241" w:rsidP="00020241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D82558">
        <w:rPr>
          <w:rFonts w:eastAsia="Times New Roman" w:cstheme="minorHAnsi"/>
        </w:rPr>
        <w:t>EHVs</w:t>
      </w:r>
      <w:r w:rsidR="00023724" w:rsidRPr="00D82558">
        <w:rPr>
          <w:rFonts w:eastAsia="Times New Roman" w:cstheme="minorHAnsi"/>
        </w:rPr>
        <w:t xml:space="preserve"> provide long term permanent housing vouchers through public housing authorities.</w:t>
      </w:r>
    </w:p>
    <w:p w14:paraId="3DFE4504" w14:textId="5EAA8DA8" w:rsidR="00AE35AA" w:rsidRPr="00444F40" w:rsidRDefault="00AE35AA" w:rsidP="007F74D0">
      <w:pPr>
        <w:spacing w:after="0" w:line="240" w:lineRule="auto"/>
        <w:rPr>
          <w:rFonts w:eastAsia="Times New Roman" w:cstheme="minorHAnsi"/>
          <w:sz w:val="12"/>
          <w:szCs w:val="12"/>
        </w:rPr>
      </w:pPr>
    </w:p>
    <w:p w14:paraId="1EB599B6" w14:textId="65ECC9A5" w:rsidR="009F2FCE" w:rsidRDefault="00295BC3" w:rsidP="007F74D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4472C4" w:themeColor="accent1"/>
          <w:u w:val="single"/>
        </w:rPr>
        <w:t>Timeline</w:t>
      </w:r>
      <w:r w:rsidR="00AE35AA" w:rsidRPr="00571B91">
        <w:rPr>
          <w:rFonts w:eastAsia="Times New Roman" w:cstheme="minorHAnsi"/>
          <w:b/>
          <w:bCs/>
          <w:color w:val="4472C4" w:themeColor="accent1"/>
          <w:u w:val="single"/>
        </w:rPr>
        <w:t>:</w:t>
      </w:r>
      <w:r w:rsidR="00AE35AA" w:rsidRPr="00D82558">
        <w:rPr>
          <w:rFonts w:eastAsia="Times New Roman" w:cstheme="minorHAnsi"/>
        </w:rPr>
        <w:t xml:space="preserve"> </w:t>
      </w:r>
    </w:p>
    <w:p w14:paraId="320DA838" w14:textId="11FEF867" w:rsidR="009F2FCE" w:rsidRDefault="00711221" w:rsidP="009F2FC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9F2FCE">
        <w:rPr>
          <w:rFonts w:eastAsia="Times New Roman" w:cstheme="minorHAnsi"/>
        </w:rPr>
        <w:t>We anticipate the EHVs to be admi</w:t>
      </w:r>
      <w:r w:rsidR="00691A0D" w:rsidRPr="009F2FCE">
        <w:rPr>
          <w:rFonts w:eastAsia="Times New Roman" w:cstheme="minorHAnsi"/>
        </w:rPr>
        <w:t>nistered beginning July 2021</w:t>
      </w:r>
      <w:r w:rsidR="009F2FCE" w:rsidRPr="009F2FCE">
        <w:rPr>
          <w:rFonts w:eastAsia="Times New Roman" w:cstheme="minorHAnsi"/>
        </w:rPr>
        <w:t xml:space="preserve">.  </w:t>
      </w:r>
    </w:p>
    <w:p w14:paraId="7D8C4887" w14:textId="61F33DFF" w:rsidR="00F225AF" w:rsidRDefault="00F225AF" w:rsidP="009F2FC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goal is to utilize vouchers as quickly as possible and HUD has set incentive timelines for PHAs to achieve full utilization before end 2021</w:t>
      </w:r>
    </w:p>
    <w:p w14:paraId="500952C0" w14:textId="174E4DDC" w:rsidR="00AE35AA" w:rsidRPr="009F2FCE" w:rsidRDefault="009F2FCE" w:rsidP="009F2FC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</w:rPr>
      </w:pPr>
      <w:r w:rsidRPr="009F2FCE">
        <w:rPr>
          <w:rFonts w:eastAsia="Times New Roman" w:cstheme="minorHAnsi"/>
        </w:rPr>
        <w:t>Vouchers may not be reissued after September 30, 2023</w:t>
      </w:r>
    </w:p>
    <w:p w14:paraId="287696D3" w14:textId="6884DFDC" w:rsidR="00691A0D" w:rsidRPr="00444F40" w:rsidRDefault="00691A0D" w:rsidP="007F74D0">
      <w:pPr>
        <w:spacing w:after="0" w:line="240" w:lineRule="auto"/>
        <w:rPr>
          <w:rFonts w:eastAsia="Times New Roman" w:cstheme="minorHAnsi"/>
          <w:sz w:val="12"/>
          <w:szCs w:val="12"/>
        </w:rPr>
      </w:pPr>
    </w:p>
    <w:p w14:paraId="59D52E62" w14:textId="48009F39" w:rsidR="00032A33" w:rsidRPr="00571B91" w:rsidRDefault="00CD4E8F" w:rsidP="007F74D0">
      <w:pPr>
        <w:spacing w:after="0" w:line="240" w:lineRule="auto"/>
        <w:rPr>
          <w:rFonts w:eastAsia="Times New Roman" w:cstheme="minorHAnsi"/>
          <w:b/>
          <w:bCs/>
          <w:color w:val="4472C4" w:themeColor="accent1"/>
          <w:u w:val="single"/>
        </w:rPr>
      </w:pPr>
      <w:r>
        <w:rPr>
          <w:rFonts w:eastAsia="Times New Roman" w:cstheme="minorHAnsi"/>
          <w:b/>
          <w:bCs/>
          <w:color w:val="4472C4" w:themeColor="accent1"/>
          <w:u w:val="single"/>
        </w:rPr>
        <w:t>Eligibility and access to EHVs</w:t>
      </w:r>
      <w:r w:rsidR="00691A0D" w:rsidRPr="00571B91">
        <w:rPr>
          <w:rFonts w:eastAsia="Times New Roman" w:cstheme="minorHAnsi"/>
          <w:b/>
          <w:bCs/>
          <w:color w:val="4472C4" w:themeColor="accent1"/>
          <w:u w:val="single"/>
        </w:rPr>
        <w:t xml:space="preserve">:  </w:t>
      </w:r>
    </w:p>
    <w:p w14:paraId="4C8CF880" w14:textId="07013A6A" w:rsidR="00691A0D" w:rsidRPr="00D82558" w:rsidRDefault="00691A0D" w:rsidP="00032A3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D82558">
        <w:rPr>
          <w:rFonts w:eastAsia="Times New Roman" w:cstheme="minorHAnsi"/>
        </w:rPr>
        <w:t xml:space="preserve">Referrals must be made through the Hennepin County </w:t>
      </w:r>
      <w:r w:rsidR="006705E9">
        <w:rPr>
          <w:rFonts w:eastAsia="Times New Roman" w:cstheme="minorHAnsi"/>
        </w:rPr>
        <w:t>CES</w:t>
      </w:r>
      <w:r w:rsidRPr="00D82558">
        <w:rPr>
          <w:rFonts w:eastAsia="Times New Roman" w:cstheme="minorHAnsi"/>
        </w:rPr>
        <w:t xml:space="preserve">.  </w:t>
      </w:r>
    </w:p>
    <w:p w14:paraId="0677E1D1" w14:textId="3FF7BC81" w:rsidR="00032A33" w:rsidRPr="00D82558" w:rsidRDefault="00E3191E" w:rsidP="006A1E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D82558">
        <w:rPr>
          <w:rFonts w:eastAsia="Times New Roman" w:cstheme="minorHAnsi"/>
        </w:rPr>
        <w:t>Households</w:t>
      </w:r>
      <w:r w:rsidR="00B30CDB" w:rsidRPr="00D82558">
        <w:rPr>
          <w:rFonts w:eastAsia="Times New Roman" w:cstheme="minorHAnsi"/>
        </w:rPr>
        <w:t xml:space="preserve"> will need to be connected to a</w:t>
      </w:r>
      <w:r w:rsidR="00CD4E8F">
        <w:rPr>
          <w:rFonts w:eastAsia="Times New Roman" w:cstheme="minorHAnsi"/>
        </w:rPr>
        <w:t xml:space="preserve"> “housing case manager” (as defined below) </w:t>
      </w:r>
      <w:r w:rsidR="00333000">
        <w:rPr>
          <w:rFonts w:eastAsia="Times New Roman" w:cstheme="minorHAnsi"/>
        </w:rPr>
        <w:t>prior to being referred to receive an EHV</w:t>
      </w:r>
      <w:r w:rsidR="006705E9">
        <w:rPr>
          <w:rFonts w:eastAsia="Times New Roman" w:cstheme="minorHAnsi"/>
        </w:rPr>
        <w:t>.</w:t>
      </w:r>
    </w:p>
    <w:p w14:paraId="326E260D" w14:textId="0615E47C" w:rsidR="006A1EAE" w:rsidRDefault="006A1EAE" w:rsidP="006A1E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D82558">
        <w:rPr>
          <w:rFonts w:eastAsia="Times New Roman" w:cstheme="minorHAnsi"/>
        </w:rPr>
        <w:t xml:space="preserve">The household’s connection to </w:t>
      </w:r>
      <w:r w:rsidR="00CD4E8F">
        <w:rPr>
          <w:rFonts w:eastAsia="Times New Roman" w:cstheme="minorHAnsi"/>
        </w:rPr>
        <w:t xml:space="preserve">housing </w:t>
      </w:r>
      <w:r w:rsidRPr="00D82558">
        <w:rPr>
          <w:rFonts w:eastAsia="Times New Roman" w:cstheme="minorHAnsi"/>
        </w:rPr>
        <w:t>case management services</w:t>
      </w:r>
      <w:r w:rsidR="00CD4E8F">
        <w:rPr>
          <w:rFonts w:eastAsia="Times New Roman" w:cstheme="minorHAnsi"/>
        </w:rPr>
        <w:t xml:space="preserve"> (as defined below)</w:t>
      </w:r>
      <w:r w:rsidRPr="00D82558">
        <w:rPr>
          <w:rFonts w:eastAsia="Times New Roman" w:cstheme="minorHAnsi"/>
        </w:rPr>
        <w:t xml:space="preserve"> must be recorded in </w:t>
      </w:r>
      <w:r w:rsidR="001C7718" w:rsidRPr="00D82558">
        <w:rPr>
          <w:rFonts w:eastAsia="Times New Roman" w:cstheme="minorHAnsi"/>
        </w:rPr>
        <w:t>HMIS</w:t>
      </w:r>
      <w:r w:rsidR="002C1BDA">
        <w:rPr>
          <w:rFonts w:eastAsia="Times New Roman" w:cstheme="minorHAnsi"/>
        </w:rPr>
        <w:t xml:space="preserve"> </w:t>
      </w:r>
      <w:r w:rsidR="002C1BDA" w:rsidRPr="00FB4DAD">
        <w:rPr>
          <w:rFonts w:eastAsia="Times New Roman" w:cstheme="minorHAnsi"/>
        </w:rPr>
        <w:t xml:space="preserve">or CES Connect. </w:t>
      </w:r>
    </w:p>
    <w:p w14:paraId="10EB11F6" w14:textId="386D3EB1" w:rsidR="005E5EBB" w:rsidRDefault="00C32C51" w:rsidP="006A1EA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Agencies employing the Housing Case Managers and the Housing Case Managers</w:t>
      </w:r>
      <w:r w:rsidR="003539B3">
        <w:rPr>
          <w:rFonts w:eastAsia="Times New Roman" w:cstheme="minorHAnsi"/>
        </w:rPr>
        <w:t xml:space="preserve"> themselves</w:t>
      </w:r>
      <w:r>
        <w:rPr>
          <w:rFonts w:eastAsia="Times New Roman" w:cstheme="minorHAnsi"/>
        </w:rPr>
        <w:t xml:space="preserve"> will need to choose to opt into this program and sign an agreement </w:t>
      </w:r>
      <w:r w:rsidR="003539B3">
        <w:rPr>
          <w:rFonts w:eastAsia="Times New Roman" w:cstheme="minorHAnsi"/>
        </w:rPr>
        <w:t xml:space="preserve">stating that they agree to </w:t>
      </w:r>
      <w:r>
        <w:rPr>
          <w:rFonts w:eastAsia="Times New Roman" w:cstheme="minorHAnsi"/>
        </w:rPr>
        <w:t xml:space="preserve">meet the expectations </w:t>
      </w:r>
      <w:r w:rsidR="001237DC">
        <w:rPr>
          <w:rFonts w:eastAsia="Times New Roman" w:cstheme="minorHAnsi"/>
        </w:rPr>
        <w:t xml:space="preserve">outlined below regarding </w:t>
      </w:r>
      <w:r>
        <w:rPr>
          <w:rFonts w:eastAsia="Times New Roman" w:cstheme="minorHAnsi"/>
        </w:rPr>
        <w:t>helping clients get connected to housing utilizing the</w:t>
      </w:r>
      <w:r w:rsidR="001237DC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EHVs</w:t>
      </w:r>
      <w:r w:rsidR="003539B3">
        <w:rPr>
          <w:rFonts w:eastAsia="Times New Roman" w:cstheme="minorHAnsi"/>
        </w:rPr>
        <w:t>.</w:t>
      </w:r>
    </w:p>
    <w:p w14:paraId="1C9260AF" w14:textId="26D8037F" w:rsidR="00B7494A" w:rsidRPr="00D82558" w:rsidRDefault="00BD5F72" w:rsidP="00B7494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Utilization rates will be monitored and</w:t>
      </w:r>
      <w:r w:rsidR="00696796">
        <w:rPr>
          <w:rFonts w:eastAsia="Times New Roman" w:cstheme="minorHAnsi"/>
        </w:rPr>
        <w:t xml:space="preserve"> ongoing</w:t>
      </w:r>
      <w:r>
        <w:rPr>
          <w:rFonts w:eastAsia="Times New Roman" w:cstheme="minorHAnsi"/>
        </w:rPr>
        <w:t xml:space="preserve"> </w:t>
      </w:r>
      <w:r w:rsidR="00696796">
        <w:rPr>
          <w:rFonts w:eastAsia="Times New Roman" w:cstheme="minorHAnsi"/>
        </w:rPr>
        <w:t xml:space="preserve">agency </w:t>
      </w:r>
      <w:r>
        <w:rPr>
          <w:rFonts w:eastAsia="Times New Roman" w:cstheme="minorHAnsi"/>
        </w:rPr>
        <w:t>access to EHVs</w:t>
      </w:r>
      <w:r w:rsidR="00696796">
        <w:rPr>
          <w:rFonts w:eastAsia="Times New Roman" w:cstheme="minorHAnsi"/>
        </w:rPr>
        <w:t xml:space="preserve"> for their clients</w:t>
      </w:r>
      <w:r>
        <w:rPr>
          <w:rFonts w:eastAsia="Times New Roman" w:cstheme="minorHAnsi"/>
        </w:rPr>
        <w:t xml:space="preserve"> will be contingent on successful </w:t>
      </w:r>
      <w:r w:rsidR="00696796">
        <w:rPr>
          <w:rFonts w:eastAsia="Times New Roman" w:cstheme="minorHAnsi"/>
        </w:rPr>
        <w:t xml:space="preserve">and timely </w:t>
      </w:r>
      <w:r>
        <w:rPr>
          <w:rFonts w:eastAsia="Times New Roman" w:cstheme="minorHAnsi"/>
        </w:rPr>
        <w:t>housing placement and sustainment</w:t>
      </w:r>
      <w:r w:rsidR="0027694A">
        <w:rPr>
          <w:rFonts w:eastAsia="Times New Roman" w:cstheme="minorHAnsi"/>
        </w:rPr>
        <w:t>.</w:t>
      </w:r>
    </w:p>
    <w:p w14:paraId="63153DA3" w14:textId="1CD9069F" w:rsidR="001C7718" w:rsidRPr="00444F40" w:rsidRDefault="001C7718" w:rsidP="001C7718">
      <w:pPr>
        <w:spacing w:after="0" w:line="240" w:lineRule="auto"/>
        <w:rPr>
          <w:rFonts w:eastAsia="Times New Roman" w:cstheme="minorHAnsi"/>
          <w:sz w:val="12"/>
          <w:szCs w:val="12"/>
        </w:rPr>
      </w:pPr>
    </w:p>
    <w:p w14:paraId="539D94D0" w14:textId="77772E41" w:rsidR="001C7718" w:rsidRPr="00571B91" w:rsidRDefault="00D82558" w:rsidP="001C7718">
      <w:pPr>
        <w:spacing w:after="0" w:line="240" w:lineRule="auto"/>
        <w:rPr>
          <w:rFonts w:eastAsia="Times New Roman" w:cstheme="minorHAnsi"/>
          <w:b/>
          <w:bCs/>
          <w:color w:val="4472C4" w:themeColor="accent1"/>
          <w:u w:val="single"/>
        </w:rPr>
      </w:pPr>
      <w:r w:rsidRPr="00571B91">
        <w:rPr>
          <w:rFonts w:eastAsia="Times New Roman" w:cstheme="minorHAnsi"/>
          <w:b/>
          <w:bCs/>
          <w:color w:val="4472C4" w:themeColor="accent1"/>
          <w:u w:val="single"/>
        </w:rPr>
        <w:t xml:space="preserve">Definition of </w:t>
      </w:r>
      <w:r w:rsidR="006705E9" w:rsidRPr="00571B91">
        <w:rPr>
          <w:rFonts w:eastAsia="Times New Roman" w:cstheme="minorHAnsi"/>
          <w:b/>
          <w:bCs/>
          <w:color w:val="4472C4" w:themeColor="accent1"/>
          <w:u w:val="single"/>
        </w:rPr>
        <w:t xml:space="preserve">Required </w:t>
      </w:r>
      <w:r w:rsidRPr="00571B91">
        <w:rPr>
          <w:rFonts w:eastAsia="Times New Roman" w:cstheme="minorHAnsi"/>
          <w:b/>
          <w:bCs/>
          <w:color w:val="4472C4" w:themeColor="accent1"/>
          <w:u w:val="single"/>
        </w:rPr>
        <w:t xml:space="preserve">Case Management Services for </w:t>
      </w:r>
      <w:r w:rsidR="006705E9" w:rsidRPr="00571B91">
        <w:rPr>
          <w:rFonts w:eastAsia="Times New Roman" w:cstheme="minorHAnsi"/>
          <w:b/>
          <w:bCs/>
          <w:color w:val="4472C4" w:themeColor="accent1"/>
          <w:u w:val="single"/>
        </w:rPr>
        <w:t xml:space="preserve">a Hennepin County issued </w:t>
      </w:r>
      <w:r w:rsidRPr="00571B91">
        <w:rPr>
          <w:rFonts w:eastAsia="Times New Roman" w:cstheme="minorHAnsi"/>
          <w:b/>
          <w:bCs/>
          <w:color w:val="4472C4" w:themeColor="accent1"/>
          <w:u w:val="single"/>
        </w:rPr>
        <w:t>Emergency Housing Voucher:</w:t>
      </w:r>
    </w:p>
    <w:p w14:paraId="4A13802E" w14:textId="0ABE3C6B" w:rsidR="00D82558" w:rsidRPr="00D82558" w:rsidRDefault="009F447F" w:rsidP="001C771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 “Housing Case Manager” is defined as:</w:t>
      </w:r>
    </w:p>
    <w:p w14:paraId="7CD24DB7" w14:textId="0CC9A9AA" w:rsidR="00CD4E8F" w:rsidRDefault="009F447F" w:rsidP="00D8255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Having a caseload of no more than 30</w:t>
      </w:r>
      <w:r w:rsidR="001237DC">
        <w:rPr>
          <w:rFonts w:eastAsia="Times New Roman" w:cstheme="minorHAnsi"/>
        </w:rPr>
        <w:t>, with capacity to serve EHV households following the definition outlined below</w:t>
      </w:r>
      <w:r>
        <w:rPr>
          <w:rFonts w:eastAsia="Times New Roman" w:cstheme="minorHAnsi"/>
        </w:rPr>
        <w:t xml:space="preserve">. </w:t>
      </w:r>
    </w:p>
    <w:p w14:paraId="711778F3" w14:textId="4287F489" w:rsidR="00D82558" w:rsidRPr="00D82558" w:rsidRDefault="009F447F" w:rsidP="00D8255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Primary focus is securing </w:t>
      </w:r>
      <w:r w:rsidR="00C04E92">
        <w:rPr>
          <w:rFonts w:eastAsia="Times New Roman" w:cstheme="minorHAnsi"/>
        </w:rPr>
        <w:t>permanent</w:t>
      </w:r>
      <w:r w:rsidR="00CD4E8F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housing for clients</w:t>
      </w:r>
      <w:r w:rsidR="00CD4E8F">
        <w:rPr>
          <w:rFonts w:eastAsia="Times New Roman" w:cstheme="minorHAnsi"/>
        </w:rPr>
        <w:t xml:space="preserve"> and </w:t>
      </w:r>
      <w:r w:rsidR="00E70123">
        <w:rPr>
          <w:rFonts w:eastAsia="Times New Roman" w:cstheme="minorHAnsi"/>
        </w:rPr>
        <w:t xml:space="preserve">assisting households to obtain the </w:t>
      </w:r>
      <w:r w:rsidR="003367D8">
        <w:rPr>
          <w:rFonts w:eastAsia="Times New Roman" w:cstheme="minorHAnsi"/>
        </w:rPr>
        <w:t xml:space="preserve">services needed </w:t>
      </w:r>
      <w:r w:rsidR="00E70123">
        <w:rPr>
          <w:rFonts w:eastAsia="Times New Roman" w:cstheme="minorHAnsi"/>
        </w:rPr>
        <w:t>to maintain</w:t>
      </w:r>
      <w:r w:rsidR="003367D8">
        <w:rPr>
          <w:rFonts w:eastAsia="Times New Roman" w:cstheme="minorHAnsi"/>
        </w:rPr>
        <w:t xml:space="preserve"> </w:t>
      </w:r>
      <w:r w:rsidR="00CD4E8F">
        <w:rPr>
          <w:rFonts w:eastAsia="Times New Roman" w:cstheme="minorHAnsi"/>
        </w:rPr>
        <w:t>stabiliz</w:t>
      </w:r>
      <w:r w:rsidR="00E70123">
        <w:rPr>
          <w:rFonts w:eastAsia="Times New Roman" w:cstheme="minorHAnsi"/>
        </w:rPr>
        <w:t xml:space="preserve">e </w:t>
      </w:r>
      <w:r w:rsidR="00CD4E8F">
        <w:rPr>
          <w:rFonts w:eastAsia="Times New Roman" w:cstheme="minorHAnsi"/>
        </w:rPr>
        <w:t>housing</w:t>
      </w:r>
      <w:r>
        <w:rPr>
          <w:rFonts w:eastAsia="Times New Roman" w:cstheme="minorHAnsi"/>
        </w:rPr>
        <w:t xml:space="preserve">. </w:t>
      </w:r>
    </w:p>
    <w:p w14:paraId="5770D946" w14:textId="52A5894E" w:rsidR="00D82558" w:rsidRPr="00D82558" w:rsidRDefault="009F447F" w:rsidP="00D8255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Having HMIS access (completed ICA training)</w:t>
      </w:r>
      <w:r w:rsidR="00C850E8">
        <w:rPr>
          <w:rFonts w:eastAsia="Times New Roman" w:cstheme="minorHAnsi"/>
        </w:rPr>
        <w:t xml:space="preserve"> </w:t>
      </w:r>
    </w:p>
    <w:p w14:paraId="4A756B9D" w14:textId="4FE7B365" w:rsidR="00FB4DAD" w:rsidRPr="00D82558" w:rsidRDefault="009F447F" w:rsidP="00FB4DA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Participating in </w:t>
      </w:r>
      <w:r w:rsidR="00D82558" w:rsidRPr="00D82558">
        <w:rPr>
          <w:rFonts w:eastAsia="Times New Roman" w:cstheme="minorHAnsi"/>
        </w:rPr>
        <w:t>the HC Coordinated Entry System</w:t>
      </w:r>
      <w:r w:rsidR="00FB4DAD" w:rsidRPr="00FB4DAD">
        <w:rPr>
          <w:rFonts w:eastAsia="Times New Roman" w:cstheme="minorHAnsi"/>
        </w:rPr>
        <w:t xml:space="preserve"> </w:t>
      </w:r>
      <w:r w:rsidR="00FB4DAD">
        <w:rPr>
          <w:rFonts w:eastAsia="Times New Roman" w:cstheme="minorHAnsi"/>
        </w:rPr>
        <w:t xml:space="preserve">including </w:t>
      </w:r>
      <w:r w:rsidR="00FB4DAD" w:rsidRPr="0079564B">
        <w:rPr>
          <w:rFonts w:eastAsia="Times New Roman" w:cstheme="minorHAnsi"/>
        </w:rPr>
        <w:t>acknowledging referrals, updating move in dates, etc.</w:t>
      </w:r>
      <w:r w:rsidR="00FB4DAD">
        <w:rPr>
          <w:rFonts w:eastAsia="Times New Roman" w:cstheme="minorHAnsi"/>
        </w:rPr>
        <w:t xml:space="preserve">  </w:t>
      </w:r>
    </w:p>
    <w:p w14:paraId="09167B7F" w14:textId="77777777" w:rsidR="00C04E92" w:rsidRPr="00FB4DAD" w:rsidRDefault="00C04E92" w:rsidP="00C04E9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Creating</w:t>
      </w:r>
      <w:r w:rsidRPr="00FB4DAD">
        <w:rPr>
          <w:rFonts w:eastAsia="Times New Roman" w:cstheme="minorHAnsi"/>
        </w:rPr>
        <w:t xml:space="preserve"> a housing goal plan with each of their clients. </w:t>
      </w:r>
    </w:p>
    <w:p w14:paraId="32ADFE4E" w14:textId="552A96C0" w:rsidR="00B22BE3" w:rsidRPr="00B22BE3" w:rsidRDefault="009F447F" w:rsidP="000706F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Supporting P</w:t>
      </w:r>
      <w:r w:rsidR="003E558F">
        <w:rPr>
          <w:rFonts w:eastAsia="Times New Roman" w:cstheme="minorHAnsi"/>
        </w:rPr>
        <w:t xml:space="preserve">ublic </w:t>
      </w:r>
      <w:r>
        <w:rPr>
          <w:rFonts w:eastAsia="Times New Roman" w:cstheme="minorHAnsi"/>
        </w:rPr>
        <w:t>H</w:t>
      </w:r>
      <w:r w:rsidR="003E558F">
        <w:rPr>
          <w:rFonts w:eastAsia="Times New Roman" w:cstheme="minorHAnsi"/>
        </w:rPr>
        <w:t xml:space="preserve">ousing </w:t>
      </w:r>
      <w:r>
        <w:rPr>
          <w:rFonts w:eastAsia="Times New Roman" w:cstheme="minorHAnsi"/>
        </w:rPr>
        <w:t>A</w:t>
      </w:r>
      <w:r w:rsidR="003E558F">
        <w:rPr>
          <w:rFonts w:eastAsia="Times New Roman" w:cstheme="minorHAnsi"/>
        </w:rPr>
        <w:t>uthorities (PHAs)</w:t>
      </w:r>
      <w:r>
        <w:rPr>
          <w:rFonts w:eastAsia="Times New Roman" w:cstheme="minorHAnsi"/>
        </w:rPr>
        <w:t xml:space="preserve"> to ensure </w:t>
      </w:r>
      <w:r w:rsidR="00444F40">
        <w:rPr>
          <w:rFonts w:eastAsia="Times New Roman" w:cstheme="minorHAnsi"/>
        </w:rPr>
        <w:t xml:space="preserve">eligible households get </w:t>
      </w:r>
      <w:r w:rsidR="003E558F">
        <w:rPr>
          <w:rFonts w:eastAsia="Times New Roman" w:cstheme="minorHAnsi"/>
        </w:rPr>
        <w:t xml:space="preserve">PHA </w:t>
      </w:r>
      <w:r w:rsidR="00B22BE3" w:rsidRPr="00B22BE3">
        <w:t>appointment notifications</w:t>
      </w:r>
      <w:r w:rsidR="00444F40">
        <w:t xml:space="preserve"> and </w:t>
      </w:r>
      <w:r w:rsidR="00B22BE3" w:rsidRPr="00B22BE3">
        <w:t>assist eligible households in getting to meetings</w:t>
      </w:r>
      <w:r w:rsidR="00B22BE3" w:rsidRPr="00B22BE3">
        <w:rPr>
          <w:spacing w:val="-57"/>
        </w:rPr>
        <w:t xml:space="preserve">     </w:t>
      </w:r>
      <w:r w:rsidR="00B22BE3">
        <w:t xml:space="preserve"> with</w:t>
      </w:r>
      <w:r w:rsidR="00B22BE3" w:rsidRPr="00B22BE3">
        <w:rPr>
          <w:spacing w:val="-1"/>
        </w:rPr>
        <w:t xml:space="preserve"> </w:t>
      </w:r>
      <w:r w:rsidR="00B22BE3" w:rsidRPr="00B22BE3">
        <w:t>the</w:t>
      </w:r>
      <w:r w:rsidR="00B22BE3" w:rsidRPr="00B22BE3">
        <w:rPr>
          <w:spacing w:val="-1"/>
        </w:rPr>
        <w:t xml:space="preserve"> </w:t>
      </w:r>
      <w:r w:rsidR="00B22BE3" w:rsidRPr="00B22BE3">
        <w:t>PHA.</w:t>
      </w:r>
    </w:p>
    <w:p w14:paraId="1E6DDED9" w14:textId="0473C60C" w:rsidR="00422B2D" w:rsidRDefault="009F447F" w:rsidP="00D8255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Providing </w:t>
      </w:r>
      <w:r w:rsidR="00FB4DAD" w:rsidRPr="00FB4DAD">
        <w:rPr>
          <w:rFonts w:eastAsia="Times New Roman" w:cstheme="minorHAnsi"/>
        </w:rPr>
        <w:t>bi-weekly updates</w:t>
      </w:r>
      <w:r>
        <w:rPr>
          <w:rFonts w:eastAsia="Times New Roman" w:cstheme="minorHAnsi"/>
        </w:rPr>
        <w:t xml:space="preserve"> on each client with a pending voucher referral to</w:t>
      </w:r>
      <w:r w:rsidR="00422B2D" w:rsidRPr="00FB4DAD">
        <w:rPr>
          <w:rFonts w:eastAsia="Times New Roman" w:cstheme="minorHAnsi"/>
        </w:rPr>
        <w:t xml:space="preserve"> the CES</w:t>
      </w:r>
      <w:r w:rsidR="00FB4DAD" w:rsidRPr="00FB4DAD">
        <w:rPr>
          <w:rFonts w:eastAsia="Times New Roman" w:cstheme="minorHAnsi"/>
        </w:rPr>
        <w:t xml:space="preserve"> team,</w:t>
      </w:r>
      <w:r w:rsidR="00422B2D" w:rsidRPr="00FB4DAD">
        <w:rPr>
          <w:rFonts w:eastAsia="Times New Roman" w:cstheme="minorHAnsi"/>
        </w:rPr>
        <w:t xml:space="preserve"> utilizing the designated format</w:t>
      </w:r>
      <w:r w:rsidR="00FB4DAD" w:rsidRPr="00FB4DAD">
        <w:rPr>
          <w:rFonts w:eastAsia="Times New Roman" w:cstheme="minorHAnsi"/>
        </w:rPr>
        <w:t>.</w:t>
      </w:r>
    </w:p>
    <w:p w14:paraId="094FDB1B" w14:textId="2EC92C12" w:rsidR="00333000" w:rsidRPr="00FB4DAD" w:rsidRDefault="009F447F" w:rsidP="00D8255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Participating</w:t>
      </w:r>
      <w:r w:rsidR="00333000">
        <w:rPr>
          <w:rFonts w:eastAsia="Times New Roman" w:cstheme="minorHAnsi"/>
        </w:rPr>
        <w:t xml:space="preserve"> in</w:t>
      </w:r>
      <w:r w:rsidR="007424A9">
        <w:rPr>
          <w:rFonts w:eastAsia="Times New Roman" w:cstheme="minorHAnsi"/>
        </w:rPr>
        <w:t xml:space="preserve"> </w:t>
      </w:r>
      <w:r w:rsidR="00444F40">
        <w:rPr>
          <w:rFonts w:eastAsia="Times New Roman" w:cstheme="minorHAnsi"/>
        </w:rPr>
        <w:t xml:space="preserve">weekly </w:t>
      </w:r>
      <w:r w:rsidR="007424A9">
        <w:rPr>
          <w:rFonts w:eastAsia="Times New Roman" w:cstheme="minorHAnsi"/>
        </w:rPr>
        <w:t>EHV specific</w:t>
      </w:r>
      <w:r w:rsidR="00333000">
        <w:rPr>
          <w:rFonts w:eastAsia="Times New Roman" w:cstheme="minorHAnsi"/>
        </w:rPr>
        <w:t xml:space="preserve"> case conferen</w:t>
      </w:r>
      <w:r w:rsidR="007424A9">
        <w:rPr>
          <w:rFonts w:eastAsia="Times New Roman" w:cstheme="minorHAnsi"/>
        </w:rPr>
        <w:t xml:space="preserve">ce </w:t>
      </w:r>
      <w:r w:rsidR="00444F40">
        <w:rPr>
          <w:rFonts w:eastAsia="Times New Roman" w:cstheme="minorHAnsi"/>
        </w:rPr>
        <w:t>(including providing updates regarding progress with households, following through with recommendations, etc.)</w:t>
      </w:r>
      <w:r w:rsidR="001E3780">
        <w:rPr>
          <w:rFonts w:eastAsia="Times New Roman" w:cstheme="minorHAnsi"/>
        </w:rPr>
        <w:t>.</w:t>
      </w:r>
    </w:p>
    <w:p w14:paraId="4F8C7C41" w14:textId="3F735E5D" w:rsidR="00D82558" w:rsidRDefault="009F447F" w:rsidP="00D8255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Supporting</w:t>
      </w:r>
      <w:r w:rsidR="00D82558" w:rsidRPr="00D82558">
        <w:rPr>
          <w:rFonts w:eastAsia="Times New Roman" w:cstheme="minorHAnsi"/>
        </w:rPr>
        <w:t xml:space="preserve"> clients to apply for all benefits they are eligible to receive</w:t>
      </w:r>
      <w:r w:rsidR="00331DD9">
        <w:rPr>
          <w:rFonts w:eastAsia="Times New Roman" w:cstheme="minorHAnsi"/>
        </w:rPr>
        <w:t>.</w:t>
      </w:r>
    </w:p>
    <w:p w14:paraId="0D74EEBE" w14:textId="755820DD" w:rsidR="00571B91" w:rsidRDefault="009F447F" w:rsidP="00D8255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Working</w:t>
      </w:r>
      <w:r w:rsidR="00571B91">
        <w:rPr>
          <w:rFonts w:eastAsia="Times New Roman" w:cstheme="minorHAnsi"/>
        </w:rPr>
        <w:t xml:space="preserve"> with households </w:t>
      </w:r>
      <w:r w:rsidR="004F32CF">
        <w:rPr>
          <w:rFonts w:eastAsia="Times New Roman" w:cstheme="minorHAnsi"/>
        </w:rPr>
        <w:t xml:space="preserve">to </w:t>
      </w:r>
      <w:r w:rsidR="00571B91">
        <w:rPr>
          <w:rFonts w:eastAsia="Times New Roman" w:cstheme="minorHAnsi"/>
        </w:rPr>
        <w:t xml:space="preserve">complete the required </w:t>
      </w:r>
      <w:r w:rsidR="004F32CF">
        <w:rPr>
          <w:rFonts w:eastAsia="Times New Roman" w:cstheme="minorHAnsi"/>
        </w:rPr>
        <w:t xml:space="preserve">PHA </w:t>
      </w:r>
      <w:r w:rsidR="00571B91">
        <w:rPr>
          <w:rFonts w:eastAsia="Times New Roman" w:cstheme="minorHAnsi"/>
        </w:rPr>
        <w:t>paperwork</w:t>
      </w:r>
      <w:r w:rsidR="002C1BDA">
        <w:rPr>
          <w:rFonts w:eastAsia="Times New Roman" w:cstheme="minorHAnsi"/>
        </w:rPr>
        <w:t>, including obtaining income verification</w:t>
      </w:r>
      <w:r w:rsidR="00B53B0C">
        <w:rPr>
          <w:rFonts w:eastAsia="Times New Roman" w:cstheme="minorHAnsi"/>
        </w:rPr>
        <w:t>, social security cards, birth certificates, and completion of voucher application</w:t>
      </w:r>
    </w:p>
    <w:p w14:paraId="70764C52" w14:textId="795A0391" w:rsidR="00B22BE3" w:rsidRPr="00B22BE3" w:rsidRDefault="009F447F" w:rsidP="00B22BE3">
      <w:pPr>
        <w:pStyle w:val="ListParagraph"/>
        <w:widowControl w:val="0"/>
        <w:numPr>
          <w:ilvl w:val="0"/>
          <w:numId w:val="2"/>
        </w:numPr>
        <w:tabs>
          <w:tab w:val="left" w:pos="860"/>
        </w:tabs>
        <w:autoSpaceDE w:val="0"/>
        <w:autoSpaceDN w:val="0"/>
        <w:spacing w:after="0" w:line="240" w:lineRule="auto"/>
        <w:ind w:right="628"/>
        <w:rPr>
          <w:sz w:val="24"/>
        </w:rPr>
      </w:pPr>
      <w:r>
        <w:rPr>
          <w:rFonts w:eastAsia="Times New Roman" w:cstheme="minorHAnsi"/>
        </w:rPr>
        <w:t>Providing</w:t>
      </w:r>
      <w:r w:rsidR="00B22BE3" w:rsidRPr="00B22BE3">
        <w:rPr>
          <w:spacing w:val="-4"/>
        </w:rPr>
        <w:t xml:space="preserve"> </w:t>
      </w:r>
      <w:r w:rsidR="00B22BE3" w:rsidRPr="00B22BE3">
        <w:t>counseling</w:t>
      </w:r>
      <w:r w:rsidR="00B22BE3" w:rsidRPr="00B22BE3">
        <w:rPr>
          <w:spacing w:val="-2"/>
        </w:rPr>
        <w:t xml:space="preserve"> and information </w:t>
      </w:r>
      <w:r w:rsidR="00B22BE3" w:rsidRPr="00B22BE3">
        <w:t>on</w:t>
      </w:r>
      <w:r w:rsidR="00B22BE3" w:rsidRPr="00B22BE3">
        <w:rPr>
          <w:spacing w:val="-2"/>
        </w:rPr>
        <w:t xml:space="preserve"> </w:t>
      </w:r>
      <w:r w:rsidR="00B22BE3" w:rsidRPr="00B22BE3">
        <w:t>compliance</w:t>
      </w:r>
      <w:r w:rsidR="00B22BE3" w:rsidRPr="00B22BE3">
        <w:rPr>
          <w:spacing w:val="-2"/>
        </w:rPr>
        <w:t xml:space="preserve"> </w:t>
      </w:r>
      <w:r w:rsidR="00B22BE3" w:rsidRPr="00B22BE3">
        <w:t>with</w:t>
      </w:r>
      <w:r w:rsidR="00B22BE3" w:rsidRPr="00B22BE3">
        <w:rPr>
          <w:spacing w:val="-2"/>
        </w:rPr>
        <w:t xml:space="preserve"> </w:t>
      </w:r>
      <w:r w:rsidR="00B22BE3" w:rsidRPr="00B22BE3">
        <w:t>rental</w:t>
      </w:r>
      <w:r w:rsidR="00B22BE3" w:rsidRPr="00B22BE3">
        <w:rPr>
          <w:spacing w:val="-2"/>
        </w:rPr>
        <w:t xml:space="preserve"> </w:t>
      </w:r>
      <w:r w:rsidR="00B22BE3" w:rsidRPr="00B22BE3">
        <w:t>lease</w:t>
      </w:r>
      <w:r w:rsidR="00B22BE3" w:rsidRPr="00B22BE3">
        <w:rPr>
          <w:spacing w:val="-57"/>
        </w:rPr>
        <w:t xml:space="preserve"> </w:t>
      </w:r>
      <w:r w:rsidR="00B22BE3">
        <w:rPr>
          <w:spacing w:val="-57"/>
        </w:rPr>
        <w:t xml:space="preserve">  </w:t>
      </w:r>
      <w:r w:rsidR="00B22BE3">
        <w:t xml:space="preserve"> requirements</w:t>
      </w:r>
      <w:r w:rsidR="00B22BE3" w:rsidRPr="00B22BE3">
        <w:t>.</w:t>
      </w:r>
    </w:p>
    <w:p w14:paraId="14B032AE" w14:textId="7DE8C0C0" w:rsidR="00D82558" w:rsidRPr="00D82558" w:rsidRDefault="009F447F" w:rsidP="00D8255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Addressing</w:t>
      </w:r>
      <w:r w:rsidR="00D82558" w:rsidRPr="00D82558">
        <w:rPr>
          <w:rFonts w:eastAsia="Times New Roman" w:cstheme="minorHAnsi"/>
        </w:rPr>
        <w:t xml:space="preserve"> housing barriers </w:t>
      </w:r>
      <w:r w:rsidR="000D09C1">
        <w:rPr>
          <w:rFonts w:eastAsia="Times New Roman" w:cstheme="minorHAnsi"/>
        </w:rPr>
        <w:t xml:space="preserve">and ensuring that clients </w:t>
      </w:r>
      <w:r w:rsidR="00D82558" w:rsidRPr="00D82558">
        <w:rPr>
          <w:rFonts w:eastAsia="Times New Roman" w:cstheme="minorHAnsi"/>
        </w:rPr>
        <w:t>obtain vital documents such as birth certificate, ID, and social security card.</w:t>
      </w:r>
    </w:p>
    <w:p w14:paraId="3DBB883E" w14:textId="50F1A3BD" w:rsidR="00D82558" w:rsidRDefault="009F447F" w:rsidP="00D8255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Assisting</w:t>
      </w:r>
      <w:r w:rsidR="00D82558" w:rsidRPr="00D82558">
        <w:rPr>
          <w:rFonts w:eastAsia="Times New Roman" w:cstheme="minorHAnsi"/>
        </w:rPr>
        <w:t xml:space="preserve"> the </w:t>
      </w:r>
      <w:r>
        <w:rPr>
          <w:rFonts w:eastAsia="Times New Roman" w:cstheme="minorHAnsi"/>
        </w:rPr>
        <w:t>client</w:t>
      </w:r>
      <w:r w:rsidRPr="00D82558">
        <w:rPr>
          <w:rFonts w:eastAsia="Times New Roman" w:cstheme="minorHAnsi"/>
        </w:rPr>
        <w:t xml:space="preserve"> </w:t>
      </w:r>
      <w:r w:rsidR="00D82558" w:rsidRPr="00D82558">
        <w:rPr>
          <w:rFonts w:eastAsia="Times New Roman" w:cstheme="minorHAnsi"/>
        </w:rPr>
        <w:t xml:space="preserve">with housing search, </w:t>
      </w:r>
      <w:r w:rsidR="00333000">
        <w:rPr>
          <w:rFonts w:eastAsia="Times New Roman" w:cstheme="minorHAnsi"/>
        </w:rPr>
        <w:t>transportation,</w:t>
      </w:r>
      <w:r w:rsidR="00B53B0C">
        <w:rPr>
          <w:rFonts w:eastAsia="Times New Roman" w:cstheme="minorHAnsi"/>
        </w:rPr>
        <w:t xml:space="preserve"> rental </w:t>
      </w:r>
      <w:r w:rsidR="00D82558" w:rsidRPr="00D82558">
        <w:rPr>
          <w:rFonts w:eastAsia="Times New Roman" w:cstheme="minorHAnsi"/>
        </w:rPr>
        <w:t xml:space="preserve">application, </w:t>
      </w:r>
      <w:r w:rsidR="00B53B0C">
        <w:rPr>
          <w:rFonts w:eastAsia="Times New Roman" w:cstheme="minorHAnsi"/>
        </w:rPr>
        <w:t xml:space="preserve">lease signing, </w:t>
      </w:r>
      <w:r w:rsidR="00D82558" w:rsidRPr="00D82558">
        <w:rPr>
          <w:rFonts w:eastAsia="Times New Roman" w:cstheme="minorHAnsi"/>
        </w:rPr>
        <w:t>and mov</w:t>
      </w:r>
      <w:r w:rsidR="000D09C1">
        <w:rPr>
          <w:rFonts w:eastAsia="Times New Roman" w:cstheme="minorHAnsi"/>
        </w:rPr>
        <w:t xml:space="preserve">ing </w:t>
      </w:r>
      <w:r w:rsidR="00D82558" w:rsidRPr="00D82558">
        <w:rPr>
          <w:rFonts w:eastAsia="Times New Roman" w:cstheme="minorHAnsi"/>
        </w:rPr>
        <w:t>into the unit.</w:t>
      </w:r>
    </w:p>
    <w:p w14:paraId="126D5152" w14:textId="5125E2C2" w:rsidR="00307AE2" w:rsidRDefault="00307AE2" w:rsidP="00D8255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Liaising with landlords and/or property owners to </w:t>
      </w:r>
      <w:r w:rsidR="0045276E">
        <w:rPr>
          <w:rFonts w:eastAsia="Times New Roman" w:cstheme="minorHAnsi"/>
        </w:rPr>
        <w:t>quickly identify and secure vacant units where vouchers can be used,</w:t>
      </w:r>
    </w:p>
    <w:p w14:paraId="43AAAA12" w14:textId="6500E263" w:rsidR="00B22BE3" w:rsidRPr="00B22BE3" w:rsidRDefault="009F447F" w:rsidP="00B22BE3">
      <w:pPr>
        <w:pStyle w:val="ListParagraph"/>
        <w:widowControl w:val="0"/>
        <w:numPr>
          <w:ilvl w:val="0"/>
          <w:numId w:val="2"/>
        </w:numPr>
        <w:tabs>
          <w:tab w:val="left" w:pos="860"/>
        </w:tabs>
        <w:autoSpaceDE w:val="0"/>
        <w:autoSpaceDN w:val="0"/>
        <w:spacing w:after="0" w:line="240" w:lineRule="auto"/>
        <w:ind w:right="623"/>
      </w:pPr>
      <w:r>
        <w:t>A</w:t>
      </w:r>
      <w:r w:rsidR="00B22BE3" w:rsidRPr="00B22BE3">
        <w:t>ssess</w:t>
      </w:r>
      <w:r>
        <w:t>ing</w:t>
      </w:r>
      <w:r w:rsidR="00B22BE3" w:rsidRPr="00B22BE3">
        <w:t xml:space="preserve"> and assist</w:t>
      </w:r>
      <w:r>
        <w:t>ing</w:t>
      </w:r>
      <w:r w:rsidR="00B22BE3" w:rsidRPr="00B22BE3">
        <w:t xml:space="preserve"> households that may require</w:t>
      </w:r>
      <w:r w:rsidR="00B22BE3" w:rsidRPr="00B22BE3">
        <w:rPr>
          <w:spacing w:val="1"/>
        </w:rPr>
        <w:t xml:space="preserve"> </w:t>
      </w:r>
      <w:r w:rsidR="00B22BE3" w:rsidRPr="00B22BE3">
        <w:t>referrals</w:t>
      </w:r>
      <w:r w:rsidR="00B22BE3" w:rsidRPr="00B22BE3">
        <w:rPr>
          <w:spacing w:val="-2"/>
        </w:rPr>
        <w:t xml:space="preserve"> </w:t>
      </w:r>
      <w:r w:rsidR="00B22BE3" w:rsidRPr="00B22BE3">
        <w:t>for</w:t>
      </w:r>
      <w:r w:rsidR="00B22BE3" w:rsidRPr="00B22BE3">
        <w:rPr>
          <w:spacing w:val="-3"/>
        </w:rPr>
        <w:t xml:space="preserve"> </w:t>
      </w:r>
      <w:r w:rsidR="00B22BE3" w:rsidRPr="00B22BE3">
        <w:t>assistance</w:t>
      </w:r>
      <w:r w:rsidR="00B22BE3" w:rsidRPr="00B22BE3">
        <w:rPr>
          <w:spacing w:val="-3"/>
        </w:rPr>
        <w:t xml:space="preserve"> </w:t>
      </w:r>
      <w:r w:rsidR="00B22BE3" w:rsidRPr="00B22BE3">
        <w:t>on</w:t>
      </w:r>
      <w:r w:rsidR="00B22BE3" w:rsidRPr="00B22BE3">
        <w:rPr>
          <w:spacing w:val="-2"/>
        </w:rPr>
        <w:t xml:space="preserve"> </w:t>
      </w:r>
      <w:r w:rsidR="00B22BE3" w:rsidRPr="00B22BE3">
        <w:t>security</w:t>
      </w:r>
      <w:r w:rsidR="00B22BE3" w:rsidRPr="00B22BE3">
        <w:rPr>
          <w:spacing w:val="-1"/>
        </w:rPr>
        <w:t xml:space="preserve"> </w:t>
      </w:r>
      <w:r w:rsidR="00B22BE3" w:rsidRPr="00B22BE3">
        <w:t>deposits,</w:t>
      </w:r>
      <w:r w:rsidR="00B22BE3" w:rsidRPr="00B22BE3">
        <w:rPr>
          <w:spacing w:val="-2"/>
        </w:rPr>
        <w:t xml:space="preserve"> </w:t>
      </w:r>
      <w:r w:rsidR="00B22BE3" w:rsidRPr="00B22BE3">
        <w:t>utility</w:t>
      </w:r>
      <w:r w:rsidR="00B22BE3" w:rsidRPr="00B22BE3">
        <w:rPr>
          <w:spacing w:val="-2"/>
        </w:rPr>
        <w:t xml:space="preserve"> </w:t>
      </w:r>
      <w:r w:rsidR="00B22BE3" w:rsidRPr="00B22BE3">
        <w:t>hook-up</w:t>
      </w:r>
      <w:r w:rsidR="00B22BE3" w:rsidRPr="00B22BE3">
        <w:rPr>
          <w:spacing w:val="-1"/>
        </w:rPr>
        <w:t xml:space="preserve"> </w:t>
      </w:r>
      <w:r w:rsidR="00B22BE3" w:rsidRPr="00B22BE3">
        <w:t>fees, and</w:t>
      </w:r>
      <w:r w:rsidR="00B22BE3" w:rsidRPr="00B22BE3">
        <w:rPr>
          <w:spacing w:val="-2"/>
        </w:rPr>
        <w:t xml:space="preserve"> </w:t>
      </w:r>
      <w:r w:rsidR="00B22BE3" w:rsidRPr="00B22BE3">
        <w:t>utility</w:t>
      </w:r>
      <w:r w:rsidR="00B22BE3" w:rsidRPr="00B22BE3">
        <w:rPr>
          <w:spacing w:val="-1"/>
        </w:rPr>
        <w:t xml:space="preserve"> </w:t>
      </w:r>
      <w:r w:rsidR="00B22BE3" w:rsidRPr="00B22BE3">
        <w:t>deposits</w:t>
      </w:r>
      <w:r>
        <w:t xml:space="preserve"> and helping the person apply.</w:t>
      </w:r>
    </w:p>
    <w:p w14:paraId="31116396" w14:textId="5807C8F8" w:rsidR="00D82558" w:rsidRDefault="00B7235C" w:rsidP="00D8255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Having a demonstrated ability</w:t>
      </w:r>
      <w:r w:rsidR="00E275DC">
        <w:rPr>
          <w:rFonts w:eastAsia="Times New Roman" w:cstheme="minorHAnsi"/>
        </w:rPr>
        <w:t xml:space="preserve"> </w:t>
      </w:r>
      <w:r w:rsidR="009F447F">
        <w:rPr>
          <w:rFonts w:eastAsia="Times New Roman" w:cstheme="minorHAnsi"/>
        </w:rPr>
        <w:t>to connect</w:t>
      </w:r>
      <w:r w:rsidR="00D82558" w:rsidRPr="00D82558">
        <w:rPr>
          <w:rFonts w:eastAsia="Times New Roman" w:cstheme="minorHAnsi"/>
        </w:rPr>
        <w:t xml:space="preserve"> clients to stabilizing community-based resources such as case management through a Managed Care Provider, an ARHMS worker, a CADI case manager, </w:t>
      </w:r>
      <w:r w:rsidR="00881828">
        <w:rPr>
          <w:rFonts w:eastAsia="Times New Roman" w:cstheme="minorHAnsi"/>
        </w:rPr>
        <w:t xml:space="preserve">LTSS, DART, </w:t>
      </w:r>
      <w:r w:rsidR="00943ED9">
        <w:rPr>
          <w:rFonts w:eastAsia="Times New Roman" w:cstheme="minorHAnsi"/>
        </w:rPr>
        <w:t xml:space="preserve">ACT, </w:t>
      </w:r>
      <w:r w:rsidR="00D82558" w:rsidRPr="00D82558">
        <w:rPr>
          <w:rFonts w:eastAsia="Times New Roman" w:cstheme="minorHAnsi"/>
        </w:rPr>
        <w:t>Housing Stabilization Services, etc.</w:t>
      </w:r>
      <w:r w:rsidR="001008CA">
        <w:rPr>
          <w:rFonts w:eastAsia="Times New Roman" w:cstheme="minorHAnsi"/>
        </w:rPr>
        <w:t xml:space="preserve"> prior to ending case management services,</w:t>
      </w:r>
      <w:r w:rsidR="00D82558" w:rsidRPr="00D82558">
        <w:rPr>
          <w:rFonts w:eastAsia="Times New Roman" w:cstheme="minorHAnsi"/>
        </w:rPr>
        <w:t xml:space="preserve"> </w:t>
      </w:r>
      <w:r w:rsidR="001008CA">
        <w:rPr>
          <w:rFonts w:eastAsia="Times New Roman" w:cstheme="minorHAnsi"/>
        </w:rPr>
        <w:t>so the person has ongoing supports</w:t>
      </w:r>
      <w:r w:rsidR="00026AC2">
        <w:rPr>
          <w:rFonts w:eastAsia="Times New Roman" w:cstheme="minorHAnsi"/>
        </w:rPr>
        <w:t xml:space="preserve"> once in housing to avoid recidivism</w:t>
      </w:r>
      <w:r w:rsidR="00D82558" w:rsidRPr="00D82558">
        <w:rPr>
          <w:rFonts w:eastAsia="Times New Roman" w:cstheme="minorHAnsi"/>
        </w:rPr>
        <w:t>.</w:t>
      </w:r>
    </w:p>
    <w:p w14:paraId="439D3E2B" w14:textId="77777777" w:rsidR="00F225AF" w:rsidRPr="00F225AF" w:rsidRDefault="00F225AF" w:rsidP="009F447F">
      <w:pPr>
        <w:pStyle w:val="CommentText"/>
        <w:numPr>
          <w:ilvl w:val="0"/>
          <w:numId w:val="2"/>
        </w:numPr>
        <w:spacing w:after="0"/>
      </w:pPr>
      <w:r>
        <w:rPr>
          <w:sz w:val="22"/>
          <w:szCs w:val="22"/>
        </w:rPr>
        <w:t>Services may only be discontinued once the client has:</w:t>
      </w:r>
    </w:p>
    <w:p w14:paraId="7BC4C3E5" w14:textId="51D9B2BE" w:rsidR="00F225AF" w:rsidRPr="00F225AF" w:rsidRDefault="00F225AF" w:rsidP="00F225AF">
      <w:pPr>
        <w:pStyle w:val="CommentText"/>
        <w:numPr>
          <w:ilvl w:val="1"/>
          <w:numId w:val="2"/>
        </w:numPr>
        <w:spacing w:after="0"/>
      </w:pPr>
      <w:r>
        <w:rPr>
          <w:sz w:val="22"/>
          <w:szCs w:val="22"/>
        </w:rPr>
        <w:t xml:space="preserve">been in housing for a minimum of </w:t>
      </w:r>
      <w:r w:rsidR="00642F70">
        <w:rPr>
          <w:sz w:val="22"/>
          <w:szCs w:val="22"/>
        </w:rPr>
        <w:t>12</w:t>
      </w:r>
      <w:r>
        <w:rPr>
          <w:sz w:val="22"/>
          <w:szCs w:val="22"/>
        </w:rPr>
        <w:t xml:space="preserve"> months OR </w:t>
      </w:r>
    </w:p>
    <w:p w14:paraId="722431D6" w14:textId="480AD8AE" w:rsidR="009F447F" w:rsidRPr="0079564B" w:rsidRDefault="00F225AF" w:rsidP="00F225AF">
      <w:pPr>
        <w:pStyle w:val="CommentText"/>
        <w:numPr>
          <w:ilvl w:val="1"/>
          <w:numId w:val="2"/>
        </w:numPr>
        <w:spacing w:after="0"/>
      </w:pPr>
      <w:r>
        <w:rPr>
          <w:sz w:val="22"/>
          <w:szCs w:val="22"/>
        </w:rPr>
        <w:t>once an alternative support service (</w:t>
      </w:r>
      <w:r w:rsidRPr="002A4F2B">
        <w:rPr>
          <w:sz w:val="22"/>
          <w:szCs w:val="22"/>
        </w:rPr>
        <w:t xml:space="preserve">i.e. </w:t>
      </w:r>
      <w:r w:rsidRPr="002A4F2B">
        <w:rPr>
          <w:rFonts w:eastAsia="Times New Roman" w:cstheme="minorHAnsi"/>
          <w:sz w:val="22"/>
          <w:szCs w:val="22"/>
        </w:rPr>
        <w:t>Managed Care Provider, an ARHMS worker, a CADI case manager, LTSS, DART, ACT, Housing Stabilization Services</w:t>
      </w:r>
      <w:r>
        <w:rPr>
          <w:rFonts w:eastAsia="Times New Roman" w:cstheme="minorHAnsi"/>
        </w:rPr>
        <w:t>)</w:t>
      </w:r>
      <w:r>
        <w:rPr>
          <w:sz w:val="22"/>
          <w:szCs w:val="22"/>
        </w:rPr>
        <w:t xml:space="preserve"> is allocated </w:t>
      </w:r>
      <w:r w:rsidR="00B53B0C">
        <w:rPr>
          <w:sz w:val="22"/>
          <w:szCs w:val="22"/>
        </w:rPr>
        <w:t>a</w:t>
      </w:r>
      <w:r>
        <w:rPr>
          <w:sz w:val="22"/>
          <w:szCs w:val="22"/>
        </w:rPr>
        <w:t>nd the case manager has begun client contact.</w:t>
      </w:r>
    </w:p>
    <w:sectPr w:rsidR="009F447F" w:rsidRPr="0079564B" w:rsidSect="00C25F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EFD"/>
    <w:multiLevelType w:val="hybridMultilevel"/>
    <w:tmpl w:val="AAB46CC4"/>
    <w:lvl w:ilvl="0" w:tplc="28CA234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34C43F0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DC72B7FE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0B866C76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8D38288E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56C8C68E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CC74FEB8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5C629190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CCA42B7C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B3232BD"/>
    <w:multiLevelType w:val="hybridMultilevel"/>
    <w:tmpl w:val="611623CA"/>
    <w:lvl w:ilvl="0" w:tplc="96887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5C34"/>
    <w:multiLevelType w:val="hybridMultilevel"/>
    <w:tmpl w:val="E01C12C4"/>
    <w:lvl w:ilvl="0" w:tplc="0466F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B2655"/>
    <w:multiLevelType w:val="multilevel"/>
    <w:tmpl w:val="6598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3511F3"/>
    <w:multiLevelType w:val="hybridMultilevel"/>
    <w:tmpl w:val="73809A94"/>
    <w:lvl w:ilvl="0" w:tplc="8D80FB68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95AFC62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ar-SA"/>
      </w:rPr>
    </w:lvl>
    <w:lvl w:ilvl="2" w:tplc="F55C8BC4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44DE5D40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D22C9FB6">
      <w:numFmt w:val="bullet"/>
      <w:lvlText w:val="•"/>
      <w:lvlJc w:val="left"/>
      <w:pPr>
        <w:ind w:left="4364" w:hanging="360"/>
      </w:pPr>
      <w:rPr>
        <w:rFonts w:hint="default"/>
        <w:lang w:val="en-US" w:eastAsia="en-US" w:bidi="ar-SA"/>
      </w:rPr>
    </w:lvl>
    <w:lvl w:ilvl="5" w:tplc="A7FC0C66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E918D05E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ar-SA"/>
      </w:rPr>
    </w:lvl>
    <w:lvl w:ilvl="7" w:tplc="5766466C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8" w:tplc="0D18AA44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D0"/>
    <w:rsid w:val="00020241"/>
    <w:rsid w:val="00023724"/>
    <w:rsid w:val="00026AC2"/>
    <w:rsid w:val="00032A33"/>
    <w:rsid w:val="000706F1"/>
    <w:rsid w:val="000D09C1"/>
    <w:rsid w:val="000F00FB"/>
    <w:rsid w:val="001008CA"/>
    <w:rsid w:val="001237DC"/>
    <w:rsid w:val="00167691"/>
    <w:rsid w:val="00172D24"/>
    <w:rsid w:val="001C7718"/>
    <w:rsid w:val="001E3780"/>
    <w:rsid w:val="0027694A"/>
    <w:rsid w:val="00295BC3"/>
    <w:rsid w:val="002A4F2B"/>
    <w:rsid w:val="002C1BDA"/>
    <w:rsid w:val="00307AE2"/>
    <w:rsid w:val="00331DD9"/>
    <w:rsid w:val="00333000"/>
    <w:rsid w:val="003367D8"/>
    <w:rsid w:val="003539B3"/>
    <w:rsid w:val="003E558F"/>
    <w:rsid w:val="00422B2D"/>
    <w:rsid w:val="00444F40"/>
    <w:rsid w:val="0045276E"/>
    <w:rsid w:val="004F32CF"/>
    <w:rsid w:val="00571B91"/>
    <w:rsid w:val="005E5EBB"/>
    <w:rsid w:val="00642F70"/>
    <w:rsid w:val="006705E9"/>
    <w:rsid w:val="00691A0D"/>
    <w:rsid w:val="00696796"/>
    <w:rsid w:val="006A1EAE"/>
    <w:rsid w:val="006B5C89"/>
    <w:rsid w:val="00706E89"/>
    <w:rsid w:val="00711221"/>
    <w:rsid w:val="007424A9"/>
    <w:rsid w:val="007655B4"/>
    <w:rsid w:val="00772586"/>
    <w:rsid w:val="00793F60"/>
    <w:rsid w:val="0079564B"/>
    <w:rsid w:val="007F74D0"/>
    <w:rsid w:val="00881828"/>
    <w:rsid w:val="00935F79"/>
    <w:rsid w:val="00943ED9"/>
    <w:rsid w:val="009810EF"/>
    <w:rsid w:val="009F2FCE"/>
    <w:rsid w:val="009F447F"/>
    <w:rsid w:val="00A15591"/>
    <w:rsid w:val="00A53B66"/>
    <w:rsid w:val="00A828A8"/>
    <w:rsid w:val="00AD613B"/>
    <w:rsid w:val="00AE35AA"/>
    <w:rsid w:val="00B22BE3"/>
    <w:rsid w:val="00B30CDB"/>
    <w:rsid w:val="00B53B0C"/>
    <w:rsid w:val="00B7235C"/>
    <w:rsid w:val="00B7494A"/>
    <w:rsid w:val="00BC4D73"/>
    <w:rsid w:val="00BD5F72"/>
    <w:rsid w:val="00C04E92"/>
    <w:rsid w:val="00C25F3A"/>
    <w:rsid w:val="00C32C51"/>
    <w:rsid w:val="00C44717"/>
    <w:rsid w:val="00C850E8"/>
    <w:rsid w:val="00CD4E8F"/>
    <w:rsid w:val="00D314C9"/>
    <w:rsid w:val="00D5116F"/>
    <w:rsid w:val="00D82558"/>
    <w:rsid w:val="00DC0C97"/>
    <w:rsid w:val="00E275DC"/>
    <w:rsid w:val="00E3191E"/>
    <w:rsid w:val="00E70123"/>
    <w:rsid w:val="00EC109F"/>
    <w:rsid w:val="00EF5B88"/>
    <w:rsid w:val="00F225AF"/>
    <w:rsid w:val="00F73AE1"/>
    <w:rsid w:val="00FB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B44A"/>
  <w15:chartTrackingRefBased/>
  <w15:docId w15:val="{F5CA822B-204E-47D4-AA91-4081673F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32A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1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1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1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B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9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F2F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2F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498CB-381C-4066-AA82-33017227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 Donohue</dc:creator>
  <cp:keywords/>
  <dc:description/>
  <cp:lastModifiedBy>Amy E Donohue</cp:lastModifiedBy>
  <cp:revision>2</cp:revision>
  <dcterms:created xsi:type="dcterms:W3CDTF">2021-07-14T15:14:00Z</dcterms:created>
  <dcterms:modified xsi:type="dcterms:W3CDTF">2021-07-14T15:14:00Z</dcterms:modified>
</cp:coreProperties>
</file>