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7D73" w14:textId="77777777" w:rsidR="00DB17A5" w:rsidRPr="00DB17A5" w:rsidRDefault="00DB17A5" w:rsidP="00DB17A5">
      <w:pPr>
        <w:pStyle w:val="BodyText"/>
        <w:rPr>
          <w:rFonts w:asciiTheme="minorHAnsi" w:hAnsiTheme="minorHAnsi"/>
          <w:i w:val="0"/>
          <w:sz w:val="24"/>
          <w:szCs w:val="33"/>
        </w:rPr>
      </w:pPr>
      <w:r>
        <w:rPr>
          <w:rFonts w:asciiTheme="minorHAnsi" w:hAnsiTheme="minorHAnsi"/>
          <w:i w:val="0"/>
          <w:sz w:val="24"/>
          <w:szCs w:val="33"/>
        </w:rPr>
        <w:t xml:space="preserve">Hennepin County </w:t>
      </w:r>
      <w:r w:rsidRPr="00DB17A5">
        <w:rPr>
          <w:rFonts w:asciiTheme="minorHAnsi" w:hAnsiTheme="minorHAnsi"/>
          <w:i w:val="0"/>
          <w:sz w:val="24"/>
          <w:szCs w:val="33"/>
        </w:rPr>
        <w:t>Singles Coordinated Entry System (CES) Leadership Committee</w:t>
      </w:r>
    </w:p>
    <w:p w14:paraId="0F819CBE" w14:textId="5449F92D" w:rsidR="00DB17A5" w:rsidRDefault="00B45E69" w:rsidP="009744BF">
      <w:pPr>
        <w:spacing w:line="276" w:lineRule="auto"/>
        <w:jc w:val="center"/>
        <w:rPr>
          <w:rFonts w:asciiTheme="minorHAnsi" w:hAnsiTheme="minorHAnsi"/>
          <w:b/>
          <w:sz w:val="22"/>
        </w:rPr>
      </w:pPr>
      <w:r>
        <w:rPr>
          <w:rFonts w:asciiTheme="minorHAnsi" w:hAnsiTheme="minorHAnsi"/>
          <w:b/>
          <w:sz w:val="22"/>
        </w:rPr>
        <w:t xml:space="preserve">Tuesday, </w:t>
      </w:r>
      <w:r w:rsidR="003E32A8">
        <w:rPr>
          <w:rFonts w:asciiTheme="minorHAnsi" w:hAnsiTheme="minorHAnsi"/>
          <w:b/>
          <w:sz w:val="22"/>
        </w:rPr>
        <w:t>October</w:t>
      </w:r>
      <w:r w:rsidR="00F863D8">
        <w:rPr>
          <w:rFonts w:asciiTheme="minorHAnsi" w:hAnsiTheme="minorHAnsi"/>
          <w:b/>
          <w:sz w:val="22"/>
          <w:vertAlign w:val="superscript"/>
        </w:rPr>
        <w:t xml:space="preserve"> </w:t>
      </w:r>
      <w:r w:rsidR="00573929">
        <w:rPr>
          <w:rFonts w:asciiTheme="minorHAnsi" w:hAnsiTheme="minorHAnsi"/>
          <w:b/>
          <w:sz w:val="22"/>
        </w:rPr>
        <w:t>6</w:t>
      </w:r>
      <w:r w:rsidR="00573929" w:rsidRPr="00573929">
        <w:rPr>
          <w:rFonts w:asciiTheme="minorHAnsi" w:hAnsiTheme="minorHAnsi"/>
          <w:b/>
          <w:sz w:val="22"/>
          <w:vertAlign w:val="superscript"/>
        </w:rPr>
        <w:t>th</w:t>
      </w:r>
      <w:r w:rsidR="002562D2">
        <w:rPr>
          <w:rFonts w:asciiTheme="minorHAnsi" w:hAnsiTheme="minorHAnsi"/>
          <w:b/>
          <w:sz w:val="22"/>
        </w:rPr>
        <w:t>,</w:t>
      </w:r>
      <w:r>
        <w:rPr>
          <w:rFonts w:asciiTheme="minorHAnsi" w:hAnsiTheme="minorHAnsi"/>
          <w:b/>
          <w:sz w:val="22"/>
        </w:rPr>
        <w:t xml:space="preserve"> 11:30-1:30</w:t>
      </w:r>
      <w:r w:rsidR="00FE6CD2">
        <w:rPr>
          <w:rFonts w:asciiTheme="minorHAnsi" w:hAnsiTheme="minorHAnsi"/>
          <w:b/>
          <w:sz w:val="22"/>
        </w:rPr>
        <w:t xml:space="preserve"> via Microsoft Teams</w:t>
      </w:r>
    </w:p>
    <w:p w14:paraId="34E9119C" w14:textId="6C55547A" w:rsidR="00B848B5" w:rsidRDefault="00B848B5" w:rsidP="009744BF">
      <w:pPr>
        <w:spacing w:line="276" w:lineRule="auto"/>
        <w:jc w:val="center"/>
        <w:rPr>
          <w:rFonts w:asciiTheme="minorHAnsi" w:hAnsiTheme="minorHAnsi"/>
          <w:b/>
          <w:sz w:val="22"/>
        </w:rPr>
      </w:pPr>
    </w:p>
    <w:p w14:paraId="54FDD5EC" w14:textId="77777777" w:rsidR="00B848B5" w:rsidRPr="00F35F0E" w:rsidRDefault="00B848B5" w:rsidP="00B848B5">
      <w:pPr>
        <w:pStyle w:val="NoSpacing"/>
        <w:ind w:left="360"/>
        <w:rPr>
          <w:b/>
        </w:rPr>
      </w:pPr>
      <w:r w:rsidRPr="00F35F0E">
        <w:rPr>
          <w:b/>
        </w:rPr>
        <w:t xml:space="preserve">Attendance: </w:t>
      </w:r>
    </w:p>
    <w:p w14:paraId="29049B0C" w14:textId="22620719" w:rsidR="00B848B5" w:rsidRPr="00F35F0E" w:rsidRDefault="00B848B5" w:rsidP="00B848B5">
      <w:pPr>
        <w:pStyle w:val="NoSpacing"/>
        <w:ind w:left="360"/>
        <w:rPr>
          <w:bCs/>
          <w:color w:val="0070C0"/>
        </w:rPr>
      </w:pPr>
      <w:r w:rsidRPr="00CB277F">
        <w:rPr>
          <w:b/>
        </w:rPr>
        <w:t>Committee Members</w:t>
      </w:r>
      <w:r>
        <w:rPr>
          <w:bCs/>
        </w:rPr>
        <w:t>:</w:t>
      </w:r>
      <w:r w:rsidRPr="00F35F0E">
        <w:rPr>
          <w:bCs/>
          <w:color w:val="0070C0"/>
        </w:rPr>
        <w:t xml:space="preserve"> Kim Lieberman, Susannah King, Zarita Hester, Heather </w:t>
      </w:r>
      <w:proofErr w:type="spellStart"/>
      <w:r w:rsidRPr="00F35F0E">
        <w:rPr>
          <w:bCs/>
          <w:color w:val="0070C0"/>
        </w:rPr>
        <w:t>Duchsherer</w:t>
      </w:r>
      <w:proofErr w:type="spellEnd"/>
      <w:r>
        <w:rPr>
          <w:bCs/>
          <w:color w:val="0070C0"/>
        </w:rPr>
        <w:t xml:space="preserve">, Tim </w:t>
      </w:r>
      <w:proofErr w:type="spellStart"/>
      <w:r>
        <w:rPr>
          <w:bCs/>
          <w:color w:val="0070C0"/>
        </w:rPr>
        <w:t>Deen</w:t>
      </w:r>
      <w:proofErr w:type="spellEnd"/>
      <w:r>
        <w:rPr>
          <w:bCs/>
          <w:color w:val="0070C0"/>
        </w:rPr>
        <w:t xml:space="preserve">, </w:t>
      </w:r>
      <w:r w:rsidRPr="00F35F0E">
        <w:rPr>
          <w:bCs/>
          <w:color w:val="0070C0"/>
        </w:rPr>
        <w:t>Lucy Bullock</w:t>
      </w:r>
      <w:r>
        <w:rPr>
          <w:bCs/>
          <w:color w:val="0070C0"/>
        </w:rPr>
        <w:t xml:space="preserve">, </w:t>
      </w:r>
      <w:r w:rsidRPr="00F35F0E">
        <w:rPr>
          <w:bCs/>
          <w:color w:val="0070C0"/>
        </w:rPr>
        <w:t>Jay Wagner, Stacy Sweeney</w:t>
      </w:r>
      <w:r>
        <w:rPr>
          <w:bCs/>
          <w:color w:val="0070C0"/>
        </w:rPr>
        <w:t xml:space="preserve">, </w:t>
      </w:r>
      <w:proofErr w:type="spellStart"/>
      <w:r w:rsidRPr="00F35F0E">
        <w:rPr>
          <w:bCs/>
          <w:color w:val="0070C0"/>
        </w:rPr>
        <w:t>Qually</w:t>
      </w:r>
      <w:proofErr w:type="spellEnd"/>
      <w:r w:rsidRPr="00F35F0E">
        <w:rPr>
          <w:bCs/>
          <w:color w:val="0070C0"/>
        </w:rPr>
        <w:t xml:space="preserve"> Neal</w:t>
      </w:r>
      <w:r>
        <w:rPr>
          <w:bCs/>
          <w:color w:val="0070C0"/>
        </w:rPr>
        <w:t>,</w:t>
      </w:r>
      <w:r>
        <w:rPr>
          <w:bCs/>
          <w:color w:val="0070C0"/>
        </w:rPr>
        <w:t xml:space="preserve"> Cherita, Tim </w:t>
      </w:r>
      <w:proofErr w:type="spellStart"/>
      <w:r>
        <w:rPr>
          <w:bCs/>
          <w:color w:val="0070C0"/>
        </w:rPr>
        <w:t>Deen</w:t>
      </w:r>
      <w:proofErr w:type="spellEnd"/>
    </w:p>
    <w:p w14:paraId="30BCECCF" w14:textId="77777777" w:rsidR="00B848B5" w:rsidRDefault="00B848B5" w:rsidP="00B848B5">
      <w:pPr>
        <w:pStyle w:val="NoSpacing"/>
        <w:ind w:left="360"/>
        <w:rPr>
          <w:rFonts w:eastAsia="Calibri" w:cs="Calibri"/>
          <w:b/>
        </w:rPr>
      </w:pPr>
    </w:p>
    <w:p w14:paraId="5AD585AF" w14:textId="433ABBC1" w:rsidR="00B848B5" w:rsidRPr="00F35F0E" w:rsidRDefault="00B848B5" w:rsidP="00B848B5">
      <w:pPr>
        <w:pStyle w:val="NoSpacing"/>
        <w:ind w:left="360"/>
        <w:rPr>
          <w:rFonts w:eastAsia="Calibri" w:cs="Calibri"/>
          <w:bCs/>
          <w:color w:val="0070C0"/>
        </w:rPr>
      </w:pPr>
      <w:r w:rsidRPr="00CB277F">
        <w:rPr>
          <w:rFonts w:eastAsia="Calibri" w:cs="Calibri"/>
          <w:b/>
        </w:rPr>
        <w:t>Hennepin County Staff</w:t>
      </w:r>
      <w:r>
        <w:rPr>
          <w:rFonts w:eastAsia="Calibri" w:cs="Calibri"/>
          <w:bCs/>
        </w:rPr>
        <w:t xml:space="preserve">: </w:t>
      </w:r>
      <w:r w:rsidRPr="00F35F0E">
        <w:rPr>
          <w:rFonts w:eastAsia="Calibri" w:cs="Calibri"/>
          <w:bCs/>
          <w:color w:val="0070C0"/>
        </w:rPr>
        <w:t xml:space="preserve">Katherine DeSantis, Laura DeRosier, Eric Richert, Tracy Schumacher, Amy Donahue, </w:t>
      </w:r>
      <w:r w:rsidR="00F64124">
        <w:rPr>
          <w:rFonts w:eastAsia="Calibri" w:cs="Calibri"/>
          <w:bCs/>
          <w:color w:val="0070C0"/>
        </w:rPr>
        <w:t>Lindsay Anderson, Teresa Howard</w:t>
      </w:r>
    </w:p>
    <w:p w14:paraId="4C766529" w14:textId="77777777" w:rsidR="00B848B5" w:rsidRDefault="00B848B5" w:rsidP="00B848B5">
      <w:pPr>
        <w:pStyle w:val="NoSpacing"/>
        <w:ind w:left="360"/>
        <w:rPr>
          <w:rFonts w:eastAsia="Calibri" w:cs="Calibri"/>
          <w:bCs/>
        </w:rPr>
      </w:pPr>
    </w:p>
    <w:p w14:paraId="7513C6E2" w14:textId="77777777" w:rsidR="00B848B5" w:rsidRDefault="00B848B5" w:rsidP="00B848B5">
      <w:pPr>
        <w:pStyle w:val="NoSpacing"/>
        <w:ind w:left="360"/>
        <w:rPr>
          <w:rFonts w:eastAsia="Calibri" w:cs="Calibri"/>
          <w:bCs/>
        </w:rPr>
      </w:pPr>
      <w:r>
        <w:rPr>
          <w:rFonts w:eastAsia="Calibri" w:cs="Calibri"/>
          <w:b/>
        </w:rPr>
        <w:t xml:space="preserve">ICA staff: </w:t>
      </w:r>
    </w:p>
    <w:p w14:paraId="12C1C903" w14:textId="77777777" w:rsidR="00B848B5" w:rsidRDefault="00B848B5" w:rsidP="00B848B5">
      <w:pPr>
        <w:pStyle w:val="NoSpacing"/>
        <w:ind w:left="360"/>
        <w:rPr>
          <w:rFonts w:eastAsia="Calibri" w:cs="Calibri"/>
          <w:bCs/>
        </w:rPr>
      </w:pPr>
    </w:p>
    <w:p w14:paraId="2F4923C6" w14:textId="08521A64" w:rsidR="00B848B5" w:rsidRDefault="00B848B5" w:rsidP="00B848B5">
      <w:pPr>
        <w:pStyle w:val="NoSpacing"/>
        <w:ind w:left="360"/>
        <w:rPr>
          <w:bCs/>
          <w:color w:val="0070C0"/>
        </w:rPr>
      </w:pPr>
      <w:r>
        <w:rPr>
          <w:rFonts w:eastAsia="Calibri" w:cs="Calibri"/>
          <w:b/>
        </w:rPr>
        <w:t>Not in Attendance:</w:t>
      </w:r>
      <w:r>
        <w:rPr>
          <w:bCs/>
          <w:color w:val="0070C0"/>
        </w:rPr>
        <w:t xml:space="preserve"> </w:t>
      </w:r>
      <w:r w:rsidRPr="00F35F0E">
        <w:rPr>
          <w:bCs/>
          <w:color w:val="0070C0"/>
        </w:rPr>
        <w:t xml:space="preserve">Travis </w:t>
      </w:r>
      <w:proofErr w:type="spellStart"/>
      <w:r w:rsidRPr="00F35F0E">
        <w:rPr>
          <w:bCs/>
          <w:color w:val="0070C0"/>
        </w:rPr>
        <w:t>Earthwerner</w:t>
      </w:r>
      <w:proofErr w:type="spellEnd"/>
      <w:r>
        <w:rPr>
          <w:bCs/>
          <w:color w:val="0070C0"/>
        </w:rPr>
        <w:t xml:space="preserve">, </w:t>
      </w:r>
      <w:r w:rsidRPr="00F35F0E">
        <w:rPr>
          <w:bCs/>
          <w:color w:val="0070C0"/>
        </w:rPr>
        <w:t>Ciara Kunert</w:t>
      </w:r>
      <w:r w:rsidR="00F64124">
        <w:rPr>
          <w:bCs/>
          <w:color w:val="0070C0"/>
        </w:rPr>
        <w:t xml:space="preserve">, </w:t>
      </w:r>
      <w:r w:rsidR="00F64124" w:rsidRPr="00F35F0E">
        <w:rPr>
          <w:bCs/>
          <w:color w:val="0070C0"/>
        </w:rPr>
        <w:t>Mark Miller</w:t>
      </w:r>
    </w:p>
    <w:p w14:paraId="2E4C9636" w14:textId="4B2B5ED2" w:rsidR="00B848B5" w:rsidRDefault="00B848B5" w:rsidP="00B848B5">
      <w:pPr>
        <w:pStyle w:val="NoSpacing"/>
        <w:ind w:left="360"/>
        <w:rPr>
          <w:rFonts w:eastAsia="Calibri" w:cs="Calibri"/>
          <w:bCs/>
          <w:color w:val="0070C0"/>
        </w:rPr>
      </w:pPr>
    </w:p>
    <w:p w14:paraId="59E189E3" w14:textId="74BDEC3C" w:rsidR="00B848B5" w:rsidRPr="00B848B5" w:rsidRDefault="00B848B5" w:rsidP="00B848B5">
      <w:pPr>
        <w:pStyle w:val="NoSpacing"/>
        <w:ind w:left="360"/>
        <w:rPr>
          <w:rFonts w:eastAsia="Calibri" w:cs="Calibri"/>
          <w:bCs/>
        </w:rPr>
      </w:pPr>
      <w:r w:rsidRPr="00B848B5">
        <w:rPr>
          <w:rFonts w:eastAsia="Calibri" w:cs="Calibri"/>
          <w:b/>
        </w:rPr>
        <w:t>Guests</w:t>
      </w:r>
      <w:r>
        <w:rPr>
          <w:rFonts w:eastAsia="Calibri" w:cs="Calibri"/>
          <w:b/>
        </w:rPr>
        <w:t xml:space="preserve">: </w:t>
      </w:r>
      <w:r w:rsidRPr="00F64124">
        <w:rPr>
          <w:rFonts w:eastAsia="Calibri" w:cs="Calibri"/>
          <w:bCs/>
          <w:color w:val="0070C0"/>
        </w:rPr>
        <w:t>Michele Williams,</w:t>
      </w:r>
      <w:r w:rsidR="00F64124">
        <w:rPr>
          <w:rFonts w:eastAsia="Calibri" w:cs="Calibri"/>
          <w:bCs/>
          <w:color w:val="0070C0"/>
        </w:rPr>
        <w:t xml:space="preserve"> Lindsey Giblin </w:t>
      </w:r>
    </w:p>
    <w:p w14:paraId="2096BF1D" w14:textId="77777777" w:rsidR="00B848B5" w:rsidRPr="00DB17A5" w:rsidRDefault="00B848B5" w:rsidP="00B848B5">
      <w:pPr>
        <w:spacing w:line="276" w:lineRule="auto"/>
        <w:rPr>
          <w:rFonts w:asciiTheme="minorHAnsi" w:hAnsiTheme="minorHAnsi"/>
          <w:b/>
          <w:sz w:val="22"/>
        </w:rPr>
      </w:pPr>
    </w:p>
    <w:p w14:paraId="5572C4D8" w14:textId="77777777" w:rsidR="00DB17A5" w:rsidRPr="00345E66" w:rsidRDefault="00DB17A5" w:rsidP="00EA1829">
      <w:pPr>
        <w:pStyle w:val="Heading3"/>
        <w:spacing w:before="0"/>
        <w:rPr>
          <w:rFonts w:asciiTheme="minorHAnsi" w:eastAsia="Calibri" w:hAnsiTheme="minorHAnsi"/>
          <w:b w:val="0"/>
          <w:i/>
          <w:color w:val="auto"/>
          <w:u w:val="single"/>
        </w:rPr>
      </w:pPr>
      <w:bookmarkStart w:id="0" w:name="_Toc458686712"/>
      <w:r w:rsidRPr="00345E66">
        <w:rPr>
          <w:rFonts w:asciiTheme="minorHAnsi" w:eastAsia="Calibri" w:hAnsiTheme="minorHAnsi"/>
          <w:b w:val="0"/>
          <w:i/>
          <w:color w:val="auto"/>
          <w:u w:val="single"/>
        </w:rPr>
        <w:t xml:space="preserve">Guiding </w:t>
      </w:r>
      <w:r w:rsidRPr="00345E66">
        <w:rPr>
          <w:rFonts w:asciiTheme="minorHAnsi" w:hAnsiTheme="minorHAnsi"/>
          <w:b w:val="0"/>
          <w:i/>
          <w:color w:val="auto"/>
          <w:u w:val="single"/>
        </w:rPr>
        <w:t>Principles</w:t>
      </w:r>
      <w:bookmarkEnd w:id="0"/>
      <w:r w:rsidR="00345E66" w:rsidRPr="00345E66">
        <w:rPr>
          <w:rFonts w:asciiTheme="minorHAnsi" w:hAnsiTheme="minorHAnsi"/>
          <w:b w:val="0"/>
          <w:i/>
          <w:color w:val="auto"/>
          <w:u w:val="single"/>
        </w:rPr>
        <w:t>:</w:t>
      </w:r>
    </w:p>
    <w:p w14:paraId="2EF68017" w14:textId="77777777" w:rsidR="00DB17A5" w:rsidRPr="00345E66" w:rsidRDefault="00DB17A5" w:rsidP="00EA1829">
      <w:pPr>
        <w:pStyle w:val="NoSpacing"/>
        <w:numPr>
          <w:ilvl w:val="0"/>
          <w:numId w:val="9"/>
        </w:numPr>
        <w:spacing w:after="100" w:afterAutospacing="1"/>
        <w:rPr>
          <w:rFonts w:eastAsia="Calibri" w:cs="Calibri"/>
          <w:bCs/>
        </w:rPr>
      </w:pPr>
      <w:r w:rsidRPr="00345E66">
        <w:rPr>
          <w:rFonts w:eastAsia="Calibri" w:cs="Calibri"/>
          <w:bCs/>
        </w:rPr>
        <w:t>Ensure service accessibility</w:t>
      </w:r>
    </w:p>
    <w:p w14:paraId="419CC23B"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Prioritize swift exit from homelessness</w:t>
      </w:r>
    </w:p>
    <w:p w14:paraId="35D41D0A"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Align services to client need</w:t>
      </w:r>
    </w:p>
    <w:p w14:paraId="256AC6AD"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Prioritize services for clients with the greatest need</w:t>
      </w:r>
    </w:p>
    <w:p w14:paraId="0C549D9D"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 xml:space="preserve">Build a system that </w:t>
      </w:r>
      <w:r w:rsidR="00EA1829">
        <w:rPr>
          <w:bCs/>
        </w:rPr>
        <w:t>is efficient and</w:t>
      </w:r>
      <w:r w:rsidRPr="00345E66">
        <w:rPr>
          <w:bCs/>
        </w:rPr>
        <w:t xml:space="preserve"> </w:t>
      </w:r>
      <w:r w:rsidR="00EA1829">
        <w:rPr>
          <w:bCs/>
        </w:rPr>
        <w:t>effective</w:t>
      </w:r>
      <w:r w:rsidRPr="00345E66">
        <w:rPr>
          <w:bCs/>
        </w:rPr>
        <w:t xml:space="preserve"> for clients, referral sources, and </w:t>
      </w:r>
      <w:r w:rsidR="00EA1829">
        <w:rPr>
          <w:bCs/>
        </w:rPr>
        <w:t>receiving programs</w:t>
      </w:r>
    </w:p>
    <w:p w14:paraId="252F3D72"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Invest in continuously strengthening the system</w:t>
      </w:r>
    </w:p>
    <w:tbl>
      <w:tblPr>
        <w:tblStyle w:val="TableGrid"/>
        <w:tblW w:w="12367" w:type="dxa"/>
        <w:tblInd w:w="-252" w:type="dxa"/>
        <w:tblLayout w:type="fixed"/>
        <w:tblLook w:val="04A0" w:firstRow="1" w:lastRow="0" w:firstColumn="1" w:lastColumn="0" w:noHBand="0" w:noVBand="1"/>
      </w:tblPr>
      <w:tblGrid>
        <w:gridCol w:w="2804"/>
        <w:gridCol w:w="6706"/>
        <w:gridCol w:w="1357"/>
        <w:gridCol w:w="1264"/>
        <w:gridCol w:w="236"/>
      </w:tblGrid>
      <w:tr w:rsidR="00DB17A5" w:rsidRPr="008F6B4B" w14:paraId="3D635DBB" w14:textId="77777777" w:rsidTr="00EA7246">
        <w:trPr>
          <w:trHeight w:val="334"/>
          <w:tblHeader/>
        </w:trPr>
        <w:tc>
          <w:tcPr>
            <w:tcW w:w="2804" w:type="dxa"/>
            <w:shd w:val="clear" w:color="auto" w:fill="000000" w:themeFill="text1"/>
          </w:tcPr>
          <w:p w14:paraId="2054F4BD" w14:textId="77777777" w:rsidR="00DB17A5" w:rsidRPr="003E5CA8" w:rsidRDefault="00DB17A5" w:rsidP="00914A8A">
            <w:pPr>
              <w:spacing w:before="40" w:after="40"/>
              <w:jc w:val="center"/>
              <w:rPr>
                <w:b/>
                <w:sz w:val="22"/>
                <w:szCs w:val="22"/>
              </w:rPr>
            </w:pPr>
            <w:r w:rsidRPr="003E5CA8">
              <w:rPr>
                <w:b/>
                <w:sz w:val="22"/>
                <w:szCs w:val="22"/>
              </w:rPr>
              <w:t>Agenda Item</w:t>
            </w:r>
          </w:p>
        </w:tc>
        <w:tc>
          <w:tcPr>
            <w:tcW w:w="6706" w:type="dxa"/>
            <w:shd w:val="clear" w:color="auto" w:fill="000000" w:themeFill="text1"/>
          </w:tcPr>
          <w:p w14:paraId="763DC495" w14:textId="77777777" w:rsidR="00DB17A5" w:rsidRPr="003E5CA8" w:rsidRDefault="00DB17A5" w:rsidP="00914A8A">
            <w:pPr>
              <w:spacing w:before="40" w:after="40"/>
              <w:jc w:val="center"/>
              <w:rPr>
                <w:b/>
                <w:sz w:val="22"/>
                <w:szCs w:val="22"/>
              </w:rPr>
            </w:pPr>
            <w:r w:rsidRPr="003E5CA8">
              <w:rPr>
                <w:b/>
                <w:sz w:val="22"/>
                <w:szCs w:val="22"/>
              </w:rPr>
              <w:t>Action</w:t>
            </w:r>
          </w:p>
        </w:tc>
        <w:tc>
          <w:tcPr>
            <w:tcW w:w="2621" w:type="dxa"/>
            <w:gridSpan w:val="2"/>
            <w:shd w:val="clear" w:color="auto" w:fill="000000" w:themeFill="text1"/>
          </w:tcPr>
          <w:p w14:paraId="3AAB84BC" w14:textId="15657431" w:rsidR="00DB17A5" w:rsidRPr="003E5CA8" w:rsidRDefault="00DB17A5" w:rsidP="00914A8A">
            <w:pPr>
              <w:spacing w:before="40" w:after="40"/>
              <w:jc w:val="center"/>
              <w:rPr>
                <w:b/>
                <w:sz w:val="22"/>
                <w:szCs w:val="22"/>
              </w:rPr>
            </w:pPr>
          </w:p>
        </w:tc>
        <w:tc>
          <w:tcPr>
            <w:tcW w:w="236" w:type="dxa"/>
            <w:shd w:val="clear" w:color="auto" w:fill="000000" w:themeFill="text1"/>
          </w:tcPr>
          <w:p w14:paraId="610FFCD5" w14:textId="5F62CDF5" w:rsidR="00DB17A5" w:rsidRPr="003E5CA8" w:rsidRDefault="00DB17A5" w:rsidP="00914A8A">
            <w:pPr>
              <w:spacing w:before="40" w:after="40"/>
              <w:jc w:val="center"/>
              <w:rPr>
                <w:b/>
                <w:sz w:val="22"/>
                <w:szCs w:val="22"/>
              </w:rPr>
            </w:pPr>
          </w:p>
        </w:tc>
      </w:tr>
      <w:tr w:rsidR="00B848B5" w:rsidRPr="008F6B4B" w14:paraId="48BBCB18" w14:textId="77777777" w:rsidTr="00EA7246">
        <w:trPr>
          <w:gridAfter w:val="2"/>
          <w:wAfter w:w="1500" w:type="dxa"/>
          <w:trHeight w:hRule="exact" w:val="622"/>
        </w:trPr>
        <w:tc>
          <w:tcPr>
            <w:tcW w:w="2804" w:type="dxa"/>
          </w:tcPr>
          <w:p w14:paraId="280FAD6C" w14:textId="4BA73C79" w:rsidR="00B848B5" w:rsidRPr="003E5CA8" w:rsidRDefault="00B848B5" w:rsidP="006668BA">
            <w:pPr>
              <w:pStyle w:val="ListParagraph"/>
              <w:numPr>
                <w:ilvl w:val="0"/>
                <w:numId w:val="1"/>
              </w:numPr>
              <w:spacing w:before="40" w:after="40" w:line="240" w:lineRule="auto"/>
              <w:ind w:left="342" w:hanging="342"/>
              <w:contextualSpacing w:val="0"/>
              <w:rPr>
                <w:b/>
              </w:rPr>
            </w:pPr>
            <w:r w:rsidRPr="003E5CA8">
              <w:rPr>
                <w:b/>
              </w:rPr>
              <w:t>Intros/</w:t>
            </w:r>
            <w:r>
              <w:rPr>
                <w:b/>
              </w:rPr>
              <w:t>community share</w:t>
            </w:r>
          </w:p>
        </w:tc>
        <w:tc>
          <w:tcPr>
            <w:tcW w:w="8063" w:type="dxa"/>
            <w:gridSpan w:val="2"/>
          </w:tcPr>
          <w:p w14:paraId="4E3CA3AC" w14:textId="45B02822" w:rsidR="00B848B5" w:rsidRPr="003E5CA8" w:rsidRDefault="00B848B5" w:rsidP="00B848B5">
            <w:pPr>
              <w:spacing w:before="40" w:after="40"/>
              <w:rPr>
                <w:sz w:val="22"/>
                <w:szCs w:val="22"/>
              </w:rPr>
            </w:pPr>
          </w:p>
          <w:p w14:paraId="0A03A41E" w14:textId="12007F83" w:rsidR="00B848B5" w:rsidRPr="003E5CA8" w:rsidRDefault="00B848B5" w:rsidP="00E81D9F">
            <w:pPr>
              <w:spacing w:before="40" w:after="40"/>
              <w:rPr>
                <w:sz w:val="22"/>
                <w:szCs w:val="22"/>
              </w:rPr>
            </w:pPr>
          </w:p>
        </w:tc>
      </w:tr>
      <w:tr w:rsidR="00B848B5" w:rsidRPr="008F6B4B" w14:paraId="470CB844" w14:textId="77777777" w:rsidTr="00EA7246">
        <w:trPr>
          <w:gridAfter w:val="2"/>
          <w:wAfter w:w="1500" w:type="dxa"/>
          <w:trHeight w:hRule="exact" w:val="730"/>
        </w:trPr>
        <w:tc>
          <w:tcPr>
            <w:tcW w:w="2804" w:type="dxa"/>
          </w:tcPr>
          <w:p w14:paraId="16DCE3FE" w14:textId="54427462" w:rsidR="00B848B5" w:rsidRPr="003E5CA8" w:rsidRDefault="00B848B5" w:rsidP="006668BA">
            <w:pPr>
              <w:pStyle w:val="ListParagraph"/>
              <w:numPr>
                <w:ilvl w:val="0"/>
                <w:numId w:val="1"/>
              </w:numPr>
              <w:spacing w:before="40" w:after="40" w:line="240" w:lineRule="auto"/>
              <w:ind w:left="342" w:hanging="342"/>
              <w:contextualSpacing w:val="0"/>
              <w:rPr>
                <w:b/>
              </w:rPr>
            </w:pPr>
            <w:r>
              <w:rPr>
                <w:b/>
              </w:rPr>
              <w:t>Last Meeting</w:t>
            </w:r>
          </w:p>
        </w:tc>
        <w:tc>
          <w:tcPr>
            <w:tcW w:w="8063" w:type="dxa"/>
            <w:gridSpan w:val="2"/>
          </w:tcPr>
          <w:p w14:paraId="74339EDF" w14:textId="77777777" w:rsidR="00B848B5" w:rsidRDefault="00B848B5" w:rsidP="000E1163">
            <w:pPr>
              <w:pStyle w:val="ListParagraph"/>
              <w:numPr>
                <w:ilvl w:val="0"/>
                <w:numId w:val="29"/>
              </w:numPr>
              <w:spacing w:before="40" w:after="40"/>
            </w:pPr>
            <w:r>
              <w:t>Good-bye and Thank you!</w:t>
            </w:r>
          </w:p>
          <w:p w14:paraId="19151BE6" w14:textId="77777777" w:rsidR="00B848B5" w:rsidRPr="000E1163" w:rsidRDefault="00B848B5" w:rsidP="000E1163">
            <w:pPr>
              <w:pStyle w:val="ListParagraph"/>
              <w:numPr>
                <w:ilvl w:val="0"/>
                <w:numId w:val="29"/>
              </w:numPr>
              <w:spacing w:before="40" w:after="40"/>
            </w:pPr>
            <w:r>
              <w:t>Jay, Heather, Ciara</w:t>
            </w:r>
          </w:p>
          <w:p w14:paraId="680DE06E" w14:textId="7B62D1BC" w:rsidR="00B848B5" w:rsidRPr="003E5CA8" w:rsidRDefault="00B848B5" w:rsidP="005B2089">
            <w:pPr>
              <w:spacing w:before="40" w:after="40"/>
              <w:jc w:val="center"/>
              <w:rPr>
                <w:sz w:val="22"/>
                <w:szCs w:val="22"/>
              </w:rPr>
            </w:pPr>
            <w:r>
              <w:rPr>
                <w:sz w:val="22"/>
                <w:szCs w:val="22"/>
              </w:rPr>
              <w:t>Susannah/Zarita</w:t>
            </w:r>
          </w:p>
          <w:p w14:paraId="6A1BC977" w14:textId="40390F54" w:rsidR="00B848B5" w:rsidRPr="007F4F95" w:rsidRDefault="00B848B5" w:rsidP="00E81D9F">
            <w:pPr>
              <w:spacing w:before="40" w:after="40"/>
              <w:rPr>
                <w:sz w:val="22"/>
                <w:szCs w:val="22"/>
              </w:rPr>
            </w:pPr>
            <w:r>
              <w:rPr>
                <w:sz w:val="22"/>
                <w:szCs w:val="22"/>
              </w:rPr>
              <w:t>11:45</w:t>
            </w:r>
          </w:p>
        </w:tc>
      </w:tr>
      <w:tr w:rsidR="00B848B5" w:rsidRPr="008F6B4B" w14:paraId="58116D8C" w14:textId="77777777" w:rsidTr="00EA7246">
        <w:trPr>
          <w:gridAfter w:val="2"/>
          <w:wAfter w:w="1500" w:type="dxa"/>
          <w:trHeight w:hRule="exact" w:val="1738"/>
        </w:trPr>
        <w:tc>
          <w:tcPr>
            <w:tcW w:w="2804" w:type="dxa"/>
          </w:tcPr>
          <w:p w14:paraId="39A01AFD" w14:textId="71C1411E" w:rsidR="00B848B5" w:rsidRPr="003E5CA8" w:rsidRDefault="00B848B5" w:rsidP="006668BA">
            <w:pPr>
              <w:pStyle w:val="ListParagraph"/>
              <w:numPr>
                <w:ilvl w:val="0"/>
                <w:numId w:val="1"/>
              </w:numPr>
              <w:spacing w:before="40" w:after="40" w:line="240" w:lineRule="auto"/>
              <w:ind w:left="342" w:hanging="342"/>
              <w:contextualSpacing w:val="0"/>
              <w:rPr>
                <w:b/>
              </w:rPr>
            </w:pPr>
            <w:r>
              <w:rPr>
                <w:b/>
              </w:rPr>
              <w:t xml:space="preserve">New member </w:t>
            </w:r>
          </w:p>
        </w:tc>
        <w:tc>
          <w:tcPr>
            <w:tcW w:w="8063" w:type="dxa"/>
            <w:gridSpan w:val="2"/>
          </w:tcPr>
          <w:p w14:paraId="089422C1" w14:textId="77777777" w:rsidR="00B848B5" w:rsidRDefault="00B848B5" w:rsidP="00426DC4">
            <w:pPr>
              <w:pStyle w:val="ListParagraph"/>
              <w:numPr>
                <w:ilvl w:val="0"/>
                <w:numId w:val="29"/>
              </w:numPr>
              <w:spacing w:before="40" w:after="40"/>
            </w:pPr>
            <w:r>
              <w:t>Shanna McIntosh resignation</w:t>
            </w:r>
          </w:p>
          <w:p w14:paraId="3605F41F" w14:textId="43E3A080" w:rsidR="00B848B5" w:rsidRDefault="00B848B5" w:rsidP="00426DC4">
            <w:pPr>
              <w:pStyle w:val="ListParagraph"/>
              <w:numPr>
                <w:ilvl w:val="0"/>
                <w:numId w:val="29"/>
              </w:numPr>
              <w:spacing w:before="40" w:after="40"/>
            </w:pPr>
            <w:r>
              <w:t>Looking for new member</w:t>
            </w:r>
          </w:p>
          <w:p w14:paraId="2E218C55" w14:textId="1E4AE354" w:rsidR="00B848B5" w:rsidRPr="00F64124" w:rsidRDefault="00F64124" w:rsidP="00E81D9F">
            <w:pPr>
              <w:pStyle w:val="ListParagraph"/>
              <w:numPr>
                <w:ilvl w:val="0"/>
                <w:numId w:val="29"/>
              </w:numPr>
              <w:spacing w:before="40" w:after="40"/>
            </w:pPr>
            <w:r>
              <w:t xml:space="preserve">A new post will be put in the Scoop and members are asked to recruit from their networks. </w:t>
            </w:r>
          </w:p>
        </w:tc>
      </w:tr>
      <w:tr w:rsidR="00B848B5" w:rsidRPr="008F6B4B" w14:paraId="6E592D9E" w14:textId="77777777" w:rsidTr="00EA7246">
        <w:trPr>
          <w:gridAfter w:val="2"/>
          <w:wAfter w:w="1500" w:type="dxa"/>
          <w:trHeight w:hRule="exact" w:val="7750"/>
        </w:trPr>
        <w:tc>
          <w:tcPr>
            <w:tcW w:w="2804" w:type="dxa"/>
          </w:tcPr>
          <w:p w14:paraId="4481186F" w14:textId="03A5E7B5" w:rsidR="00B848B5" w:rsidRDefault="00B848B5" w:rsidP="00600D3E">
            <w:pPr>
              <w:pStyle w:val="ListParagraph"/>
              <w:numPr>
                <w:ilvl w:val="0"/>
                <w:numId w:val="1"/>
              </w:numPr>
              <w:spacing w:before="40" w:after="40" w:line="240" w:lineRule="auto"/>
              <w:ind w:left="342" w:hanging="342"/>
              <w:contextualSpacing w:val="0"/>
              <w:rPr>
                <w:b/>
              </w:rPr>
            </w:pPr>
            <w:r>
              <w:rPr>
                <w:b/>
              </w:rPr>
              <w:lastRenderedPageBreak/>
              <w:t>CES Team updates</w:t>
            </w:r>
          </w:p>
        </w:tc>
        <w:tc>
          <w:tcPr>
            <w:tcW w:w="8063" w:type="dxa"/>
            <w:gridSpan w:val="2"/>
          </w:tcPr>
          <w:p w14:paraId="579C7CBE" w14:textId="70FF935E" w:rsidR="00B848B5" w:rsidRDefault="00B848B5" w:rsidP="00EF3F18">
            <w:pPr>
              <w:pStyle w:val="ListParagraph"/>
              <w:numPr>
                <w:ilvl w:val="0"/>
                <w:numId w:val="28"/>
              </w:numPr>
              <w:rPr>
                <w:rFonts w:cstheme="minorHAnsi"/>
              </w:rPr>
            </w:pPr>
            <w:r>
              <w:rPr>
                <w:rFonts w:cstheme="minorHAnsi"/>
              </w:rPr>
              <w:t>HUD TA equity demo</w:t>
            </w:r>
            <w:r w:rsidR="00F64124">
              <w:rPr>
                <w:rFonts w:cstheme="minorHAnsi"/>
              </w:rPr>
              <w:t xml:space="preserve"> –</w:t>
            </w:r>
          </w:p>
          <w:p w14:paraId="5B8AC430" w14:textId="77777777" w:rsidR="00F64124" w:rsidRDefault="00F64124" w:rsidP="00EF3F18">
            <w:pPr>
              <w:pStyle w:val="ListParagraph"/>
              <w:numPr>
                <w:ilvl w:val="1"/>
                <w:numId w:val="28"/>
              </w:numPr>
              <w:rPr>
                <w:rFonts w:cstheme="minorHAnsi"/>
              </w:rPr>
            </w:pPr>
            <w:r>
              <w:rPr>
                <w:rFonts w:cstheme="minorHAnsi"/>
              </w:rPr>
              <w:t>Coordinated entry systems have contributed to disparities in communities across the country</w:t>
            </w:r>
          </w:p>
          <w:p w14:paraId="665FC12C" w14:textId="77777777" w:rsidR="00F64124" w:rsidRDefault="00F64124" w:rsidP="00EF3F18">
            <w:pPr>
              <w:pStyle w:val="ListParagraph"/>
              <w:numPr>
                <w:ilvl w:val="1"/>
                <w:numId w:val="28"/>
              </w:numPr>
              <w:rPr>
                <w:rFonts w:cstheme="minorHAnsi"/>
              </w:rPr>
            </w:pPr>
            <w:r>
              <w:rPr>
                <w:rFonts w:cstheme="minorHAnsi"/>
              </w:rPr>
              <w:t xml:space="preserve">The equity demo will work with local BIOPIC communities to rework and re-think the system with lens of racial equity </w:t>
            </w:r>
          </w:p>
          <w:p w14:paraId="6339645F" w14:textId="77777777" w:rsidR="00F64124" w:rsidRDefault="00F64124" w:rsidP="00EF3F18">
            <w:pPr>
              <w:pStyle w:val="ListParagraph"/>
              <w:numPr>
                <w:ilvl w:val="1"/>
                <w:numId w:val="28"/>
              </w:numPr>
              <w:rPr>
                <w:rFonts w:cstheme="minorHAnsi"/>
              </w:rPr>
            </w:pPr>
            <w:r>
              <w:rPr>
                <w:rFonts w:cstheme="minorHAnsi"/>
              </w:rPr>
              <w:t>Involved in the Demo will be a Core team and a Decisions making body</w:t>
            </w:r>
          </w:p>
          <w:p w14:paraId="13DD4190" w14:textId="77777777" w:rsidR="00F64124" w:rsidRDefault="00F64124" w:rsidP="00EA7246">
            <w:pPr>
              <w:pStyle w:val="ListParagraph"/>
              <w:numPr>
                <w:ilvl w:val="1"/>
                <w:numId w:val="28"/>
              </w:numPr>
              <w:ind w:right="2964"/>
              <w:rPr>
                <w:rFonts w:cstheme="minorHAnsi"/>
              </w:rPr>
            </w:pPr>
            <w:r>
              <w:rPr>
                <w:rFonts w:cstheme="minorHAnsi"/>
              </w:rPr>
              <w:t>This will take about 6 months to complete</w:t>
            </w:r>
          </w:p>
          <w:p w14:paraId="300D1017" w14:textId="46BC8C7F" w:rsidR="00073E73" w:rsidRPr="00EA7246" w:rsidRDefault="00073E73" w:rsidP="00EA7246">
            <w:pPr>
              <w:pStyle w:val="ListParagraph"/>
              <w:numPr>
                <w:ilvl w:val="1"/>
                <w:numId w:val="28"/>
              </w:numPr>
              <w:rPr>
                <w:rFonts w:ascii="Segoe UI" w:eastAsia="Times New Roman" w:hAnsi="Segoe UI" w:cs="Segoe UI"/>
                <w:sz w:val="21"/>
                <w:szCs w:val="21"/>
              </w:rPr>
            </w:pPr>
            <w:r w:rsidRPr="00EA7246">
              <w:rPr>
                <w:rFonts w:cstheme="minorHAnsi"/>
              </w:rPr>
              <w:t>The committee reviewed baseline demographic data</w:t>
            </w:r>
            <w:r w:rsidR="00EA7246" w:rsidRPr="00EA7246">
              <w:rPr>
                <w:rFonts w:cstheme="minorHAnsi"/>
              </w:rPr>
              <w:t xml:space="preserve"> (</w:t>
            </w:r>
            <w:bookmarkStart w:id="1" w:name="_Hlk52879333"/>
            <w:r w:rsidR="00EA7246" w:rsidRPr="00EA7246">
              <w:rPr>
                <w:rFonts w:ascii="Segoe UI" w:eastAsia="Times New Roman" w:hAnsi="Segoe UI" w:cs="Segoe UI"/>
                <w:sz w:val="21"/>
                <w:szCs w:val="21"/>
              </w:rPr>
              <w:fldChar w:fldCharType="begin"/>
            </w:r>
            <w:r w:rsidR="00EA7246" w:rsidRPr="00EA7246">
              <w:rPr>
                <w:rFonts w:ascii="Segoe UI" w:eastAsia="Times New Roman" w:hAnsi="Segoe UI" w:cs="Segoe UI"/>
                <w:sz w:val="21"/>
                <w:szCs w:val="21"/>
              </w:rPr>
              <w:instrText xml:space="preserve"> HYPERLINK "https://public.tableau.com/profile/lindsey.giblin" \l "!/vizhome/HennepinCounty/BlackorAfricanAmerican?publish=yes" \o "https://public.tableau.com/profile/lindsey.giblin#!/vizhome/hennepincounty/blackorafricanamerican?publish=yes" \t "_blank" </w:instrText>
            </w:r>
            <w:r w:rsidR="00EA7246" w:rsidRPr="00EA7246">
              <w:rPr>
                <w:rFonts w:ascii="Segoe UI" w:eastAsia="Times New Roman" w:hAnsi="Segoe UI" w:cs="Segoe UI"/>
                <w:sz w:val="21"/>
                <w:szCs w:val="21"/>
              </w:rPr>
              <w:fldChar w:fldCharType="separate"/>
            </w:r>
            <w:r w:rsidR="00EA7246" w:rsidRPr="00EA7246">
              <w:rPr>
                <w:rFonts w:ascii="Segoe UI" w:eastAsia="Times New Roman" w:hAnsi="Segoe UI" w:cs="Segoe UI"/>
                <w:color w:val="0000FF"/>
                <w:sz w:val="21"/>
                <w:szCs w:val="21"/>
                <w:u w:val="single"/>
              </w:rPr>
              <w:t>https://public.tableau.com/profile/lindsey.giblin#!/vizhome/HennepinCounty/BlackorAfricanAmerican?publish=yes</w:t>
            </w:r>
            <w:r w:rsidR="00EA7246" w:rsidRPr="00EA7246">
              <w:rPr>
                <w:rFonts w:ascii="Segoe UI" w:eastAsia="Times New Roman" w:hAnsi="Segoe UI" w:cs="Segoe UI"/>
                <w:sz w:val="21"/>
                <w:szCs w:val="21"/>
              </w:rPr>
              <w:fldChar w:fldCharType="end"/>
            </w:r>
            <w:bookmarkEnd w:id="1"/>
          </w:p>
          <w:p w14:paraId="0DD8CB9B" w14:textId="77777777" w:rsidR="00073E73" w:rsidRDefault="00073E73" w:rsidP="00EF3F18">
            <w:pPr>
              <w:pStyle w:val="ListParagraph"/>
              <w:numPr>
                <w:ilvl w:val="1"/>
                <w:numId w:val="28"/>
              </w:numPr>
              <w:rPr>
                <w:rFonts w:cstheme="minorHAnsi"/>
              </w:rPr>
            </w:pPr>
            <w:r>
              <w:rPr>
                <w:rFonts w:cstheme="minorHAnsi"/>
              </w:rPr>
              <w:t>Going forward, the demo will map the experiences people have in the system, specifically for people of color</w:t>
            </w:r>
          </w:p>
          <w:p w14:paraId="2B95F24D" w14:textId="77777777" w:rsidR="00EF3F18" w:rsidRDefault="00EF3F18" w:rsidP="00EF3F18">
            <w:pPr>
              <w:pStyle w:val="ListParagraph"/>
              <w:numPr>
                <w:ilvl w:val="0"/>
                <w:numId w:val="28"/>
              </w:numPr>
              <w:spacing w:after="0" w:line="240" w:lineRule="auto"/>
              <w:contextualSpacing w:val="0"/>
            </w:pPr>
            <w:r>
              <w:t>The “Decision Making Body” will be asked/invited to provide critical feedback, identify issues for the “Core Group” to work on, and be involved in every step of the development of the new assessment process.  The “Decision Making Body” will include:</w:t>
            </w:r>
          </w:p>
          <w:p w14:paraId="327D463F" w14:textId="77777777" w:rsidR="00EF3F18" w:rsidRDefault="00EF3F18" w:rsidP="00EF3F18">
            <w:pPr>
              <w:pStyle w:val="ListParagraph"/>
              <w:numPr>
                <w:ilvl w:val="1"/>
                <w:numId w:val="28"/>
              </w:numPr>
              <w:spacing w:after="0" w:line="240" w:lineRule="auto"/>
              <w:contextualSpacing w:val="0"/>
            </w:pPr>
            <w:r>
              <w:t>Street Voices of Change</w:t>
            </w:r>
          </w:p>
          <w:p w14:paraId="0AFCA34D" w14:textId="77777777" w:rsidR="00EF3F18" w:rsidRDefault="00EF3F18" w:rsidP="00EF3F18">
            <w:pPr>
              <w:pStyle w:val="ListParagraph"/>
              <w:numPr>
                <w:ilvl w:val="1"/>
                <w:numId w:val="28"/>
              </w:numPr>
              <w:spacing w:after="0" w:line="240" w:lineRule="auto"/>
              <w:contextualSpacing w:val="0"/>
            </w:pPr>
            <w:r>
              <w:t>Additional members of our homeless community not currently represented by Street Voices of Change including:</w:t>
            </w:r>
          </w:p>
          <w:p w14:paraId="19116E3B" w14:textId="77777777" w:rsidR="00EF3F18" w:rsidRDefault="00EF3F18" w:rsidP="00EF3F18">
            <w:pPr>
              <w:pStyle w:val="ListParagraph"/>
              <w:numPr>
                <w:ilvl w:val="2"/>
                <w:numId w:val="28"/>
              </w:numPr>
              <w:spacing w:after="0" w:line="240" w:lineRule="auto"/>
              <w:contextualSpacing w:val="0"/>
            </w:pPr>
            <w:r>
              <w:t>Families</w:t>
            </w:r>
          </w:p>
          <w:p w14:paraId="4CBE9C2F" w14:textId="77777777" w:rsidR="00EF3F18" w:rsidRDefault="00EF3F18" w:rsidP="00EF3F18">
            <w:pPr>
              <w:pStyle w:val="ListParagraph"/>
              <w:numPr>
                <w:ilvl w:val="2"/>
                <w:numId w:val="28"/>
              </w:numPr>
              <w:spacing w:after="0" w:line="240" w:lineRule="auto"/>
              <w:contextualSpacing w:val="0"/>
            </w:pPr>
            <w:r>
              <w:t>Native Americans</w:t>
            </w:r>
          </w:p>
          <w:p w14:paraId="477A8D3E" w14:textId="77777777" w:rsidR="00EF3F18" w:rsidRDefault="00EF3F18" w:rsidP="00EF3F18">
            <w:pPr>
              <w:pStyle w:val="ListParagraph"/>
              <w:numPr>
                <w:ilvl w:val="2"/>
                <w:numId w:val="28"/>
              </w:numPr>
              <w:spacing w:after="0" w:line="240" w:lineRule="auto"/>
              <w:contextualSpacing w:val="0"/>
            </w:pPr>
            <w:r>
              <w:t>Others identified by the “Core Group”, “Decision Making Body”, or CES Leadership Committee members as being under/not represented by Street Voice of Change</w:t>
            </w:r>
          </w:p>
          <w:p w14:paraId="5ADD141B" w14:textId="760ABCBA" w:rsidR="00073E73" w:rsidRPr="00F64124" w:rsidRDefault="00EF3F18" w:rsidP="00EF3F18">
            <w:pPr>
              <w:pStyle w:val="ListParagraph"/>
              <w:numPr>
                <w:ilvl w:val="0"/>
                <w:numId w:val="28"/>
              </w:numPr>
              <w:rPr>
                <w:rFonts w:cstheme="minorHAnsi"/>
              </w:rPr>
            </w:pPr>
            <w:r>
              <w:rPr>
                <w:rFonts w:cstheme="minorHAnsi"/>
              </w:rPr>
              <w:t xml:space="preserve">. </w:t>
            </w:r>
            <w:r w:rsidR="00EA7246">
              <w:rPr>
                <w:rFonts w:cstheme="minorHAnsi"/>
              </w:rPr>
              <w:t xml:space="preserve">The committee nominated potential members of the group </w:t>
            </w:r>
          </w:p>
        </w:tc>
      </w:tr>
      <w:tr w:rsidR="00B848B5" w:rsidRPr="008F6B4B" w14:paraId="16520925" w14:textId="77777777" w:rsidTr="0015239C">
        <w:trPr>
          <w:gridAfter w:val="2"/>
          <w:wAfter w:w="1500" w:type="dxa"/>
          <w:trHeight w:hRule="exact" w:val="901"/>
        </w:trPr>
        <w:tc>
          <w:tcPr>
            <w:tcW w:w="2804" w:type="dxa"/>
          </w:tcPr>
          <w:p w14:paraId="0D08F200" w14:textId="77F20ABF" w:rsidR="00B848B5" w:rsidRDefault="00B848B5" w:rsidP="00A40672">
            <w:pPr>
              <w:pStyle w:val="ListParagraph"/>
              <w:numPr>
                <w:ilvl w:val="0"/>
                <w:numId w:val="1"/>
              </w:numPr>
              <w:spacing w:before="40" w:after="40" w:line="240" w:lineRule="auto"/>
              <w:ind w:left="342" w:hanging="342"/>
              <w:contextualSpacing w:val="0"/>
              <w:rPr>
                <w:b/>
              </w:rPr>
            </w:pPr>
            <w:r>
              <w:rPr>
                <w:b/>
              </w:rPr>
              <w:t>Assessment Process Workgroup</w:t>
            </w:r>
          </w:p>
        </w:tc>
        <w:tc>
          <w:tcPr>
            <w:tcW w:w="8063" w:type="dxa"/>
            <w:gridSpan w:val="2"/>
          </w:tcPr>
          <w:p w14:paraId="674351C6" w14:textId="2D9ACB6C" w:rsidR="00B848B5" w:rsidRDefault="0015239C" w:rsidP="00A40672">
            <w:pPr>
              <w:pStyle w:val="ListParagraph"/>
              <w:numPr>
                <w:ilvl w:val="0"/>
                <w:numId w:val="29"/>
              </w:numPr>
              <w:spacing w:before="40" w:after="40"/>
            </w:pPr>
            <w:r>
              <w:rPr>
                <w:rFonts w:cstheme="minorHAnsi"/>
              </w:rPr>
              <w:t>This group has joined the work with C4 and the Equity Demo</w:t>
            </w:r>
          </w:p>
          <w:p w14:paraId="030C9F90" w14:textId="6343342C" w:rsidR="00B848B5" w:rsidRPr="00A40672" w:rsidRDefault="00B848B5" w:rsidP="00A40672">
            <w:pPr>
              <w:spacing w:before="40" w:after="40"/>
              <w:rPr>
                <w:sz w:val="22"/>
                <w:szCs w:val="22"/>
              </w:rPr>
            </w:pPr>
          </w:p>
        </w:tc>
      </w:tr>
      <w:tr w:rsidR="00B848B5" w:rsidRPr="008F6B4B" w14:paraId="29E15142" w14:textId="77777777" w:rsidTr="00B56AF4">
        <w:trPr>
          <w:gridAfter w:val="2"/>
          <w:wAfter w:w="1500" w:type="dxa"/>
          <w:trHeight w:hRule="exact" w:val="2880"/>
        </w:trPr>
        <w:tc>
          <w:tcPr>
            <w:tcW w:w="2804" w:type="dxa"/>
          </w:tcPr>
          <w:p w14:paraId="2C7D6D0C" w14:textId="284294FF" w:rsidR="00B848B5" w:rsidRDefault="00B848B5" w:rsidP="00A40672">
            <w:pPr>
              <w:pStyle w:val="ListParagraph"/>
              <w:numPr>
                <w:ilvl w:val="0"/>
                <w:numId w:val="1"/>
              </w:numPr>
              <w:spacing w:before="40" w:after="40" w:line="240" w:lineRule="auto"/>
              <w:ind w:left="342" w:hanging="342"/>
              <w:contextualSpacing w:val="0"/>
              <w:rPr>
                <w:b/>
              </w:rPr>
            </w:pPr>
            <w:r>
              <w:rPr>
                <w:b/>
              </w:rPr>
              <w:t>Hennepin County Update</w:t>
            </w:r>
          </w:p>
        </w:tc>
        <w:tc>
          <w:tcPr>
            <w:tcW w:w="8063" w:type="dxa"/>
            <w:gridSpan w:val="2"/>
          </w:tcPr>
          <w:p w14:paraId="7E0255A4" w14:textId="13E24DF7" w:rsidR="00B848B5" w:rsidRDefault="00B848B5" w:rsidP="002344F1">
            <w:pPr>
              <w:pStyle w:val="ListParagraph"/>
              <w:numPr>
                <w:ilvl w:val="0"/>
                <w:numId w:val="29"/>
              </w:numPr>
              <w:spacing w:before="40" w:after="40"/>
              <w:rPr>
                <w:rFonts w:cstheme="minorHAnsi"/>
              </w:rPr>
            </w:pPr>
            <w:r w:rsidRPr="002344F1">
              <w:rPr>
                <w:rFonts w:cstheme="minorHAnsi"/>
              </w:rPr>
              <w:t>County initiatives /strategies on hotel purchase</w:t>
            </w:r>
          </w:p>
          <w:p w14:paraId="0092E1D2" w14:textId="1CE46E8A" w:rsidR="00B848B5" w:rsidRDefault="00B56AF4" w:rsidP="0015239C">
            <w:pPr>
              <w:pStyle w:val="ListParagraph"/>
              <w:numPr>
                <w:ilvl w:val="1"/>
                <w:numId w:val="29"/>
              </w:numPr>
              <w:spacing w:before="40" w:after="40"/>
              <w:rPr>
                <w:rFonts w:cstheme="minorHAnsi"/>
              </w:rPr>
            </w:pPr>
            <w:r>
              <w:rPr>
                <w:rFonts w:cstheme="minorHAnsi"/>
              </w:rPr>
              <w:t>Hennepin County purchased two buildings to assist in the transition of current hotel guests</w:t>
            </w:r>
          </w:p>
          <w:p w14:paraId="02717177" w14:textId="4608EC0E" w:rsidR="0015239C" w:rsidRDefault="0015239C" w:rsidP="0015239C">
            <w:pPr>
              <w:pStyle w:val="ListParagraph"/>
              <w:numPr>
                <w:ilvl w:val="1"/>
                <w:numId w:val="29"/>
              </w:numPr>
              <w:spacing w:before="40" w:after="40"/>
              <w:rPr>
                <w:rFonts w:cstheme="minorHAnsi"/>
              </w:rPr>
            </w:pPr>
            <w:r>
              <w:rPr>
                <w:rFonts w:cstheme="minorHAnsi"/>
              </w:rPr>
              <w:t>There are about 60 units in these two buildings</w:t>
            </w:r>
            <w:bookmarkStart w:id="2" w:name="_GoBack"/>
            <w:bookmarkEnd w:id="2"/>
          </w:p>
          <w:p w14:paraId="43FDB971" w14:textId="77777777" w:rsidR="00B56AF4" w:rsidRDefault="00B56AF4" w:rsidP="0015239C">
            <w:pPr>
              <w:pStyle w:val="ListParagraph"/>
              <w:numPr>
                <w:ilvl w:val="1"/>
                <w:numId w:val="29"/>
              </w:numPr>
              <w:spacing w:before="40" w:after="40"/>
              <w:rPr>
                <w:rFonts w:cstheme="minorHAnsi"/>
              </w:rPr>
            </w:pPr>
            <w:r>
              <w:rPr>
                <w:rFonts w:cstheme="minorHAnsi"/>
              </w:rPr>
              <w:t>There will be further acquisitions to come</w:t>
            </w:r>
          </w:p>
          <w:p w14:paraId="517DB806" w14:textId="77777777" w:rsidR="00B56AF4" w:rsidRDefault="00B56AF4" w:rsidP="0015239C">
            <w:pPr>
              <w:pStyle w:val="ListParagraph"/>
              <w:numPr>
                <w:ilvl w:val="0"/>
                <w:numId w:val="29"/>
              </w:numPr>
              <w:spacing w:before="40" w:after="40"/>
              <w:rPr>
                <w:rFonts w:cstheme="minorHAnsi"/>
              </w:rPr>
            </w:pPr>
            <w:r>
              <w:rPr>
                <w:rFonts w:cstheme="minorHAnsi"/>
              </w:rPr>
              <w:t>There will be a diversion training for the community</w:t>
            </w:r>
          </w:p>
          <w:p w14:paraId="796EC750" w14:textId="3AEA6476" w:rsidR="00B56AF4" w:rsidRPr="00B56AF4" w:rsidRDefault="00B56AF4" w:rsidP="0015239C">
            <w:pPr>
              <w:pStyle w:val="ListParagraph"/>
              <w:numPr>
                <w:ilvl w:val="0"/>
                <w:numId w:val="29"/>
              </w:numPr>
              <w:spacing w:before="40" w:after="40"/>
              <w:rPr>
                <w:rFonts w:cstheme="minorHAnsi"/>
              </w:rPr>
            </w:pPr>
            <w:r>
              <w:rPr>
                <w:rFonts w:cstheme="minorHAnsi"/>
              </w:rPr>
              <w:t xml:space="preserve">The participant agreement was approved last month. These will be sent out mid to late October. These will be for 2021 and then sent out annually. </w:t>
            </w:r>
          </w:p>
        </w:tc>
      </w:tr>
      <w:tr w:rsidR="00B848B5" w:rsidRPr="008F6B4B" w14:paraId="6856976E" w14:textId="77777777" w:rsidTr="004D6EA8">
        <w:trPr>
          <w:gridAfter w:val="2"/>
          <w:wAfter w:w="1500" w:type="dxa"/>
          <w:trHeight w:hRule="exact" w:val="3024"/>
        </w:trPr>
        <w:tc>
          <w:tcPr>
            <w:tcW w:w="2804" w:type="dxa"/>
          </w:tcPr>
          <w:p w14:paraId="07CAB878" w14:textId="6C9C268D" w:rsidR="00B848B5" w:rsidRDefault="00B848B5" w:rsidP="00A40672">
            <w:pPr>
              <w:pStyle w:val="ListParagraph"/>
              <w:numPr>
                <w:ilvl w:val="0"/>
                <w:numId w:val="1"/>
              </w:numPr>
              <w:spacing w:before="40" w:after="40" w:line="240" w:lineRule="auto"/>
              <w:ind w:left="342" w:hanging="342"/>
              <w:contextualSpacing w:val="0"/>
              <w:rPr>
                <w:b/>
              </w:rPr>
            </w:pPr>
            <w:r>
              <w:rPr>
                <w:b/>
              </w:rPr>
              <w:lastRenderedPageBreak/>
              <w:t xml:space="preserve">Hotels to Housing </w:t>
            </w:r>
          </w:p>
        </w:tc>
        <w:tc>
          <w:tcPr>
            <w:tcW w:w="8063" w:type="dxa"/>
            <w:gridSpan w:val="2"/>
          </w:tcPr>
          <w:p w14:paraId="44F819C4" w14:textId="0F38799A" w:rsidR="00B848B5" w:rsidRDefault="00B848B5" w:rsidP="00A40672">
            <w:pPr>
              <w:pStyle w:val="ListParagraph"/>
              <w:numPr>
                <w:ilvl w:val="0"/>
                <w:numId w:val="29"/>
              </w:numPr>
              <w:spacing w:before="40" w:after="40"/>
            </w:pPr>
            <w:r>
              <w:t>Description of the project</w:t>
            </w:r>
            <w:r w:rsidR="004D6EA8">
              <w:t xml:space="preserve"> – Hennepin County moved just over 300 individuals that were medically fragile and seniors </w:t>
            </w:r>
            <w:proofErr w:type="gramStart"/>
            <w:r w:rsidR="004D6EA8">
              <w:t>In</w:t>
            </w:r>
            <w:proofErr w:type="gramEnd"/>
            <w:r w:rsidR="004D6EA8">
              <w:t xml:space="preserve"> mid-March</w:t>
            </w:r>
          </w:p>
          <w:p w14:paraId="470BD215" w14:textId="4BEAC3C9" w:rsidR="004D6EA8" w:rsidRDefault="004D6EA8" w:rsidP="00A40672">
            <w:pPr>
              <w:pStyle w:val="ListParagraph"/>
              <w:numPr>
                <w:ilvl w:val="0"/>
                <w:numId w:val="29"/>
              </w:numPr>
              <w:spacing w:before="40" w:after="40"/>
            </w:pPr>
            <w:r>
              <w:t>HC is committed to working to try and assure no one returns to homelessness or a shelter</w:t>
            </w:r>
          </w:p>
          <w:p w14:paraId="0865CB24" w14:textId="172E739E" w:rsidR="004D6EA8" w:rsidRDefault="004D6EA8" w:rsidP="00A40672">
            <w:pPr>
              <w:pStyle w:val="ListParagraph"/>
              <w:numPr>
                <w:ilvl w:val="0"/>
                <w:numId w:val="29"/>
              </w:numPr>
              <w:spacing w:before="40" w:after="40"/>
            </w:pPr>
            <w:r>
              <w:t>New staff are being hired to assist in the housing process</w:t>
            </w:r>
          </w:p>
          <w:p w14:paraId="47CFF3AF" w14:textId="77777777" w:rsidR="00B848B5" w:rsidRDefault="00D63BB7" w:rsidP="00D63BB7">
            <w:pPr>
              <w:pStyle w:val="ListParagraph"/>
              <w:numPr>
                <w:ilvl w:val="0"/>
                <w:numId w:val="29"/>
              </w:numPr>
              <w:spacing w:before="40" w:after="40"/>
            </w:pPr>
            <w:r>
              <w:t>No preferential treatment is being given to guests of the hotel</w:t>
            </w:r>
          </w:p>
          <w:p w14:paraId="7767E8B0" w14:textId="7CA4E7F8" w:rsidR="00D63BB7" w:rsidRPr="00D63BB7" w:rsidRDefault="00D63BB7" w:rsidP="00D63BB7">
            <w:pPr>
              <w:pStyle w:val="ListParagraph"/>
              <w:numPr>
                <w:ilvl w:val="0"/>
                <w:numId w:val="29"/>
              </w:numPr>
              <w:spacing w:before="40" w:after="40"/>
            </w:pPr>
          </w:p>
        </w:tc>
      </w:tr>
      <w:tr w:rsidR="00B848B5" w:rsidRPr="008F6B4B" w14:paraId="361D5419" w14:textId="77777777" w:rsidTr="00B56AF4">
        <w:trPr>
          <w:gridAfter w:val="2"/>
          <w:wAfter w:w="1500" w:type="dxa"/>
          <w:trHeight w:hRule="exact" w:val="2746"/>
        </w:trPr>
        <w:tc>
          <w:tcPr>
            <w:tcW w:w="2804" w:type="dxa"/>
          </w:tcPr>
          <w:p w14:paraId="287AC513" w14:textId="6DE7A8AC" w:rsidR="00B848B5" w:rsidRDefault="00B848B5" w:rsidP="00A40672">
            <w:pPr>
              <w:pStyle w:val="ListParagraph"/>
              <w:numPr>
                <w:ilvl w:val="0"/>
                <w:numId w:val="1"/>
              </w:numPr>
              <w:spacing w:before="40" w:after="40" w:line="240" w:lineRule="auto"/>
              <w:ind w:left="342" w:hanging="342"/>
              <w:contextualSpacing w:val="0"/>
              <w:rPr>
                <w:b/>
              </w:rPr>
            </w:pPr>
            <w:r>
              <w:rPr>
                <w:b/>
              </w:rPr>
              <w:t>Equity and Inclusion in the CES</w:t>
            </w:r>
          </w:p>
        </w:tc>
        <w:tc>
          <w:tcPr>
            <w:tcW w:w="8063" w:type="dxa"/>
            <w:gridSpan w:val="2"/>
          </w:tcPr>
          <w:p w14:paraId="3C7171CB" w14:textId="5C3DF1A0" w:rsidR="00B848B5" w:rsidRDefault="00B848B5" w:rsidP="00D63BB7">
            <w:pPr>
              <w:pStyle w:val="ListParagraph"/>
              <w:numPr>
                <w:ilvl w:val="0"/>
                <w:numId w:val="30"/>
              </w:numPr>
              <w:rPr>
                <w:rFonts w:cstheme="minorHAnsi"/>
              </w:rPr>
            </w:pPr>
            <w:r>
              <w:rPr>
                <w:rFonts w:cstheme="minorHAnsi"/>
              </w:rPr>
              <w:t>Review of workgroups/subcommittees</w:t>
            </w:r>
          </w:p>
          <w:p w14:paraId="4F6B76D8" w14:textId="381F5739" w:rsidR="00D63BB7" w:rsidRDefault="00D63BB7" w:rsidP="00D63BB7">
            <w:pPr>
              <w:pStyle w:val="ListParagraph"/>
              <w:numPr>
                <w:ilvl w:val="0"/>
                <w:numId w:val="30"/>
              </w:numPr>
              <w:rPr>
                <w:rFonts w:cstheme="minorHAnsi"/>
              </w:rPr>
            </w:pPr>
            <w:r>
              <w:rPr>
                <w:rFonts w:cstheme="minorHAnsi"/>
              </w:rPr>
              <w:t>The HC CES Survivor Services group is still meeting</w:t>
            </w:r>
          </w:p>
          <w:p w14:paraId="39747852" w14:textId="634A6F2A" w:rsidR="00D63BB7" w:rsidRDefault="00D63BB7" w:rsidP="00D63BB7">
            <w:pPr>
              <w:pStyle w:val="ListParagraph"/>
              <w:numPr>
                <w:ilvl w:val="0"/>
                <w:numId w:val="30"/>
              </w:numPr>
              <w:rPr>
                <w:rFonts w:cstheme="minorHAnsi"/>
              </w:rPr>
            </w:pPr>
            <w:r>
              <w:rPr>
                <w:rFonts w:cstheme="minorHAnsi"/>
              </w:rPr>
              <w:t xml:space="preserve">The Communications group is not currently meeting but could start back up if needed. </w:t>
            </w:r>
          </w:p>
          <w:p w14:paraId="39977D45" w14:textId="2561F56F" w:rsidR="00D63BB7" w:rsidRDefault="00D63BB7" w:rsidP="00D63BB7">
            <w:pPr>
              <w:pStyle w:val="ListParagraph"/>
              <w:numPr>
                <w:ilvl w:val="0"/>
                <w:numId w:val="30"/>
              </w:numPr>
              <w:rPr>
                <w:rFonts w:cstheme="minorHAnsi"/>
              </w:rPr>
            </w:pPr>
            <w:r>
              <w:rPr>
                <w:rFonts w:cstheme="minorHAnsi"/>
              </w:rPr>
              <w:t>The Data and E</w:t>
            </w:r>
            <w:r w:rsidR="00B56AF4">
              <w:rPr>
                <w:rFonts w:cstheme="minorHAnsi"/>
              </w:rPr>
              <w:t>quity</w:t>
            </w:r>
            <w:r>
              <w:rPr>
                <w:rFonts w:cstheme="minorHAnsi"/>
              </w:rPr>
              <w:t xml:space="preserve"> committee met on Friday</w:t>
            </w:r>
            <w:r w:rsidR="00B56AF4">
              <w:rPr>
                <w:rFonts w:cstheme="minorHAnsi"/>
              </w:rPr>
              <w:t xml:space="preserve"> – Amy continues to lead this work</w:t>
            </w:r>
          </w:p>
          <w:p w14:paraId="3A1160FE" w14:textId="77777777" w:rsidR="00B56AF4" w:rsidRDefault="00B56AF4" w:rsidP="00D63BB7">
            <w:pPr>
              <w:pStyle w:val="ListParagraph"/>
              <w:numPr>
                <w:ilvl w:val="0"/>
                <w:numId w:val="30"/>
              </w:numPr>
              <w:rPr>
                <w:rFonts w:cstheme="minorHAnsi"/>
              </w:rPr>
            </w:pPr>
          </w:p>
          <w:p w14:paraId="28829F13" w14:textId="5AF67849" w:rsidR="00D63BB7" w:rsidRPr="00D63BB7" w:rsidRDefault="00D63BB7" w:rsidP="00D63BB7">
            <w:pPr>
              <w:ind w:left="360"/>
              <w:rPr>
                <w:rFonts w:cstheme="minorHAnsi"/>
              </w:rPr>
            </w:pPr>
          </w:p>
        </w:tc>
      </w:tr>
      <w:tr w:rsidR="00B848B5" w:rsidRPr="008F6B4B" w14:paraId="12C1A898" w14:textId="77777777" w:rsidTr="00D63BB7">
        <w:trPr>
          <w:gridAfter w:val="2"/>
          <w:wAfter w:w="1500" w:type="dxa"/>
          <w:trHeight w:hRule="exact" w:val="2431"/>
        </w:trPr>
        <w:tc>
          <w:tcPr>
            <w:tcW w:w="2804" w:type="dxa"/>
          </w:tcPr>
          <w:p w14:paraId="47EB35BB" w14:textId="54167FBA" w:rsidR="00B848B5" w:rsidRDefault="00B848B5" w:rsidP="00A40672">
            <w:pPr>
              <w:pStyle w:val="ListParagraph"/>
              <w:numPr>
                <w:ilvl w:val="0"/>
                <w:numId w:val="1"/>
              </w:numPr>
              <w:spacing w:before="40" w:after="40" w:line="240" w:lineRule="auto"/>
              <w:ind w:left="342" w:hanging="342"/>
              <w:contextualSpacing w:val="0"/>
              <w:rPr>
                <w:b/>
              </w:rPr>
            </w:pPr>
            <w:r>
              <w:rPr>
                <w:b/>
              </w:rPr>
              <w:t>Communication Strategies</w:t>
            </w:r>
          </w:p>
        </w:tc>
        <w:tc>
          <w:tcPr>
            <w:tcW w:w="8063" w:type="dxa"/>
            <w:gridSpan w:val="2"/>
          </w:tcPr>
          <w:p w14:paraId="1678214B" w14:textId="77777777" w:rsidR="00B848B5" w:rsidRDefault="00B848B5" w:rsidP="00A40672">
            <w:pPr>
              <w:pStyle w:val="ListParagraph"/>
              <w:numPr>
                <w:ilvl w:val="0"/>
                <w:numId w:val="30"/>
              </w:numPr>
              <w:rPr>
                <w:rFonts w:cstheme="minorHAnsi"/>
              </w:rPr>
            </w:pPr>
            <w:r>
              <w:rPr>
                <w:rFonts w:cstheme="minorHAnsi"/>
              </w:rPr>
              <w:t>Revisit recording meeting discussion</w:t>
            </w:r>
          </w:p>
          <w:p w14:paraId="19A200FB" w14:textId="77777777" w:rsidR="00B848B5" w:rsidRDefault="00B848B5" w:rsidP="00A40672">
            <w:pPr>
              <w:pStyle w:val="ListParagraph"/>
              <w:numPr>
                <w:ilvl w:val="0"/>
                <w:numId w:val="30"/>
              </w:numPr>
              <w:rPr>
                <w:rFonts w:cstheme="minorHAnsi"/>
              </w:rPr>
            </w:pPr>
            <w:r>
              <w:rPr>
                <w:rFonts w:cstheme="minorHAnsi"/>
              </w:rPr>
              <w:t>Updating the website</w:t>
            </w:r>
          </w:p>
          <w:p w14:paraId="770C62A4" w14:textId="77777777" w:rsidR="00B848B5" w:rsidRDefault="00B848B5" w:rsidP="00A40672">
            <w:pPr>
              <w:pStyle w:val="ListParagraph"/>
              <w:numPr>
                <w:ilvl w:val="0"/>
                <w:numId w:val="30"/>
              </w:numPr>
              <w:rPr>
                <w:rFonts w:cstheme="minorHAnsi"/>
              </w:rPr>
            </w:pPr>
            <w:r>
              <w:rPr>
                <w:rFonts w:cstheme="minorHAnsi"/>
              </w:rPr>
              <w:t>Host listening sessions</w:t>
            </w:r>
          </w:p>
          <w:p w14:paraId="4326EC79" w14:textId="77777777" w:rsidR="00B848B5" w:rsidRDefault="00B848B5" w:rsidP="00A40672">
            <w:pPr>
              <w:pStyle w:val="ListParagraph"/>
              <w:numPr>
                <w:ilvl w:val="0"/>
                <w:numId w:val="30"/>
              </w:numPr>
              <w:rPr>
                <w:rFonts w:cstheme="minorHAnsi"/>
              </w:rPr>
            </w:pPr>
            <w:r>
              <w:rPr>
                <w:rFonts w:cstheme="minorHAnsi"/>
              </w:rPr>
              <w:t>Using the Scoop</w:t>
            </w:r>
          </w:p>
          <w:p w14:paraId="633C136A" w14:textId="54C2A699" w:rsidR="00B848B5" w:rsidRDefault="00B848B5" w:rsidP="00A40672">
            <w:pPr>
              <w:pStyle w:val="ListParagraph"/>
              <w:ind w:left="0"/>
              <w:rPr>
                <w:rFonts w:cstheme="minorHAnsi"/>
              </w:rPr>
            </w:pPr>
          </w:p>
        </w:tc>
      </w:tr>
      <w:tr w:rsidR="00B848B5" w:rsidRPr="008F6B4B" w14:paraId="14776914" w14:textId="77777777" w:rsidTr="00D63BB7">
        <w:trPr>
          <w:gridAfter w:val="2"/>
          <w:wAfter w:w="1500" w:type="dxa"/>
          <w:trHeight w:hRule="exact" w:val="1738"/>
        </w:trPr>
        <w:tc>
          <w:tcPr>
            <w:tcW w:w="2804" w:type="dxa"/>
          </w:tcPr>
          <w:p w14:paraId="5D15366E" w14:textId="07D27882" w:rsidR="00B848B5" w:rsidRDefault="00B848B5" w:rsidP="00A40672">
            <w:pPr>
              <w:pStyle w:val="ListParagraph"/>
              <w:numPr>
                <w:ilvl w:val="0"/>
                <w:numId w:val="1"/>
              </w:numPr>
              <w:spacing w:before="40" w:after="40" w:line="240" w:lineRule="auto"/>
              <w:ind w:left="342" w:hanging="342"/>
              <w:contextualSpacing w:val="0"/>
              <w:rPr>
                <w:b/>
              </w:rPr>
            </w:pPr>
            <w:r>
              <w:rPr>
                <w:b/>
              </w:rPr>
              <w:t>Data Equity Workgroup</w:t>
            </w:r>
          </w:p>
        </w:tc>
        <w:tc>
          <w:tcPr>
            <w:tcW w:w="8063" w:type="dxa"/>
            <w:gridSpan w:val="2"/>
          </w:tcPr>
          <w:p w14:paraId="6A381B23" w14:textId="621229CB" w:rsidR="00D63BB7" w:rsidRDefault="00B848B5" w:rsidP="00D63BB7">
            <w:pPr>
              <w:pStyle w:val="ListParagraph"/>
              <w:numPr>
                <w:ilvl w:val="0"/>
                <w:numId w:val="30"/>
              </w:numPr>
              <w:rPr>
                <w:rFonts w:cstheme="minorHAnsi"/>
              </w:rPr>
            </w:pPr>
            <w:r>
              <w:rPr>
                <w:rFonts w:cstheme="minorHAnsi"/>
              </w:rPr>
              <w:t>Update</w:t>
            </w:r>
          </w:p>
          <w:p w14:paraId="6D84A33E" w14:textId="5595EA1A" w:rsidR="00B848B5" w:rsidRDefault="00B848B5" w:rsidP="00A40672">
            <w:pPr>
              <w:pStyle w:val="ListParagraph"/>
              <w:ind w:left="0"/>
              <w:rPr>
                <w:rFonts w:cstheme="minorHAnsi"/>
              </w:rPr>
            </w:pPr>
          </w:p>
        </w:tc>
      </w:tr>
      <w:tr w:rsidR="00B848B5" w:rsidRPr="008F6B4B" w14:paraId="6377382B" w14:textId="77777777" w:rsidTr="00EA7246">
        <w:trPr>
          <w:gridAfter w:val="2"/>
          <w:wAfter w:w="1500" w:type="dxa"/>
          <w:trHeight w:hRule="exact" w:val="1000"/>
        </w:trPr>
        <w:tc>
          <w:tcPr>
            <w:tcW w:w="2804" w:type="dxa"/>
          </w:tcPr>
          <w:p w14:paraId="459AC4AA" w14:textId="46C5E732" w:rsidR="00B848B5" w:rsidRDefault="00B848B5" w:rsidP="00A40672">
            <w:pPr>
              <w:pStyle w:val="ListParagraph"/>
              <w:numPr>
                <w:ilvl w:val="0"/>
                <w:numId w:val="1"/>
              </w:numPr>
              <w:spacing w:before="40" w:after="40" w:line="240" w:lineRule="auto"/>
              <w:ind w:left="342" w:hanging="342"/>
              <w:contextualSpacing w:val="0"/>
              <w:rPr>
                <w:b/>
              </w:rPr>
            </w:pPr>
            <w:r>
              <w:rPr>
                <w:b/>
              </w:rPr>
              <w:t>System report</w:t>
            </w:r>
          </w:p>
        </w:tc>
        <w:tc>
          <w:tcPr>
            <w:tcW w:w="8063" w:type="dxa"/>
            <w:gridSpan w:val="2"/>
          </w:tcPr>
          <w:p w14:paraId="1C0413C5" w14:textId="2F75FFB9" w:rsidR="00B848B5" w:rsidRDefault="00B848B5" w:rsidP="00C95BCF">
            <w:pPr>
              <w:pStyle w:val="ListParagraph"/>
              <w:ind w:left="0"/>
              <w:rPr>
                <w:rFonts w:cstheme="minorHAnsi"/>
              </w:rPr>
            </w:pPr>
          </w:p>
        </w:tc>
      </w:tr>
      <w:tr w:rsidR="00B848B5" w:rsidRPr="008F6B4B" w14:paraId="2E229E1A" w14:textId="77777777" w:rsidTr="00EA7246">
        <w:trPr>
          <w:gridAfter w:val="2"/>
          <w:wAfter w:w="1500" w:type="dxa"/>
          <w:trHeight w:hRule="exact" w:val="802"/>
        </w:trPr>
        <w:tc>
          <w:tcPr>
            <w:tcW w:w="2804" w:type="dxa"/>
          </w:tcPr>
          <w:p w14:paraId="16965023" w14:textId="40E955ED" w:rsidR="00B848B5" w:rsidRPr="003E5CA8" w:rsidRDefault="00B848B5" w:rsidP="00A40672">
            <w:pPr>
              <w:pStyle w:val="ListParagraph"/>
              <w:numPr>
                <w:ilvl w:val="0"/>
                <w:numId w:val="1"/>
              </w:numPr>
              <w:spacing w:before="40" w:after="40"/>
              <w:jc w:val="both"/>
              <w:rPr>
                <w:b/>
              </w:rPr>
            </w:pPr>
            <w:r>
              <w:rPr>
                <w:b/>
              </w:rPr>
              <w:t>Other</w:t>
            </w:r>
            <w:r w:rsidRPr="003E5CA8">
              <w:rPr>
                <w:b/>
              </w:rPr>
              <w:t xml:space="preserve"> Business</w:t>
            </w:r>
          </w:p>
        </w:tc>
        <w:tc>
          <w:tcPr>
            <w:tcW w:w="8063" w:type="dxa"/>
            <w:gridSpan w:val="2"/>
          </w:tcPr>
          <w:p w14:paraId="02E534AE" w14:textId="3893926A" w:rsidR="00B848B5" w:rsidRPr="003E5CA8" w:rsidRDefault="00B848B5" w:rsidP="00A40672">
            <w:pPr>
              <w:spacing w:before="40" w:after="40"/>
              <w:rPr>
                <w:sz w:val="22"/>
                <w:szCs w:val="22"/>
              </w:rPr>
            </w:pPr>
          </w:p>
        </w:tc>
      </w:tr>
      <w:tr w:rsidR="00B848B5" w:rsidRPr="008F6B4B" w14:paraId="11D15E06" w14:textId="77777777" w:rsidTr="00EA7246">
        <w:trPr>
          <w:gridAfter w:val="2"/>
          <w:wAfter w:w="1500" w:type="dxa"/>
          <w:trHeight w:hRule="exact" w:val="892"/>
        </w:trPr>
        <w:tc>
          <w:tcPr>
            <w:tcW w:w="2804" w:type="dxa"/>
          </w:tcPr>
          <w:p w14:paraId="01180958" w14:textId="77777777" w:rsidR="00B848B5" w:rsidRPr="003E5CA8" w:rsidRDefault="00B848B5" w:rsidP="00A40672">
            <w:pPr>
              <w:spacing w:before="40" w:after="40"/>
              <w:rPr>
                <w:b/>
                <w:sz w:val="22"/>
                <w:szCs w:val="22"/>
              </w:rPr>
            </w:pPr>
            <w:r w:rsidRPr="003E5CA8">
              <w:rPr>
                <w:b/>
                <w:sz w:val="22"/>
                <w:szCs w:val="22"/>
              </w:rPr>
              <w:t>Future Agenda Items</w:t>
            </w:r>
          </w:p>
        </w:tc>
        <w:tc>
          <w:tcPr>
            <w:tcW w:w="8063" w:type="dxa"/>
            <w:gridSpan w:val="2"/>
          </w:tcPr>
          <w:p w14:paraId="2F8EBC0F" w14:textId="2F800617" w:rsidR="00B848B5" w:rsidRPr="003E5CA8" w:rsidRDefault="00B848B5" w:rsidP="00A40672">
            <w:pPr>
              <w:spacing w:before="40" w:after="40"/>
              <w:rPr>
                <w:sz w:val="22"/>
                <w:szCs w:val="22"/>
              </w:rPr>
            </w:pPr>
          </w:p>
        </w:tc>
      </w:tr>
      <w:tr w:rsidR="00B848B5" w:rsidRPr="008F6B4B" w14:paraId="58FBA0B7" w14:textId="77777777" w:rsidTr="00EA7246">
        <w:trPr>
          <w:gridAfter w:val="2"/>
          <w:wAfter w:w="1500" w:type="dxa"/>
          <w:trHeight w:hRule="exact" w:val="748"/>
        </w:trPr>
        <w:tc>
          <w:tcPr>
            <w:tcW w:w="2804" w:type="dxa"/>
          </w:tcPr>
          <w:p w14:paraId="2810C61A" w14:textId="77777777" w:rsidR="00B848B5" w:rsidRPr="003E5CA8" w:rsidRDefault="00B848B5" w:rsidP="00A40672">
            <w:pPr>
              <w:spacing w:before="40" w:after="40"/>
              <w:rPr>
                <w:b/>
                <w:sz w:val="22"/>
                <w:szCs w:val="22"/>
              </w:rPr>
            </w:pPr>
            <w:r w:rsidRPr="003E5CA8">
              <w:rPr>
                <w:b/>
                <w:sz w:val="22"/>
                <w:szCs w:val="22"/>
              </w:rPr>
              <w:lastRenderedPageBreak/>
              <w:t>Tasks for this month</w:t>
            </w:r>
          </w:p>
        </w:tc>
        <w:tc>
          <w:tcPr>
            <w:tcW w:w="8063" w:type="dxa"/>
            <w:gridSpan w:val="2"/>
          </w:tcPr>
          <w:p w14:paraId="142E5D75" w14:textId="77777777" w:rsidR="00B848B5" w:rsidRPr="00F004A6" w:rsidRDefault="00B848B5" w:rsidP="00A40672">
            <w:pPr>
              <w:pStyle w:val="ListParagraph"/>
              <w:numPr>
                <w:ilvl w:val="0"/>
                <w:numId w:val="17"/>
              </w:numPr>
              <w:rPr>
                <w:color w:val="000000" w:themeColor="text1"/>
              </w:rPr>
            </w:pPr>
            <w:r w:rsidRPr="00F004A6">
              <w:rPr>
                <w:color w:val="000000" w:themeColor="text1"/>
              </w:rPr>
              <w:t xml:space="preserve"> </w:t>
            </w:r>
          </w:p>
          <w:p w14:paraId="002CFD3C" w14:textId="51C40282" w:rsidR="00B848B5" w:rsidRPr="003E5CA8" w:rsidRDefault="00B848B5" w:rsidP="00A40672">
            <w:pPr>
              <w:spacing w:before="40" w:after="40"/>
              <w:jc w:val="center"/>
              <w:rPr>
                <w:sz w:val="22"/>
                <w:szCs w:val="22"/>
              </w:rPr>
            </w:pPr>
            <w:r w:rsidRPr="00F004A6">
              <w:rPr>
                <w:color w:val="000000" w:themeColor="text1"/>
              </w:rPr>
              <w:t xml:space="preserve"> </w:t>
            </w:r>
          </w:p>
        </w:tc>
      </w:tr>
      <w:tr w:rsidR="00B848B5" w:rsidRPr="008F6B4B" w14:paraId="70C5906F" w14:textId="77777777" w:rsidTr="00EA7246">
        <w:trPr>
          <w:gridAfter w:val="2"/>
          <w:wAfter w:w="1500" w:type="dxa"/>
          <w:trHeight w:hRule="exact" w:val="802"/>
        </w:trPr>
        <w:tc>
          <w:tcPr>
            <w:tcW w:w="2804" w:type="dxa"/>
          </w:tcPr>
          <w:p w14:paraId="485175FB" w14:textId="77777777" w:rsidR="00B848B5" w:rsidRPr="003E5CA8" w:rsidRDefault="00B848B5" w:rsidP="00A40672">
            <w:pPr>
              <w:spacing w:before="40" w:after="40"/>
              <w:rPr>
                <w:b/>
                <w:sz w:val="22"/>
                <w:szCs w:val="22"/>
              </w:rPr>
            </w:pPr>
            <w:r w:rsidRPr="003E5CA8">
              <w:rPr>
                <w:b/>
                <w:sz w:val="22"/>
                <w:szCs w:val="22"/>
              </w:rPr>
              <w:t>Reminders</w:t>
            </w:r>
          </w:p>
        </w:tc>
        <w:tc>
          <w:tcPr>
            <w:tcW w:w="8063" w:type="dxa"/>
            <w:gridSpan w:val="2"/>
          </w:tcPr>
          <w:p w14:paraId="6B6730BC" w14:textId="77777777" w:rsidR="00B848B5" w:rsidRPr="003E5CA8" w:rsidRDefault="00B848B5" w:rsidP="00A40672">
            <w:pPr>
              <w:spacing w:before="40" w:after="40"/>
              <w:jc w:val="center"/>
              <w:rPr>
                <w:sz w:val="22"/>
                <w:szCs w:val="22"/>
              </w:rPr>
            </w:pPr>
          </w:p>
        </w:tc>
      </w:tr>
    </w:tbl>
    <w:p w14:paraId="4F417011" w14:textId="0F27F601" w:rsidR="000A5357" w:rsidRDefault="000A5357" w:rsidP="000A5357">
      <w:pPr>
        <w:pStyle w:val="Default"/>
        <w:rPr>
          <w:b/>
          <w:bCs/>
          <w:sz w:val="23"/>
          <w:szCs w:val="23"/>
        </w:rPr>
      </w:pPr>
    </w:p>
    <w:p w14:paraId="0EEB38F5" w14:textId="77777777" w:rsidR="000A5357" w:rsidRDefault="000A5357" w:rsidP="000A5357">
      <w:pPr>
        <w:pStyle w:val="Default"/>
        <w:rPr>
          <w:b/>
          <w:bCs/>
          <w:sz w:val="23"/>
          <w:szCs w:val="23"/>
        </w:rPr>
      </w:pPr>
    </w:p>
    <w:p w14:paraId="4CB09A50" w14:textId="286D949E" w:rsidR="000A5357" w:rsidRDefault="000A5357" w:rsidP="000A5357">
      <w:pPr>
        <w:pStyle w:val="Default"/>
        <w:rPr>
          <w:sz w:val="23"/>
          <w:szCs w:val="23"/>
        </w:rPr>
      </w:pPr>
      <w:r>
        <w:rPr>
          <w:b/>
          <w:bCs/>
          <w:sz w:val="23"/>
          <w:szCs w:val="23"/>
        </w:rPr>
        <w:t xml:space="preserve">Acronyms </w:t>
      </w:r>
    </w:p>
    <w:p w14:paraId="2E1CDA70" w14:textId="77777777" w:rsidR="000A5357" w:rsidRDefault="000A5357" w:rsidP="000A5357">
      <w:pPr>
        <w:pStyle w:val="Default"/>
        <w:numPr>
          <w:ilvl w:val="0"/>
          <w:numId w:val="24"/>
        </w:numPr>
        <w:rPr>
          <w:sz w:val="22"/>
          <w:szCs w:val="22"/>
        </w:rPr>
      </w:pPr>
      <w:r>
        <w:rPr>
          <w:b/>
          <w:sz w:val="22"/>
          <w:szCs w:val="22"/>
        </w:rPr>
        <w:t>AMI:</w:t>
      </w:r>
      <w:r>
        <w:rPr>
          <w:sz w:val="22"/>
          <w:szCs w:val="22"/>
        </w:rPr>
        <w:t xml:space="preserve"> Area Median Income.</w:t>
      </w:r>
    </w:p>
    <w:p w14:paraId="23F4B954" w14:textId="77777777" w:rsidR="000A5357" w:rsidRDefault="000A5357" w:rsidP="000A5357">
      <w:pPr>
        <w:pStyle w:val="Default"/>
        <w:numPr>
          <w:ilvl w:val="0"/>
          <w:numId w:val="24"/>
        </w:numPr>
        <w:rPr>
          <w:sz w:val="22"/>
          <w:szCs w:val="22"/>
        </w:rPr>
      </w:pPr>
      <w:r>
        <w:rPr>
          <w:b/>
          <w:bCs/>
          <w:sz w:val="22"/>
          <w:szCs w:val="22"/>
        </w:rPr>
        <w:t xml:space="preserve">CES: </w:t>
      </w:r>
      <w:r>
        <w:rPr>
          <w:sz w:val="22"/>
          <w:szCs w:val="22"/>
        </w:rPr>
        <w:t xml:space="preserve">Coordinated Entry System, a process operated by </w:t>
      </w:r>
      <w:proofErr w:type="spellStart"/>
      <w:r>
        <w:rPr>
          <w:sz w:val="22"/>
          <w:szCs w:val="22"/>
        </w:rPr>
        <w:t>CoCs</w:t>
      </w:r>
      <w:proofErr w:type="spellEnd"/>
      <w:r>
        <w:rPr>
          <w:sz w:val="22"/>
          <w:szCs w:val="22"/>
        </w:rPr>
        <w:t xml:space="preserve"> to assess and connect people residing in shelters and/or on the streets with homeless-designated housing programs </w:t>
      </w:r>
    </w:p>
    <w:p w14:paraId="7E769FA8" w14:textId="77777777" w:rsidR="000A5357" w:rsidRDefault="000A5357" w:rsidP="000A5357">
      <w:pPr>
        <w:pStyle w:val="Default"/>
        <w:numPr>
          <w:ilvl w:val="0"/>
          <w:numId w:val="24"/>
        </w:numPr>
        <w:rPr>
          <w:sz w:val="22"/>
          <w:szCs w:val="22"/>
        </w:rPr>
      </w:pPr>
      <w:r>
        <w:rPr>
          <w:b/>
          <w:bCs/>
          <w:sz w:val="22"/>
          <w:szCs w:val="22"/>
        </w:rPr>
        <w:t xml:space="preserve">CoC: </w:t>
      </w:r>
      <w:r>
        <w:rPr>
          <w:sz w:val="22"/>
          <w:szCs w:val="22"/>
        </w:rPr>
        <w:t xml:space="preserve">continuum of care for the homeless; funding made available by HUD via the annual CoC program competition process </w:t>
      </w:r>
    </w:p>
    <w:p w14:paraId="27D7EF90" w14:textId="77777777" w:rsidR="000A5357" w:rsidRDefault="000A5357" w:rsidP="000A5357">
      <w:pPr>
        <w:pStyle w:val="Default"/>
        <w:numPr>
          <w:ilvl w:val="0"/>
          <w:numId w:val="24"/>
        </w:numPr>
        <w:rPr>
          <w:sz w:val="22"/>
          <w:szCs w:val="22"/>
        </w:rPr>
      </w:pPr>
      <w:r>
        <w:rPr>
          <w:b/>
          <w:sz w:val="22"/>
          <w:szCs w:val="22"/>
        </w:rPr>
        <w:t>DHS:</w:t>
      </w:r>
      <w:r>
        <w:rPr>
          <w:sz w:val="22"/>
          <w:szCs w:val="22"/>
        </w:rPr>
        <w:t xml:space="preserve"> Minnesota Department of Human Services</w:t>
      </w:r>
    </w:p>
    <w:p w14:paraId="220E20C9" w14:textId="77777777" w:rsidR="000A5357" w:rsidRDefault="000A5357" w:rsidP="000A5357">
      <w:pPr>
        <w:pStyle w:val="Default"/>
        <w:numPr>
          <w:ilvl w:val="0"/>
          <w:numId w:val="24"/>
        </w:numPr>
        <w:rPr>
          <w:sz w:val="22"/>
          <w:szCs w:val="22"/>
        </w:rPr>
      </w:pPr>
      <w:r>
        <w:rPr>
          <w:b/>
          <w:bCs/>
          <w:sz w:val="22"/>
          <w:szCs w:val="22"/>
        </w:rPr>
        <w:t xml:space="preserve">FHPAP: </w:t>
      </w:r>
      <w:r>
        <w:rPr>
          <w:sz w:val="22"/>
          <w:szCs w:val="22"/>
        </w:rPr>
        <w:t xml:space="preserve">Family Homelessness Prevention and Assistance Program; biannual grant from MHFA for homelessness prevention and rapid rehousing </w:t>
      </w:r>
    </w:p>
    <w:p w14:paraId="130C7EB6" w14:textId="77777777" w:rsidR="000A5357" w:rsidRDefault="000A5357" w:rsidP="000A5357">
      <w:pPr>
        <w:pStyle w:val="Default"/>
        <w:numPr>
          <w:ilvl w:val="0"/>
          <w:numId w:val="24"/>
        </w:numPr>
        <w:rPr>
          <w:sz w:val="22"/>
          <w:szCs w:val="22"/>
        </w:rPr>
      </w:pPr>
      <w:r>
        <w:rPr>
          <w:b/>
          <w:bCs/>
          <w:sz w:val="22"/>
          <w:szCs w:val="22"/>
        </w:rPr>
        <w:t xml:space="preserve">EA: </w:t>
      </w:r>
      <w:r>
        <w:rPr>
          <w:sz w:val="22"/>
          <w:szCs w:val="22"/>
        </w:rPr>
        <w:t xml:space="preserve">Emergency Assistance for families </w:t>
      </w:r>
    </w:p>
    <w:p w14:paraId="6165CEBA" w14:textId="77777777" w:rsidR="000A5357" w:rsidRDefault="000A5357" w:rsidP="000A5357">
      <w:pPr>
        <w:pStyle w:val="Default"/>
        <w:numPr>
          <w:ilvl w:val="0"/>
          <w:numId w:val="24"/>
        </w:numPr>
        <w:rPr>
          <w:sz w:val="22"/>
          <w:szCs w:val="22"/>
        </w:rPr>
      </w:pPr>
      <w:r>
        <w:rPr>
          <w:b/>
          <w:bCs/>
          <w:sz w:val="22"/>
          <w:szCs w:val="22"/>
        </w:rPr>
        <w:t xml:space="preserve">EGA: </w:t>
      </w:r>
      <w:r>
        <w:rPr>
          <w:sz w:val="22"/>
          <w:szCs w:val="22"/>
        </w:rPr>
        <w:t xml:space="preserve">Emergency General Assistance for single adults </w:t>
      </w:r>
    </w:p>
    <w:p w14:paraId="19B8A1C5" w14:textId="77777777" w:rsidR="000A5357" w:rsidRDefault="000A5357" w:rsidP="000A5357">
      <w:pPr>
        <w:pStyle w:val="Default"/>
        <w:numPr>
          <w:ilvl w:val="0"/>
          <w:numId w:val="24"/>
        </w:numPr>
        <w:rPr>
          <w:sz w:val="22"/>
          <w:szCs w:val="22"/>
        </w:rPr>
      </w:pPr>
      <w:r>
        <w:rPr>
          <w:b/>
          <w:bCs/>
          <w:sz w:val="22"/>
          <w:szCs w:val="22"/>
        </w:rPr>
        <w:t xml:space="preserve">ESG: </w:t>
      </w:r>
      <w:r>
        <w:rPr>
          <w:sz w:val="22"/>
          <w:szCs w:val="22"/>
        </w:rPr>
        <w:t xml:space="preserve">Emergency Solutions Grant; annual grant from HUD used by Hennepin County and City and Minneapolis for rapid rehousing </w:t>
      </w:r>
    </w:p>
    <w:p w14:paraId="5B22C121" w14:textId="77777777" w:rsidR="000A5357" w:rsidRDefault="000A5357" w:rsidP="000A5357">
      <w:pPr>
        <w:pStyle w:val="Default"/>
        <w:numPr>
          <w:ilvl w:val="0"/>
          <w:numId w:val="24"/>
        </w:numPr>
        <w:rPr>
          <w:sz w:val="22"/>
          <w:szCs w:val="22"/>
        </w:rPr>
      </w:pPr>
      <w:r>
        <w:rPr>
          <w:b/>
          <w:sz w:val="22"/>
          <w:szCs w:val="22"/>
        </w:rPr>
        <w:t xml:space="preserve">FMR: </w:t>
      </w:r>
      <w:r>
        <w:rPr>
          <w:sz w:val="22"/>
          <w:szCs w:val="22"/>
        </w:rPr>
        <w:t>Fair Market Rent, a calculation completed by the federal government</w:t>
      </w:r>
    </w:p>
    <w:p w14:paraId="5F580287" w14:textId="77777777" w:rsidR="000A5357" w:rsidRDefault="000A5357" w:rsidP="000A5357">
      <w:pPr>
        <w:pStyle w:val="Default"/>
        <w:numPr>
          <w:ilvl w:val="0"/>
          <w:numId w:val="24"/>
        </w:numPr>
        <w:rPr>
          <w:sz w:val="22"/>
          <w:szCs w:val="22"/>
        </w:rPr>
      </w:pPr>
      <w:r>
        <w:rPr>
          <w:b/>
          <w:sz w:val="22"/>
          <w:szCs w:val="22"/>
        </w:rPr>
        <w:t xml:space="preserve">GRH: </w:t>
      </w:r>
      <w:r>
        <w:rPr>
          <w:sz w:val="22"/>
          <w:szCs w:val="22"/>
        </w:rPr>
        <w:t>Group Residential Housing, a State benefit that pays for housing and some services for people with disabling conditions, also called Housing Support</w:t>
      </w:r>
    </w:p>
    <w:p w14:paraId="4E65D254" w14:textId="77777777" w:rsidR="000A5357" w:rsidRDefault="000A5357" w:rsidP="000A5357">
      <w:pPr>
        <w:pStyle w:val="Default"/>
        <w:numPr>
          <w:ilvl w:val="0"/>
          <w:numId w:val="24"/>
        </w:numPr>
        <w:rPr>
          <w:sz w:val="22"/>
          <w:szCs w:val="22"/>
        </w:rPr>
      </w:pPr>
      <w:r>
        <w:rPr>
          <w:b/>
          <w:bCs/>
          <w:sz w:val="22"/>
          <w:szCs w:val="22"/>
        </w:rPr>
        <w:t xml:space="preserve">HMIS: </w:t>
      </w:r>
      <w:r>
        <w:rPr>
          <w:sz w:val="22"/>
          <w:szCs w:val="22"/>
        </w:rPr>
        <w:t xml:space="preserve">Homelessness Management Information System; database and reporting application </w:t>
      </w:r>
    </w:p>
    <w:p w14:paraId="3342BFD3" w14:textId="77777777" w:rsidR="000A5357" w:rsidRDefault="000A5357" w:rsidP="000A5357">
      <w:pPr>
        <w:pStyle w:val="Default"/>
        <w:numPr>
          <w:ilvl w:val="0"/>
          <w:numId w:val="24"/>
        </w:numPr>
        <w:rPr>
          <w:sz w:val="22"/>
          <w:szCs w:val="22"/>
        </w:rPr>
      </w:pPr>
      <w:r>
        <w:rPr>
          <w:b/>
          <w:bCs/>
          <w:sz w:val="22"/>
          <w:szCs w:val="22"/>
        </w:rPr>
        <w:t xml:space="preserve">HUD: </w:t>
      </w:r>
      <w:r>
        <w:rPr>
          <w:sz w:val="22"/>
          <w:szCs w:val="22"/>
        </w:rPr>
        <w:t xml:space="preserve">United States Department of Housing and Urban Development </w:t>
      </w:r>
    </w:p>
    <w:p w14:paraId="22C5DD4B" w14:textId="77777777" w:rsidR="000A5357" w:rsidRDefault="000A5357" w:rsidP="000A5357">
      <w:pPr>
        <w:pStyle w:val="Default"/>
        <w:numPr>
          <w:ilvl w:val="0"/>
          <w:numId w:val="24"/>
        </w:numPr>
        <w:rPr>
          <w:sz w:val="22"/>
          <w:szCs w:val="22"/>
        </w:rPr>
      </w:pPr>
      <w:r>
        <w:rPr>
          <w:b/>
          <w:sz w:val="22"/>
          <w:szCs w:val="22"/>
        </w:rPr>
        <w:t>LTH:</w:t>
      </w:r>
      <w:r>
        <w:rPr>
          <w:sz w:val="22"/>
          <w:szCs w:val="22"/>
        </w:rPr>
        <w:t xml:space="preserve"> Long-term homeless, a Minnesota designation of people who have been homeless or doubled-up for 12 continuous months or for 4 times in the last 3 years</w:t>
      </w:r>
    </w:p>
    <w:p w14:paraId="1BC73F58" w14:textId="77777777" w:rsidR="000A5357" w:rsidRDefault="000A5357" w:rsidP="000A5357">
      <w:pPr>
        <w:pStyle w:val="Default"/>
        <w:numPr>
          <w:ilvl w:val="0"/>
          <w:numId w:val="24"/>
        </w:numPr>
        <w:rPr>
          <w:sz w:val="22"/>
          <w:szCs w:val="22"/>
        </w:rPr>
      </w:pPr>
      <w:r>
        <w:rPr>
          <w:b/>
          <w:sz w:val="22"/>
          <w:szCs w:val="22"/>
        </w:rPr>
        <w:t>MFIP:</w:t>
      </w:r>
      <w:r>
        <w:rPr>
          <w:sz w:val="22"/>
          <w:szCs w:val="22"/>
        </w:rPr>
        <w:t xml:space="preserve"> Minnesota Families Investment Program, Minnesota’s Temporary Assistance for Needy Families (TANF) program</w:t>
      </w:r>
    </w:p>
    <w:p w14:paraId="45D5D62E" w14:textId="77777777" w:rsidR="000A5357" w:rsidRDefault="000A5357" w:rsidP="000A5357">
      <w:pPr>
        <w:pStyle w:val="Default"/>
        <w:numPr>
          <w:ilvl w:val="0"/>
          <w:numId w:val="24"/>
        </w:numPr>
        <w:rPr>
          <w:sz w:val="22"/>
          <w:szCs w:val="22"/>
        </w:rPr>
      </w:pPr>
      <w:r>
        <w:rPr>
          <w:b/>
          <w:bCs/>
          <w:sz w:val="22"/>
          <w:szCs w:val="22"/>
        </w:rPr>
        <w:t xml:space="preserve">MHFA: </w:t>
      </w:r>
      <w:r>
        <w:rPr>
          <w:sz w:val="22"/>
          <w:szCs w:val="22"/>
        </w:rPr>
        <w:t xml:space="preserve">Minnesota Housing Finance Agency </w:t>
      </w:r>
    </w:p>
    <w:p w14:paraId="378679EE" w14:textId="77777777" w:rsidR="000A5357" w:rsidRDefault="000A5357" w:rsidP="000A5357">
      <w:pPr>
        <w:pStyle w:val="Default"/>
        <w:numPr>
          <w:ilvl w:val="0"/>
          <w:numId w:val="24"/>
        </w:numPr>
        <w:rPr>
          <w:sz w:val="22"/>
          <w:szCs w:val="22"/>
        </w:rPr>
      </w:pPr>
      <w:r>
        <w:rPr>
          <w:b/>
          <w:sz w:val="22"/>
          <w:szCs w:val="22"/>
        </w:rPr>
        <w:t>PIT:</w:t>
      </w:r>
      <w:r>
        <w:rPr>
          <w:sz w:val="22"/>
          <w:szCs w:val="22"/>
        </w:rPr>
        <w:t xml:space="preserve"> point in time count, a required count of people experiencing homelessness every January</w:t>
      </w:r>
    </w:p>
    <w:p w14:paraId="3D00636C" w14:textId="77777777" w:rsidR="000A5357" w:rsidRDefault="000A5357" w:rsidP="000A5357">
      <w:pPr>
        <w:pStyle w:val="Default"/>
        <w:numPr>
          <w:ilvl w:val="0"/>
          <w:numId w:val="24"/>
        </w:numPr>
        <w:rPr>
          <w:sz w:val="22"/>
          <w:szCs w:val="22"/>
        </w:rPr>
      </w:pPr>
      <w:r>
        <w:rPr>
          <w:b/>
          <w:sz w:val="22"/>
          <w:szCs w:val="22"/>
        </w:rPr>
        <w:t>PSH:</w:t>
      </w:r>
      <w:r>
        <w:rPr>
          <w:sz w:val="22"/>
          <w:szCs w:val="22"/>
        </w:rPr>
        <w:t xml:space="preserve"> permanent supportive housing</w:t>
      </w:r>
    </w:p>
    <w:p w14:paraId="11EA35F6" w14:textId="2C3E1E64" w:rsidR="000A5357" w:rsidRPr="003E0EE0" w:rsidRDefault="000A5357" w:rsidP="006D427F">
      <w:pPr>
        <w:pStyle w:val="Default"/>
        <w:numPr>
          <w:ilvl w:val="0"/>
          <w:numId w:val="24"/>
        </w:numPr>
        <w:rPr>
          <w:sz w:val="22"/>
          <w:szCs w:val="22"/>
        </w:rPr>
      </w:pPr>
      <w:r>
        <w:rPr>
          <w:b/>
          <w:bCs/>
          <w:sz w:val="22"/>
          <w:szCs w:val="22"/>
        </w:rPr>
        <w:t xml:space="preserve">VI-SPDAT: </w:t>
      </w:r>
      <w:r>
        <w:rPr>
          <w:sz w:val="22"/>
          <w:szCs w:val="22"/>
        </w:rPr>
        <w:t xml:space="preserve">Vulnerability Index – Service Prioritization Decision Assistance Tool, the tool used in Hennepin County’s Coordinated Entry System to prioritize households for different housing programs </w:t>
      </w:r>
    </w:p>
    <w:sectPr w:rsidR="000A5357" w:rsidRPr="003E0EE0" w:rsidSect="00223C0A">
      <w:headerReference w:type="default" r:id="rId11"/>
      <w:headerReference w:type="first" r:id="rId12"/>
      <w:footerReference w:type="first" r:id="rId13"/>
      <w:pgSz w:w="12240" w:h="15840" w:code="1"/>
      <w:pgMar w:top="1080" w:right="1440" w:bottom="1080" w:left="1440"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AB17" w14:textId="77777777" w:rsidR="00685ADA" w:rsidRDefault="00685ADA">
      <w:r>
        <w:separator/>
      </w:r>
    </w:p>
  </w:endnote>
  <w:endnote w:type="continuationSeparator" w:id="0">
    <w:p w14:paraId="5EDF15E4" w14:textId="77777777" w:rsidR="00685ADA" w:rsidRDefault="0068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BD71" w14:textId="77777777" w:rsidR="00342655" w:rsidRDefault="00342655" w:rsidP="009744BF">
    <w:pPr>
      <w:pStyle w:val="NoSpacing"/>
      <w:jc w:val="center"/>
      <w:rPr>
        <w:sz w:val="16"/>
        <w:szCs w:val="18"/>
        <w:u w:val="single"/>
      </w:rPr>
    </w:pPr>
  </w:p>
  <w:p w14:paraId="076857D2" w14:textId="77777777" w:rsidR="00342655" w:rsidRPr="00F32AE1" w:rsidRDefault="00342655" w:rsidP="009B54B7">
    <w:pPr>
      <w:pStyle w:val="Footer"/>
      <w:ind w:right="-720" w:hanging="900"/>
      <w:jc w:val="center"/>
      <w:rPr>
        <w:rFonts w:ascii="Times New Roman" w:hAnsi="Times New Roman"/>
        <w:i/>
        <w:color w:val="7F7F7F" w:themeColor="text1" w:themeTint="8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C83A0" w14:textId="77777777" w:rsidR="00685ADA" w:rsidRDefault="00685ADA">
      <w:r>
        <w:separator/>
      </w:r>
    </w:p>
  </w:footnote>
  <w:footnote w:type="continuationSeparator" w:id="0">
    <w:p w14:paraId="0F76C11B" w14:textId="77777777" w:rsidR="00685ADA" w:rsidRDefault="0068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EA6A" w14:textId="77777777" w:rsidR="00342655" w:rsidRDefault="00342655" w:rsidP="00083E15">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07AB" w14:textId="77777777" w:rsidR="00342655" w:rsidRDefault="00342655" w:rsidP="0091698C">
    <w:pPr>
      <w:pStyle w:val="Header"/>
      <w:ind w:left="-540" w:right="-540" w:hanging="720"/>
      <w:jc w:val="center"/>
    </w:pPr>
    <w:r>
      <w:rPr>
        <w:noProof/>
      </w:rPr>
      <mc:AlternateContent>
        <mc:Choice Requires="wps">
          <w:drawing>
            <wp:anchor distT="0" distB="0" distL="114300" distR="114300" simplePos="0" relativeHeight="251658240" behindDoc="0" locked="0" layoutInCell="1" allowOverlap="1" wp14:anchorId="27608E7E" wp14:editId="3E47416E">
              <wp:simplePos x="0" y="0"/>
              <wp:positionH relativeFrom="column">
                <wp:posOffset>4695825</wp:posOffset>
              </wp:positionH>
              <wp:positionV relativeFrom="paragraph">
                <wp:posOffset>598170</wp:posOffset>
              </wp:positionV>
              <wp:extent cx="1375410" cy="699770"/>
              <wp:effectExtent l="9525" t="7620"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997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0CF2" id="Rectangle 1" o:spid="_x0000_s1026" style="position:absolute;margin-left:369.75pt;margin-top:47.1pt;width:108.3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" strokecolor="white [3212]"/>
          </w:pict>
        </mc:Fallback>
      </mc:AlternateContent>
    </w:r>
  </w:p>
  <w:p w14:paraId="57ECFA65" w14:textId="77777777" w:rsidR="00342655" w:rsidRDefault="00342655" w:rsidP="0091698C">
    <w:pPr>
      <w:pStyle w:val="Header"/>
      <w:ind w:left="-540" w:right="-540" w:hanging="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F16"/>
    <w:multiLevelType w:val="hybridMultilevel"/>
    <w:tmpl w:val="ED986372"/>
    <w:lvl w:ilvl="0" w:tplc="F8D00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71E3"/>
    <w:multiLevelType w:val="hybridMultilevel"/>
    <w:tmpl w:val="C0B2F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27F3"/>
    <w:multiLevelType w:val="hybridMultilevel"/>
    <w:tmpl w:val="2B167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936E5"/>
    <w:multiLevelType w:val="hybridMultilevel"/>
    <w:tmpl w:val="FC76D4D0"/>
    <w:lvl w:ilvl="0" w:tplc="03C4F2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AE5A89"/>
    <w:multiLevelType w:val="hybridMultilevel"/>
    <w:tmpl w:val="C73E4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42944"/>
    <w:multiLevelType w:val="hybridMultilevel"/>
    <w:tmpl w:val="A47E2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A5C3D"/>
    <w:multiLevelType w:val="hybridMultilevel"/>
    <w:tmpl w:val="DBD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24115"/>
    <w:multiLevelType w:val="hybridMultilevel"/>
    <w:tmpl w:val="EC9C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8394F"/>
    <w:multiLevelType w:val="hybridMultilevel"/>
    <w:tmpl w:val="23CE1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61ECE"/>
    <w:multiLevelType w:val="hybridMultilevel"/>
    <w:tmpl w:val="A7B45758"/>
    <w:lvl w:ilvl="0" w:tplc="678A99E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132FA"/>
    <w:multiLevelType w:val="hybridMultilevel"/>
    <w:tmpl w:val="B8DE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223464"/>
    <w:multiLevelType w:val="hybridMultilevel"/>
    <w:tmpl w:val="2A3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2CE0"/>
    <w:multiLevelType w:val="hybridMultilevel"/>
    <w:tmpl w:val="75EA0C46"/>
    <w:lvl w:ilvl="0" w:tplc="131C8414">
      <w:start w:val="1"/>
      <w:numFmt w:val="decimal"/>
      <w:lvlText w:val="%1."/>
      <w:lvlJc w:val="left"/>
      <w:pPr>
        <w:ind w:left="342" w:hanging="360"/>
      </w:pPr>
      <w:rPr>
        <w:rFonts w:asciiTheme="minorHAnsi" w:hAnsiTheme="minorHAnsi"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15:restartNumberingAfterBreak="0">
    <w:nsid w:val="3735202D"/>
    <w:multiLevelType w:val="hybridMultilevel"/>
    <w:tmpl w:val="70E09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33737"/>
    <w:multiLevelType w:val="hybridMultilevel"/>
    <w:tmpl w:val="F57AE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61C79"/>
    <w:multiLevelType w:val="hybridMultilevel"/>
    <w:tmpl w:val="D8364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B38C5"/>
    <w:multiLevelType w:val="multilevel"/>
    <w:tmpl w:val="42563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177E9E"/>
    <w:multiLevelType w:val="hybridMultilevel"/>
    <w:tmpl w:val="C0B2F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23CF7"/>
    <w:multiLevelType w:val="hybridMultilevel"/>
    <w:tmpl w:val="C73E4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77544"/>
    <w:multiLevelType w:val="hybridMultilevel"/>
    <w:tmpl w:val="EE42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90D29"/>
    <w:multiLevelType w:val="hybridMultilevel"/>
    <w:tmpl w:val="294813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49BF6A9E"/>
    <w:multiLevelType w:val="hybridMultilevel"/>
    <w:tmpl w:val="9DDA4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668E7"/>
    <w:multiLevelType w:val="hybridMultilevel"/>
    <w:tmpl w:val="482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363CDB"/>
    <w:multiLevelType w:val="hybridMultilevel"/>
    <w:tmpl w:val="4768E2E8"/>
    <w:lvl w:ilvl="0" w:tplc="1960DC9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56D43"/>
    <w:multiLevelType w:val="hybridMultilevel"/>
    <w:tmpl w:val="038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B3E3B"/>
    <w:multiLevelType w:val="hybridMultilevel"/>
    <w:tmpl w:val="29A8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A10D9"/>
    <w:multiLevelType w:val="hybridMultilevel"/>
    <w:tmpl w:val="06BA5516"/>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746AC1"/>
    <w:multiLevelType w:val="hybridMultilevel"/>
    <w:tmpl w:val="E7D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B084E"/>
    <w:multiLevelType w:val="hybridMultilevel"/>
    <w:tmpl w:val="0F2A2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E921E3"/>
    <w:multiLevelType w:val="hybridMultilevel"/>
    <w:tmpl w:val="6F00B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63D0E"/>
    <w:multiLevelType w:val="hybridMultilevel"/>
    <w:tmpl w:val="29A8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B0B29"/>
    <w:multiLevelType w:val="hybridMultilevel"/>
    <w:tmpl w:val="D06652C2"/>
    <w:lvl w:ilvl="0" w:tplc="04090001">
      <w:start w:val="1"/>
      <w:numFmt w:val="bullet"/>
      <w:lvlText w:val=""/>
      <w:lvlJc w:val="left"/>
      <w:pPr>
        <w:ind w:left="720" w:hanging="360"/>
      </w:pPr>
      <w:rPr>
        <w:rFonts w:ascii="Symbol" w:hAnsi="Symbol" w:hint="default"/>
        <w:sz w:val="16"/>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67D70"/>
    <w:multiLevelType w:val="hybridMultilevel"/>
    <w:tmpl w:val="0DE09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4"/>
  </w:num>
  <w:num w:numId="4">
    <w:abstractNumId w:val="26"/>
  </w:num>
  <w:num w:numId="5">
    <w:abstractNumId w:val="8"/>
  </w:num>
  <w:num w:numId="6">
    <w:abstractNumId w:val="31"/>
  </w:num>
  <w:num w:numId="7">
    <w:abstractNumId w:val="10"/>
  </w:num>
  <w:num w:numId="8">
    <w:abstractNumId w:val="7"/>
  </w:num>
  <w:num w:numId="9">
    <w:abstractNumId w:val="28"/>
  </w:num>
  <w:num w:numId="10">
    <w:abstractNumId w:val="21"/>
  </w:num>
  <w:num w:numId="11">
    <w:abstractNumId w:val="13"/>
  </w:num>
  <w:num w:numId="12">
    <w:abstractNumId w:val="0"/>
  </w:num>
  <w:num w:numId="13">
    <w:abstractNumId w:val="30"/>
  </w:num>
  <w:num w:numId="14">
    <w:abstractNumId w:val="4"/>
  </w:num>
  <w:num w:numId="15">
    <w:abstractNumId w:val="25"/>
  </w:num>
  <w:num w:numId="16">
    <w:abstractNumId w:val="1"/>
  </w:num>
  <w:num w:numId="17">
    <w:abstractNumId w:val="17"/>
  </w:num>
  <w:num w:numId="18">
    <w:abstractNumId w:val="18"/>
  </w:num>
  <w:num w:numId="19">
    <w:abstractNumId w:val="2"/>
  </w:num>
  <w:num w:numId="20">
    <w:abstractNumId w:val="9"/>
  </w:num>
  <w:num w:numId="21">
    <w:abstractNumId w:val="29"/>
  </w:num>
  <w:num w:numId="22">
    <w:abstractNumId w:val="12"/>
  </w:num>
  <w:num w:numId="23">
    <w:abstractNumId w:val="6"/>
  </w:num>
  <w:num w:numId="24">
    <w:abstractNumId w:val="22"/>
  </w:num>
  <w:num w:numId="25">
    <w:abstractNumId w:val="27"/>
  </w:num>
  <w:num w:numId="26">
    <w:abstractNumId w:val="16"/>
  </w:num>
  <w:num w:numId="27">
    <w:abstractNumId w:val="20"/>
  </w:num>
  <w:num w:numId="28">
    <w:abstractNumId w:val="15"/>
  </w:num>
  <w:num w:numId="29">
    <w:abstractNumId w:val="19"/>
  </w:num>
  <w:num w:numId="30">
    <w:abstractNumId w:val="24"/>
  </w:num>
  <w:num w:numId="31">
    <w:abstractNumId w:val="32"/>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A5"/>
    <w:rsid w:val="0000568D"/>
    <w:rsid w:val="00010F59"/>
    <w:rsid w:val="00013766"/>
    <w:rsid w:val="0004108B"/>
    <w:rsid w:val="00073E73"/>
    <w:rsid w:val="0007641D"/>
    <w:rsid w:val="00080E71"/>
    <w:rsid w:val="00083E15"/>
    <w:rsid w:val="000857D4"/>
    <w:rsid w:val="00095BDE"/>
    <w:rsid w:val="00096398"/>
    <w:rsid w:val="00096C2C"/>
    <w:rsid w:val="000A43CC"/>
    <w:rsid w:val="000A5357"/>
    <w:rsid w:val="000B1756"/>
    <w:rsid w:val="000B3B81"/>
    <w:rsid w:val="000B4D6E"/>
    <w:rsid w:val="000C133E"/>
    <w:rsid w:val="000D2D2E"/>
    <w:rsid w:val="000E1163"/>
    <w:rsid w:val="000E1DD7"/>
    <w:rsid w:val="000E2F7D"/>
    <w:rsid w:val="000F79FC"/>
    <w:rsid w:val="0010021B"/>
    <w:rsid w:val="00100244"/>
    <w:rsid w:val="0012129D"/>
    <w:rsid w:val="0013165A"/>
    <w:rsid w:val="00142045"/>
    <w:rsid w:val="0015196C"/>
    <w:rsid w:val="0015239C"/>
    <w:rsid w:val="00181E77"/>
    <w:rsid w:val="001870B0"/>
    <w:rsid w:val="00195AB3"/>
    <w:rsid w:val="001A1E63"/>
    <w:rsid w:val="001B444D"/>
    <w:rsid w:val="001C47CB"/>
    <w:rsid w:val="001C4D16"/>
    <w:rsid w:val="001C50E9"/>
    <w:rsid w:val="001C7A69"/>
    <w:rsid w:val="001D75B1"/>
    <w:rsid w:val="001F7E5C"/>
    <w:rsid w:val="002236CC"/>
    <w:rsid w:val="00223C0A"/>
    <w:rsid w:val="0022427C"/>
    <w:rsid w:val="002279BB"/>
    <w:rsid w:val="002344F1"/>
    <w:rsid w:val="00234623"/>
    <w:rsid w:val="00234DD1"/>
    <w:rsid w:val="002370C2"/>
    <w:rsid w:val="00241871"/>
    <w:rsid w:val="002432DF"/>
    <w:rsid w:val="002562D2"/>
    <w:rsid w:val="0026070A"/>
    <w:rsid w:val="002632E8"/>
    <w:rsid w:val="002831A7"/>
    <w:rsid w:val="002849F0"/>
    <w:rsid w:val="002860E3"/>
    <w:rsid w:val="00292C7A"/>
    <w:rsid w:val="002A725D"/>
    <w:rsid w:val="002B2257"/>
    <w:rsid w:val="002B46BF"/>
    <w:rsid w:val="002B5C8D"/>
    <w:rsid w:val="002C3DD1"/>
    <w:rsid w:val="002E5EB8"/>
    <w:rsid w:val="002F442C"/>
    <w:rsid w:val="00314EA0"/>
    <w:rsid w:val="00315ECC"/>
    <w:rsid w:val="00317346"/>
    <w:rsid w:val="003203D2"/>
    <w:rsid w:val="00327342"/>
    <w:rsid w:val="00331A3A"/>
    <w:rsid w:val="003325C5"/>
    <w:rsid w:val="00334E0E"/>
    <w:rsid w:val="00341AC3"/>
    <w:rsid w:val="00342655"/>
    <w:rsid w:val="00345E66"/>
    <w:rsid w:val="00362959"/>
    <w:rsid w:val="00377BC6"/>
    <w:rsid w:val="00381685"/>
    <w:rsid w:val="003817D1"/>
    <w:rsid w:val="00382031"/>
    <w:rsid w:val="0039135F"/>
    <w:rsid w:val="003A2DE1"/>
    <w:rsid w:val="003A5AD1"/>
    <w:rsid w:val="003B03C3"/>
    <w:rsid w:val="003B0CBE"/>
    <w:rsid w:val="003C0CFA"/>
    <w:rsid w:val="003C5725"/>
    <w:rsid w:val="003D0D01"/>
    <w:rsid w:val="003D63BD"/>
    <w:rsid w:val="003E0EE0"/>
    <w:rsid w:val="003E32A8"/>
    <w:rsid w:val="003E4E4F"/>
    <w:rsid w:val="003E5CA8"/>
    <w:rsid w:val="00425BFB"/>
    <w:rsid w:val="00426DC4"/>
    <w:rsid w:val="004460EC"/>
    <w:rsid w:val="004463B4"/>
    <w:rsid w:val="00470833"/>
    <w:rsid w:val="00475C6F"/>
    <w:rsid w:val="00494373"/>
    <w:rsid w:val="004A5C1E"/>
    <w:rsid w:val="004A788A"/>
    <w:rsid w:val="004B2827"/>
    <w:rsid w:val="004B2EDC"/>
    <w:rsid w:val="004B2FAD"/>
    <w:rsid w:val="004C11F2"/>
    <w:rsid w:val="004C5849"/>
    <w:rsid w:val="004C6E7C"/>
    <w:rsid w:val="004D6EA8"/>
    <w:rsid w:val="004E307C"/>
    <w:rsid w:val="004F7838"/>
    <w:rsid w:val="00501E6C"/>
    <w:rsid w:val="0050617A"/>
    <w:rsid w:val="0050729F"/>
    <w:rsid w:val="00513362"/>
    <w:rsid w:val="00524DAF"/>
    <w:rsid w:val="0053511A"/>
    <w:rsid w:val="00535E01"/>
    <w:rsid w:val="00545B10"/>
    <w:rsid w:val="005479DB"/>
    <w:rsid w:val="00566711"/>
    <w:rsid w:val="00573929"/>
    <w:rsid w:val="00583D02"/>
    <w:rsid w:val="00596F63"/>
    <w:rsid w:val="005A59B7"/>
    <w:rsid w:val="005B2089"/>
    <w:rsid w:val="005D7FBB"/>
    <w:rsid w:val="005F751D"/>
    <w:rsid w:val="005F7847"/>
    <w:rsid w:val="00600D3E"/>
    <w:rsid w:val="00620E03"/>
    <w:rsid w:val="00622228"/>
    <w:rsid w:val="006243B5"/>
    <w:rsid w:val="006535C6"/>
    <w:rsid w:val="00662A36"/>
    <w:rsid w:val="0066501C"/>
    <w:rsid w:val="00665F41"/>
    <w:rsid w:val="006668BA"/>
    <w:rsid w:val="00667B3C"/>
    <w:rsid w:val="00672543"/>
    <w:rsid w:val="0068302F"/>
    <w:rsid w:val="00685ADA"/>
    <w:rsid w:val="006971C8"/>
    <w:rsid w:val="006A1379"/>
    <w:rsid w:val="006A6186"/>
    <w:rsid w:val="006B48C9"/>
    <w:rsid w:val="006B6A44"/>
    <w:rsid w:val="006C0831"/>
    <w:rsid w:val="006D1C39"/>
    <w:rsid w:val="006D427F"/>
    <w:rsid w:val="006D7AD5"/>
    <w:rsid w:val="006F0D7B"/>
    <w:rsid w:val="006F1CEF"/>
    <w:rsid w:val="00700412"/>
    <w:rsid w:val="007033D1"/>
    <w:rsid w:val="007122B2"/>
    <w:rsid w:val="00716245"/>
    <w:rsid w:val="00721B9E"/>
    <w:rsid w:val="0072643F"/>
    <w:rsid w:val="00747E1F"/>
    <w:rsid w:val="00750A34"/>
    <w:rsid w:val="0076006E"/>
    <w:rsid w:val="00764A27"/>
    <w:rsid w:val="007778D5"/>
    <w:rsid w:val="00782112"/>
    <w:rsid w:val="00782609"/>
    <w:rsid w:val="00784513"/>
    <w:rsid w:val="00797212"/>
    <w:rsid w:val="007A5F30"/>
    <w:rsid w:val="007A620C"/>
    <w:rsid w:val="007A6E78"/>
    <w:rsid w:val="007B1694"/>
    <w:rsid w:val="007D65B3"/>
    <w:rsid w:val="007E672E"/>
    <w:rsid w:val="007F1344"/>
    <w:rsid w:val="007F4A3B"/>
    <w:rsid w:val="007F4F95"/>
    <w:rsid w:val="007F5333"/>
    <w:rsid w:val="007F7576"/>
    <w:rsid w:val="00805290"/>
    <w:rsid w:val="00823547"/>
    <w:rsid w:val="00830148"/>
    <w:rsid w:val="00857117"/>
    <w:rsid w:val="00863313"/>
    <w:rsid w:val="0086493C"/>
    <w:rsid w:val="00865550"/>
    <w:rsid w:val="008708E1"/>
    <w:rsid w:val="00873A06"/>
    <w:rsid w:val="00876AC8"/>
    <w:rsid w:val="00877200"/>
    <w:rsid w:val="008A2449"/>
    <w:rsid w:val="008D4228"/>
    <w:rsid w:val="008E570D"/>
    <w:rsid w:val="008F6B4B"/>
    <w:rsid w:val="00901652"/>
    <w:rsid w:val="00902BDB"/>
    <w:rsid w:val="00914A8A"/>
    <w:rsid w:val="0091698C"/>
    <w:rsid w:val="00940E85"/>
    <w:rsid w:val="0094207C"/>
    <w:rsid w:val="00942228"/>
    <w:rsid w:val="00954FB7"/>
    <w:rsid w:val="00956D9B"/>
    <w:rsid w:val="0096282C"/>
    <w:rsid w:val="009744BF"/>
    <w:rsid w:val="0099395A"/>
    <w:rsid w:val="009A675E"/>
    <w:rsid w:val="009B54B7"/>
    <w:rsid w:val="009D0991"/>
    <w:rsid w:val="009D7EF8"/>
    <w:rsid w:val="009E0888"/>
    <w:rsid w:val="009E4EA3"/>
    <w:rsid w:val="00A04677"/>
    <w:rsid w:val="00A117CC"/>
    <w:rsid w:val="00A2492E"/>
    <w:rsid w:val="00A250DF"/>
    <w:rsid w:val="00A262F7"/>
    <w:rsid w:val="00A40672"/>
    <w:rsid w:val="00A41C6E"/>
    <w:rsid w:val="00A533FD"/>
    <w:rsid w:val="00A63107"/>
    <w:rsid w:val="00A6629F"/>
    <w:rsid w:val="00A72834"/>
    <w:rsid w:val="00A77234"/>
    <w:rsid w:val="00A81137"/>
    <w:rsid w:val="00A9037A"/>
    <w:rsid w:val="00A948E4"/>
    <w:rsid w:val="00AA63B7"/>
    <w:rsid w:val="00AD3C73"/>
    <w:rsid w:val="00AE1491"/>
    <w:rsid w:val="00AE5F47"/>
    <w:rsid w:val="00B159AF"/>
    <w:rsid w:val="00B176D6"/>
    <w:rsid w:val="00B22559"/>
    <w:rsid w:val="00B2591D"/>
    <w:rsid w:val="00B4234D"/>
    <w:rsid w:val="00B42F7A"/>
    <w:rsid w:val="00B44864"/>
    <w:rsid w:val="00B4564E"/>
    <w:rsid w:val="00B45E69"/>
    <w:rsid w:val="00B543A4"/>
    <w:rsid w:val="00B56AF4"/>
    <w:rsid w:val="00B70C99"/>
    <w:rsid w:val="00B72925"/>
    <w:rsid w:val="00B83DF6"/>
    <w:rsid w:val="00B848B5"/>
    <w:rsid w:val="00B84E5D"/>
    <w:rsid w:val="00B851D3"/>
    <w:rsid w:val="00B95E2B"/>
    <w:rsid w:val="00BB0E1A"/>
    <w:rsid w:val="00BD06A3"/>
    <w:rsid w:val="00BD2099"/>
    <w:rsid w:val="00BE0282"/>
    <w:rsid w:val="00BE0DDF"/>
    <w:rsid w:val="00BE3CB5"/>
    <w:rsid w:val="00BF7A24"/>
    <w:rsid w:val="00C00AC0"/>
    <w:rsid w:val="00C069E6"/>
    <w:rsid w:val="00C2360D"/>
    <w:rsid w:val="00C25FC3"/>
    <w:rsid w:val="00C26315"/>
    <w:rsid w:val="00C26963"/>
    <w:rsid w:val="00C35128"/>
    <w:rsid w:val="00C373E2"/>
    <w:rsid w:val="00C479F2"/>
    <w:rsid w:val="00C5445B"/>
    <w:rsid w:val="00C626B8"/>
    <w:rsid w:val="00C64F9E"/>
    <w:rsid w:val="00C72BE1"/>
    <w:rsid w:val="00C86A0B"/>
    <w:rsid w:val="00C90F30"/>
    <w:rsid w:val="00C92B65"/>
    <w:rsid w:val="00C95BCF"/>
    <w:rsid w:val="00C96DE2"/>
    <w:rsid w:val="00C97AAA"/>
    <w:rsid w:val="00CA2F44"/>
    <w:rsid w:val="00CB4D5F"/>
    <w:rsid w:val="00CB4DB4"/>
    <w:rsid w:val="00CB759A"/>
    <w:rsid w:val="00CC0151"/>
    <w:rsid w:val="00CC520A"/>
    <w:rsid w:val="00CC6FF1"/>
    <w:rsid w:val="00CE0734"/>
    <w:rsid w:val="00CE3CD4"/>
    <w:rsid w:val="00D04E4A"/>
    <w:rsid w:val="00D115AB"/>
    <w:rsid w:val="00D323FD"/>
    <w:rsid w:val="00D41526"/>
    <w:rsid w:val="00D423BA"/>
    <w:rsid w:val="00D430FD"/>
    <w:rsid w:val="00D63BB7"/>
    <w:rsid w:val="00D6485A"/>
    <w:rsid w:val="00DA0B3A"/>
    <w:rsid w:val="00DA3B88"/>
    <w:rsid w:val="00DB17A5"/>
    <w:rsid w:val="00DB1F49"/>
    <w:rsid w:val="00DC21B6"/>
    <w:rsid w:val="00DC256C"/>
    <w:rsid w:val="00E20E9C"/>
    <w:rsid w:val="00E213BE"/>
    <w:rsid w:val="00E272DD"/>
    <w:rsid w:val="00E5338E"/>
    <w:rsid w:val="00E610BC"/>
    <w:rsid w:val="00E618EE"/>
    <w:rsid w:val="00E71B46"/>
    <w:rsid w:val="00E8170E"/>
    <w:rsid w:val="00E81D9F"/>
    <w:rsid w:val="00E940FD"/>
    <w:rsid w:val="00EA1829"/>
    <w:rsid w:val="00EA7246"/>
    <w:rsid w:val="00EB0956"/>
    <w:rsid w:val="00EB1196"/>
    <w:rsid w:val="00EC2674"/>
    <w:rsid w:val="00EC7D00"/>
    <w:rsid w:val="00ED6DB7"/>
    <w:rsid w:val="00ED7E7D"/>
    <w:rsid w:val="00EF0D02"/>
    <w:rsid w:val="00EF3F18"/>
    <w:rsid w:val="00EF5B03"/>
    <w:rsid w:val="00F004A6"/>
    <w:rsid w:val="00F0106E"/>
    <w:rsid w:val="00F06398"/>
    <w:rsid w:val="00F15454"/>
    <w:rsid w:val="00F30DCC"/>
    <w:rsid w:val="00F328FC"/>
    <w:rsid w:val="00F32AE1"/>
    <w:rsid w:val="00F37CAB"/>
    <w:rsid w:val="00F56669"/>
    <w:rsid w:val="00F56C39"/>
    <w:rsid w:val="00F64124"/>
    <w:rsid w:val="00F64583"/>
    <w:rsid w:val="00F675FC"/>
    <w:rsid w:val="00F750A2"/>
    <w:rsid w:val="00F863D8"/>
    <w:rsid w:val="00F920EB"/>
    <w:rsid w:val="00FA2228"/>
    <w:rsid w:val="00FB2E7D"/>
    <w:rsid w:val="00FB5373"/>
    <w:rsid w:val="00FC0ADE"/>
    <w:rsid w:val="00FC3E68"/>
    <w:rsid w:val="00FC7855"/>
    <w:rsid w:val="00FD2D38"/>
    <w:rsid w:val="00FD5C9D"/>
    <w:rsid w:val="00FD6D9F"/>
    <w:rsid w:val="00FE2979"/>
    <w:rsid w:val="00FE2E3E"/>
    <w:rsid w:val="00FE6CD2"/>
    <w:rsid w:val="00FF6C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CE31C2"/>
  <w15:docId w15:val="{6C527888-7A6E-4F45-8BEA-3900A42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158"/>
    <w:rPr>
      <w:sz w:val="24"/>
      <w:szCs w:val="24"/>
    </w:rPr>
  </w:style>
  <w:style w:type="paragraph" w:styleId="Heading3">
    <w:name w:val="heading 3"/>
    <w:basedOn w:val="Normal"/>
    <w:next w:val="Normal"/>
    <w:link w:val="Heading3Char"/>
    <w:uiPriority w:val="9"/>
    <w:unhideWhenUsed/>
    <w:qFormat/>
    <w:rsid w:val="00DB17A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559"/>
    <w:pPr>
      <w:tabs>
        <w:tab w:val="center" w:pos="4320"/>
        <w:tab w:val="right" w:pos="8640"/>
      </w:tabs>
    </w:pPr>
  </w:style>
  <w:style w:type="character" w:customStyle="1" w:styleId="HeaderChar">
    <w:name w:val="Header Char"/>
    <w:basedOn w:val="DefaultParagraphFont"/>
    <w:link w:val="Header"/>
    <w:uiPriority w:val="99"/>
    <w:rsid w:val="006C0559"/>
  </w:style>
  <w:style w:type="paragraph" w:styleId="Footer">
    <w:name w:val="footer"/>
    <w:basedOn w:val="Normal"/>
    <w:link w:val="FooterChar"/>
    <w:uiPriority w:val="99"/>
    <w:unhideWhenUsed/>
    <w:rsid w:val="006C0559"/>
    <w:pPr>
      <w:tabs>
        <w:tab w:val="center" w:pos="4320"/>
        <w:tab w:val="right" w:pos="8640"/>
      </w:tabs>
    </w:pPr>
  </w:style>
  <w:style w:type="character" w:customStyle="1" w:styleId="FooterChar">
    <w:name w:val="Footer Char"/>
    <w:basedOn w:val="DefaultParagraphFont"/>
    <w:link w:val="Footer"/>
    <w:uiPriority w:val="99"/>
    <w:rsid w:val="006C0559"/>
  </w:style>
  <w:style w:type="paragraph" w:customStyle="1" w:styleId="CCLetterheadtemplate">
    <w:name w:val="CC Letterhead template"/>
    <w:basedOn w:val="Header"/>
    <w:qFormat/>
    <w:rsid w:val="00807FB8"/>
    <w:pPr>
      <w:shd w:val="solid" w:color="365F91" w:fill="365F91"/>
      <w:spacing w:line="480" w:lineRule="auto"/>
      <w:ind w:left="-1656" w:right="-1656"/>
      <w:jc w:val="center"/>
    </w:pPr>
    <w:rPr>
      <w:color w:val="FFFFFF"/>
      <w:sz w:val="26"/>
    </w:rPr>
  </w:style>
  <w:style w:type="paragraph" w:styleId="BalloonText">
    <w:name w:val="Balloon Text"/>
    <w:basedOn w:val="Normal"/>
    <w:link w:val="BalloonTextChar"/>
    <w:rsid w:val="00D6485A"/>
    <w:rPr>
      <w:rFonts w:ascii="Tahoma" w:hAnsi="Tahoma" w:cs="Tahoma"/>
      <w:sz w:val="16"/>
      <w:szCs w:val="16"/>
    </w:rPr>
  </w:style>
  <w:style w:type="character" w:customStyle="1" w:styleId="BalloonTextChar">
    <w:name w:val="Balloon Text Char"/>
    <w:basedOn w:val="DefaultParagraphFont"/>
    <w:link w:val="BalloonText"/>
    <w:rsid w:val="00D6485A"/>
    <w:rPr>
      <w:rFonts w:ascii="Tahoma" w:hAnsi="Tahoma" w:cs="Tahoma"/>
      <w:sz w:val="16"/>
      <w:szCs w:val="16"/>
    </w:rPr>
  </w:style>
  <w:style w:type="paragraph" w:styleId="NormalWeb">
    <w:name w:val="Normal (Web)"/>
    <w:basedOn w:val="Normal"/>
    <w:uiPriority w:val="99"/>
    <w:unhideWhenUsed/>
    <w:rsid w:val="002632E8"/>
    <w:pPr>
      <w:spacing w:after="411" w:line="411" w:lineRule="atLeast"/>
      <w:jc w:val="both"/>
    </w:pPr>
    <w:rPr>
      <w:rFonts w:ascii="Times New Roman" w:eastAsia="Times New Roman" w:hAnsi="Times New Roman"/>
      <w:sz w:val="32"/>
      <w:szCs w:val="32"/>
    </w:rPr>
  </w:style>
  <w:style w:type="paragraph" w:styleId="NoSpacing">
    <w:name w:val="No Spacing"/>
    <w:uiPriority w:val="1"/>
    <w:qFormat/>
    <w:rsid w:val="00083E15"/>
    <w:rPr>
      <w:rFonts w:asciiTheme="minorHAnsi" w:eastAsiaTheme="minorHAnsi" w:hAnsiTheme="minorHAnsi" w:cstheme="minorBidi"/>
      <w:sz w:val="22"/>
      <w:szCs w:val="22"/>
    </w:rPr>
  </w:style>
  <w:style w:type="paragraph" w:styleId="ListParagraph">
    <w:name w:val="List Paragraph"/>
    <w:basedOn w:val="Normal"/>
    <w:uiPriority w:val="34"/>
    <w:qFormat/>
    <w:rsid w:val="005B208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B208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B17A5"/>
    <w:pPr>
      <w:jc w:val="center"/>
    </w:pPr>
    <w:rPr>
      <w:rFonts w:ascii="Bookman Old Style" w:eastAsia="Times New Roman" w:hAnsi="Bookman Old Style"/>
      <w:b/>
      <w:i/>
      <w:sz w:val="36"/>
      <w:szCs w:val="20"/>
    </w:rPr>
  </w:style>
  <w:style w:type="character" w:customStyle="1" w:styleId="BodyTextChar">
    <w:name w:val="Body Text Char"/>
    <w:basedOn w:val="DefaultParagraphFont"/>
    <w:link w:val="BodyText"/>
    <w:rsid w:val="00DB17A5"/>
    <w:rPr>
      <w:rFonts w:ascii="Bookman Old Style" w:eastAsia="Times New Roman" w:hAnsi="Bookman Old Style"/>
      <w:b/>
      <w:i/>
      <w:sz w:val="36"/>
    </w:rPr>
  </w:style>
  <w:style w:type="character" w:customStyle="1" w:styleId="Heading3Char">
    <w:name w:val="Heading 3 Char"/>
    <w:basedOn w:val="DefaultParagraphFont"/>
    <w:link w:val="Heading3"/>
    <w:uiPriority w:val="9"/>
    <w:rsid w:val="00DB17A5"/>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semiHidden/>
    <w:unhideWhenUsed/>
    <w:rsid w:val="00F004A6"/>
    <w:rPr>
      <w:sz w:val="16"/>
      <w:szCs w:val="16"/>
    </w:rPr>
  </w:style>
  <w:style w:type="paragraph" w:styleId="CommentText">
    <w:name w:val="annotation text"/>
    <w:basedOn w:val="Normal"/>
    <w:link w:val="CommentTextChar"/>
    <w:semiHidden/>
    <w:unhideWhenUsed/>
    <w:rsid w:val="00F004A6"/>
    <w:rPr>
      <w:sz w:val="20"/>
      <w:szCs w:val="20"/>
    </w:rPr>
  </w:style>
  <w:style w:type="character" w:customStyle="1" w:styleId="CommentTextChar">
    <w:name w:val="Comment Text Char"/>
    <w:basedOn w:val="DefaultParagraphFont"/>
    <w:link w:val="CommentText"/>
    <w:semiHidden/>
    <w:rsid w:val="00F004A6"/>
  </w:style>
  <w:style w:type="paragraph" w:styleId="CommentSubject">
    <w:name w:val="annotation subject"/>
    <w:basedOn w:val="CommentText"/>
    <w:next w:val="CommentText"/>
    <w:link w:val="CommentSubjectChar"/>
    <w:semiHidden/>
    <w:unhideWhenUsed/>
    <w:rsid w:val="00F004A6"/>
    <w:rPr>
      <w:b/>
      <w:bCs/>
    </w:rPr>
  </w:style>
  <w:style w:type="character" w:customStyle="1" w:styleId="CommentSubjectChar">
    <w:name w:val="Comment Subject Char"/>
    <w:basedOn w:val="CommentTextChar"/>
    <w:link w:val="CommentSubject"/>
    <w:semiHidden/>
    <w:rsid w:val="00F004A6"/>
    <w:rPr>
      <w:b/>
      <w:bCs/>
    </w:rPr>
  </w:style>
  <w:style w:type="paragraph" w:customStyle="1" w:styleId="Default">
    <w:name w:val="Default"/>
    <w:rsid w:val="000A5357"/>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EA7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01767">
      <w:bodyDiv w:val="1"/>
      <w:marLeft w:val="0"/>
      <w:marRight w:val="0"/>
      <w:marTop w:val="0"/>
      <w:marBottom w:val="0"/>
      <w:divBdr>
        <w:top w:val="none" w:sz="0" w:space="0" w:color="auto"/>
        <w:left w:val="none" w:sz="0" w:space="0" w:color="auto"/>
        <w:bottom w:val="none" w:sz="0" w:space="0" w:color="auto"/>
        <w:right w:val="none" w:sz="0" w:space="0" w:color="auto"/>
      </w:divBdr>
    </w:div>
    <w:div w:id="1197159841">
      <w:bodyDiv w:val="1"/>
      <w:marLeft w:val="0"/>
      <w:marRight w:val="0"/>
      <w:marTop w:val="0"/>
      <w:marBottom w:val="0"/>
      <w:divBdr>
        <w:top w:val="none" w:sz="0" w:space="0" w:color="auto"/>
        <w:left w:val="none" w:sz="0" w:space="0" w:color="auto"/>
        <w:bottom w:val="none" w:sz="0" w:space="0" w:color="auto"/>
        <w:right w:val="none" w:sz="0" w:space="0" w:color="auto"/>
      </w:divBdr>
      <w:divsChild>
        <w:div w:id="640772125">
          <w:marLeft w:val="0"/>
          <w:marRight w:val="0"/>
          <w:marTop w:val="0"/>
          <w:marBottom w:val="0"/>
          <w:divBdr>
            <w:top w:val="none" w:sz="0" w:space="0" w:color="auto"/>
            <w:left w:val="none" w:sz="0" w:space="0" w:color="auto"/>
            <w:bottom w:val="none" w:sz="0" w:space="0" w:color="auto"/>
            <w:right w:val="none" w:sz="0" w:space="0" w:color="auto"/>
          </w:divBdr>
          <w:divsChild>
            <w:div w:id="142016576">
              <w:marLeft w:val="0"/>
              <w:marRight w:val="0"/>
              <w:marTop w:val="176"/>
              <w:marBottom w:val="0"/>
              <w:divBdr>
                <w:top w:val="single" w:sz="12" w:space="9" w:color="666666"/>
                <w:left w:val="none" w:sz="0" w:space="0" w:color="auto"/>
                <w:bottom w:val="none" w:sz="0" w:space="0" w:color="auto"/>
                <w:right w:val="none" w:sz="0" w:space="0" w:color="auto"/>
              </w:divBdr>
            </w:div>
          </w:divsChild>
        </w:div>
      </w:divsChild>
    </w:div>
    <w:div w:id="1277757039">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943800614">
      <w:bodyDiv w:val="1"/>
      <w:marLeft w:val="0"/>
      <w:marRight w:val="0"/>
      <w:marTop w:val="0"/>
      <w:marBottom w:val="0"/>
      <w:divBdr>
        <w:top w:val="none" w:sz="0" w:space="0" w:color="auto"/>
        <w:left w:val="none" w:sz="0" w:space="0" w:color="auto"/>
        <w:bottom w:val="none" w:sz="0" w:space="0" w:color="auto"/>
        <w:right w:val="none" w:sz="0" w:space="0" w:color="auto"/>
      </w:divBdr>
      <w:divsChild>
        <w:div w:id="18967713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731FBDB8A034E981576EDFBE4E68B" ma:contentTypeVersion="14" ma:contentTypeDescription="Create a new document." ma:contentTypeScope="" ma:versionID="0cc83f449b9173dc662881d61f20e10b">
  <xsd:schema xmlns:xsd="http://www.w3.org/2001/XMLSchema" xmlns:xs="http://www.w3.org/2001/XMLSchema" xmlns:p="http://schemas.microsoft.com/office/2006/metadata/properties" xmlns:ns1="http://schemas.microsoft.com/sharepoint/v3" xmlns:ns3="0a2d7684-0bc3-4433-90ba-d2766508cfdf" xmlns:ns4="70859cf6-8fbe-4aae-8f56-186f7e116595" targetNamespace="http://schemas.microsoft.com/office/2006/metadata/properties" ma:root="true" ma:fieldsID="c077269633451c722a0696ca5824c64f" ns1:_="" ns3:_="" ns4:_="">
    <xsd:import namespace="http://schemas.microsoft.com/sharepoint/v3"/>
    <xsd:import namespace="0a2d7684-0bc3-4433-90ba-d2766508cfdf"/>
    <xsd:import namespace="70859cf6-8fbe-4aae-8f56-186f7e1165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d7684-0bc3-4433-90ba-d2766508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59cf6-8fbe-4aae-8f56-186f7e1165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76DB-F737-406F-B757-71F5841CA5A6}">
  <ds:schemaRefs>
    <ds:schemaRef ds:uri="http://schemas.microsoft.com/sharepoint/v3/contenttype/forms"/>
  </ds:schemaRefs>
</ds:datastoreItem>
</file>

<file path=customXml/itemProps2.xml><?xml version="1.0" encoding="utf-8"?>
<ds:datastoreItem xmlns:ds="http://schemas.openxmlformats.org/officeDocument/2006/customXml" ds:itemID="{7AD8D7C6-EE9B-4308-8E34-0D0498CFB2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F2207E-2FA6-458D-92C0-3D366299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d7684-0bc3-4433-90ba-d2766508cfdf"/>
    <ds:schemaRef ds:uri="70859cf6-8fbe-4aae-8f56-186f7e11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BD3EE-0C80-44E7-ADE5-578020DE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842</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carina.aleckson</dc:creator>
  <cp:lastModifiedBy>Eric S Richert</cp:lastModifiedBy>
  <cp:revision>2</cp:revision>
  <cp:lastPrinted>2020-09-17T18:07:00Z</cp:lastPrinted>
  <dcterms:created xsi:type="dcterms:W3CDTF">2020-10-06T19:09:00Z</dcterms:created>
  <dcterms:modified xsi:type="dcterms:W3CDTF">2020-10-06T19:09:00Z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0x0101002B6731FBDB8A034E981576EDFBE4E68B</vt:lpwstr>
  </property>
</Properties>
</file>