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BBB6F" w14:textId="77777777" w:rsidR="001F5B66" w:rsidRPr="003A0405" w:rsidRDefault="001F5B66" w:rsidP="001F5B66">
      <w:pPr>
        <w:pStyle w:val="Heading1"/>
        <w:jc w:val="center"/>
        <w:rPr>
          <w:rFonts w:ascii="Arial" w:hAnsi="Arial" w:cs="Arial"/>
        </w:rPr>
      </w:pPr>
      <w:r w:rsidRPr="003A0405">
        <w:rPr>
          <w:rFonts w:ascii="Arial" w:hAnsi="Arial" w:cs="Arial"/>
        </w:rPr>
        <w:t>SSB CRIMINAL BACKGROUND CHECKS</w:t>
      </w:r>
    </w:p>
    <w:p w14:paraId="04BBBB70" w14:textId="77777777" w:rsidR="001F5B66" w:rsidRPr="003A0405" w:rsidRDefault="001F5B66" w:rsidP="001F5B66">
      <w:pPr>
        <w:rPr>
          <w:rFonts w:ascii="Arial" w:hAnsi="Arial" w:cs="Arial"/>
          <w:b/>
          <w:sz w:val="28"/>
          <w:szCs w:val="28"/>
        </w:rPr>
      </w:pPr>
    </w:p>
    <w:p w14:paraId="04BBBB71" w14:textId="030E4EBF" w:rsidR="001F5B66" w:rsidRPr="003A0405" w:rsidRDefault="001F5B66" w:rsidP="001F5B66">
      <w:pPr>
        <w:rPr>
          <w:rFonts w:ascii="Arial" w:hAnsi="Arial" w:cs="Arial"/>
          <w:b/>
          <w:sz w:val="22"/>
          <w:szCs w:val="22"/>
        </w:rPr>
      </w:pPr>
      <w:r w:rsidRPr="003A0405">
        <w:rPr>
          <w:rFonts w:ascii="Arial" w:hAnsi="Arial" w:cs="Arial"/>
          <w:b/>
          <w:sz w:val="22"/>
          <w:szCs w:val="22"/>
        </w:rPr>
        <w:t xml:space="preserve">State Services for the Blind (SSB) policy and process for conducting and evaluating criminal background checks on </w:t>
      </w:r>
      <w:r w:rsidR="000459B6">
        <w:rPr>
          <w:rFonts w:ascii="Arial" w:hAnsi="Arial" w:cs="Arial"/>
          <w:b/>
          <w:sz w:val="22"/>
          <w:szCs w:val="22"/>
        </w:rPr>
        <w:t xml:space="preserve">contract </w:t>
      </w:r>
      <w:r w:rsidRPr="003A0405">
        <w:rPr>
          <w:rFonts w:ascii="Arial" w:hAnsi="Arial" w:cs="Arial"/>
          <w:b/>
          <w:sz w:val="22"/>
          <w:szCs w:val="22"/>
        </w:rPr>
        <w:t xml:space="preserve">applicants and contractors providing services to SSB </w:t>
      </w:r>
      <w:r w:rsidR="000459B6">
        <w:rPr>
          <w:rFonts w:ascii="Arial" w:hAnsi="Arial" w:cs="Arial"/>
          <w:b/>
          <w:sz w:val="22"/>
          <w:szCs w:val="22"/>
        </w:rPr>
        <w:t>customers</w:t>
      </w:r>
      <w:r w:rsidRPr="003A0405">
        <w:rPr>
          <w:rFonts w:ascii="Arial" w:hAnsi="Arial" w:cs="Arial"/>
          <w:b/>
          <w:sz w:val="22"/>
          <w:szCs w:val="22"/>
        </w:rPr>
        <w:t xml:space="preserve">. </w:t>
      </w:r>
    </w:p>
    <w:p w14:paraId="06E3B8D8" w14:textId="77777777" w:rsidR="00DF11C6" w:rsidRPr="003A0405" w:rsidRDefault="00DF11C6" w:rsidP="001F5B66">
      <w:pPr>
        <w:rPr>
          <w:rFonts w:ascii="Arial" w:hAnsi="Arial" w:cs="Arial"/>
          <w:b/>
          <w:sz w:val="22"/>
          <w:szCs w:val="22"/>
        </w:rPr>
      </w:pPr>
    </w:p>
    <w:p w14:paraId="04BBBB72" w14:textId="40D89B56" w:rsidR="001F5B66" w:rsidRPr="003A0405" w:rsidRDefault="001F5B66" w:rsidP="003A0405">
      <w:pPr>
        <w:ind w:left="990" w:hanging="990"/>
        <w:rPr>
          <w:rFonts w:ascii="Arial" w:hAnsi="Arial" w:cs="Arial"/>
          <w:b/>
          <w:sz w:val="22"/>
          <w:szCs w:val="22"/>
        </w:rPr>
      </w:pPr>
      <w:r w:rsidRPr="003A0405">
        <w:rPr>
          <w:rFonts w:ascii="Arial" w:hAnsi="Arial" w:cs="Arial"/>
          <w:b/>
          <w:sz w:val="22"/>
          <w:szCs w:val="22"/>
        </w:rPr>
        <w:t xml:space="preserve">Contact:  Brianna Holeman, Deputy Director, Administrative Services and Communication Center, </w:t>
      </w:r>
      <w:r w:rsidR="0027681D">
        <w:rPr>
          <w:rFonts w:ascii="Arial" w:hAnsi="Arial" w:cs="Arial"/>
          <w:b/>
          <w:sz w:val="22"/>
          <w:szCs w:val="22"/>
        </w:rPr>
        <w:t xml:space="preserve"> </w:t>
      </w:r>
      <w:r w:rsidRPr="003A0405">
        <w:rPr>
          <w:rFonts w:ascii="Arial" w:hAnsi="Arial" w:cs="Arial"/>
          <w:b/>
          <w:sz w:val="22"/>
          <w:szCs w:val="22"/>
        </w:rPr>
        <w:t>651.539.2292</w:t>
      </w:r>
    </w:p>
    <w:p w14:paraId="35E7391C" w14:textId="0E47E628" w:rsidR="00C33441" w:rsidRPr="003A0405" w:rsidRDefault="00C33441" w:rsidP="001F5B66">
      <w:pPr>
        <w:rPr>
          <w:rFonts w:ascii="Arial" w:hAnsi="Arial" w:cs="Arial"/>
          <w:b/>
          <w:sz w:val="22"/>
          <w:szCs w:val="22"/>
        </w:rPr>
      </w:pPr>
      <w:r w:rsidRPr="003A0405">
        <w:rPr>
          <w:rFonts w:ascii="Arial" w:hAnsi="Arial" w:cs="Arial"/>
          <w:b/>
          <w:sz w:val="22"/>
          <w:szCs w:val="22"/>
        </w:rPr>
        <w:tab/>
        <w:t xml:space="preserve">    Jon Benson, Deputy Director, Workforce Development Unit, 651.</w:t>
      </w:r>
      <w:r w:rsidR="00DF11C6" w:rsidRPr="003A0405">
        <w:rPr>
          <w:rFonts w:ascii="Arial" w:hAnsi="Arial" w:cs="Arial"/>
          <w:b/>
          <w:sz w:val="22"/>
          <w:szCs w:val="22"/>
        </w:rPr>
        <w:t>593.2332</w:t>
      </w:r>
    </w:p>
    <w:p w14:paraId="7B46943F" w14:textId="77777777" w:rsidR="00DF11C6" w:rsidRPr="003A0405" w:rsidRDefault="00DF11C6" w:rsidP="001F5B66">
      <w:pPr>
        <w:rPr>
          <w:rFonts w:ascii="Arial" w:hAnsi="Arial" w:cs="Arial"/>
          <w:b/>
          <w:sz w:val="22"/>
          <w:szCs w:val="22"/>
        </w:rPr>
      </w:pPr>
    </w:p>
    <w:p w14:paraId="04BBBB73" w14:textId="6936ED9D" w:rsidR="001F5B66" w:rsidRPr="003A0405" w:rsidRDefault="001F5B66" w:rsidP="001F5B66">
      <w:pPr>
        <w:rPr>
          <w:rFonts w:ascii="Arial" w:hAnsi="Arial" w:cs="Arial"/>
          <w:b/>
          <w:sz w:val="22"/>
          <w:szCs w:val="22"/>
        </w:rPr>
      </w:pPr>
      <w:r w:rsidRPr="003A0405">
        <w:rPr>
          <w:rFonts w:ascii="Arial" w:hAnsi="Arial" w:cs="Arial"/>
          <w:b/>
          <w:sz w:val="22"/>
          <w:szCs w:val="22"/>
        </w:rPr>
        <w:t xml:space="preserve">INTRODUCTION </w:t>
      </w:r>
    </w:p>
    <w:p w14:paraId="04BBBB74" w14:textId="4239A2F4" w:rsidR="001F5B66" w:rsidRPr="003A0405" w:rsidRDefault="001F5B66" w:rsidP="001F5B66">
      <w:pPr>
        <w:rPr>
          <w:rFonts w:ascii="Arial" w:hAnsi="Arial" w:cs="Arial"/>
          <w:sz w:val="22"/>
          <w:szCs w:val="22"/>
        </w:rPr>
      </w:pPr>
      <w:r w:rsidRPr="003A0405">
        <w:rPr>
          <w:rFonts w:ascii="Arial" w:hAnsi="Arial" w:cs="Arial"/>
          <w:sz w:val="22"/>
          <w:szCs w:val="22"/>
        </w:rPr>
        <w:t xml:space="preserve">Acquiring adjustment to blindness and related rehabilitation services for SSB </w:t>
      </w:r>
      <w:r w:rsidR="000459B6">
        <w:rPr>
          <w:rFonts w:ascii="Arial" w:hAnsi="Arial" w:cs="Arial"/>
          <w:sz w:val="22"/>
          <w:szCs w:val="22"/>
        </w:rPr>
        <w:t>customers</w:t>
      </w:r>
      <w:r w:rsidR="000459B6" w:rsidRPr="003A0405">
        <w:rPr>
          <w:rFonts w:ascii="Arial" w:hAnsi="Arial" w:cs="Arial"/>
          <w:sz w:val="22"/>
          <w:szCs w:val="22"/>
        </w:rPr>
        <w:t xml:space="preserve"> </w:t>
      </w:r>
      <w:r w:rsidRPr="003A0405">
        <w:rPr>
          <w:rFonts w:ascii="Arial" w:hAnsi="Arial" w:cs="Arial"/>
          <w:sz w:val="22"/>
          <w:szCs w:val="22"/>
        </w:rPr>
        <w:t xml:space="preserve">is critical to the operation of SSB.  Verifying contract application information and conducting proper reference checks, including criminal background checks, enhances the quality of the contracting process, provides consistency, and ensures </w:t>
      </w:r>
      <w:r w:rsidR="000459B6">
        <w:rPr>
          <w:rFonts w:ascii="Arial" w:hAnsi="Arial" w:cs="Arial"/>
          <w:sz w:val="22"/>
          <w:szCs w:val="22"/>
        </w:rPr>
        <w:t>customer</w:t>
      </w:r>
      <w:r w:rsidR="000459B6" w:rsidRPr="003A0405">
        <w:rPr>
          <w:rFonts w:ascii="Arial" w:hAnsi="Arial" w:cs="Arial"/>
          <w:sz w:val="22"/>
          <w:szCs w:val="22"/>
        </w:rPr>
        <w:t xml:space="preserve"> </w:t>
      </w:r>
      <w:r w:rsidRPr="003A0405">
        <w:rPr>
          <w:rFonts w:ascii="Arial" w:hAnsi="Arial" w:cs="Arial"/>
          <w:sz w:val="22"/>
          <w:szCs w:val="22"/>
        </w:rPr>
        <w:t xml:space="preserve">safety. </w:t>
      </w:r>
    </w:p>
    <w:p w14:paraId="1716376A" w14:textId="77777777" w:rsidR="00DF11C6" w:rsidRPr="003A0405" w:rsidRDefault="00DF11C6" w:rsidP="001F5B66">
      <w:pPr>
        <w:rPr>
          <w:rFonts w:ascii="Arial" w:hAnsi="Arial" w:cs="Arial"/>
          <w:b/>
          <w:sz w:val="22"/>
          <w:szCs w:val="22"/>
        </w:rPr>
      </w:pPr>
    </w:p>
    <w:p w14:paraId="04BBBB75" w14:textId="5DB22A86" w:rsidR="001F5B66" w:rsidRPr="003A0405" w:rsidRDefault="001F5B66" w:rsidP="001F5B66">
      <w:pPr>
        <w:rPr>
          <w:rFonts w:ascii="Arial" w:hAnsi="Arial" w:cs="Arial"/>
          <w:b/>
          <w:sz w:val="22"/>
          <w:szCs w:val="22"/>
        </w:rPr>
      </w:pPr>
      <w:r w:rsidRPr="003A0405">
        <w:rPr>
          <w:rFonts w:ascii="Arial" w:hAnsi="Arial" w:cs="Arial"/>
          <w:b/>
          <w:sz w:val="22"/>
          <w:szCs w:val="22"/>
        </w:rPr>
        <w:t>PURPOSE</w:t>
      </w:r>
    </w:p>
    <w:p w14:paraId="04BBBB76" w14:textId="382D39B1" w:rsidR="001F5B66" w:rsidRPr="003A0405" w:rsidRDefault="001F5B66" w:rsidP="001F5B66">
      <w:pPr>
        <w:rPr>
          <w:rFonts w:ascii="Arial" w:hAnsi="Arial" w:cs="Arial"/>
          <w:sz w:val="22"/>
          <w:szCs w:val="22"/>
        </w:rPr>
      </w:pPr>
      <w:r w:rsidRPr="003A0405">
        <w:rPr>
          <w:rFonts w:ascii="Arial" w:hAnsi="Arial" w:cs="Arial"/>
          <w:sz w:val="22"/>
          <w:szCs w:val="22"/>
        </w:rPr>
        <w:t>In addition to verifying contract application information and conducting proper reference checks, criminal background checks will be done to reduce the potential for abuse of the</w:t>
      </w:r>
      <w:r w:rsidR="000459B6">
        <w:rPr>
          <w:rFonts w:ascii="Arial" w:hAnsi="Arial" w:cs="Arial"/>
          <w:sz w:val="22"/>
          <w:szCs w:val="22"/>
        </w:rPr>
        <w:t xml:space="preserve"> customers</w:t>
      </w:r>
      <w:r w:rsidRPr="003A0405">
        <w:rPr>
          <w:rFonts w:ascii="Arial" w:hAnsi="Arial" w:cs="Arial"/>
          <w:sz w:val="22"/>
          <w:szCs w:val="22"/>
        </w:rPr>
        <w:t xml:space="preserve"> that are served by SSB and the public trust. </w:t>
      </w:r>
    </w:p>
    <w:p w14:paraId="459BE43E" w14:textId="77777777" w:rsidR="00DF11C6" w:rsidRPr="003A0405" w:rsidRDefault="00DF11C6" w:rsidP="001F5B66">
      <w:pPr>
        <w:rPr>
          <w:rFonts w:ascii="Arial" w:hAnsi="Arial" w:cs="Arial"/>
          <w:b/>
          <w:sz w:val="22"/>
          <w:szCs w:val="22"/>
        </w:rPr>
      </w:pPr>
    </w:p>
    <w:p w14:paraId="04BBBB77" w14:textId="4A58A417" w:rsidR="001F5B66" w:rsidRPr="003A0405" w:rsidRDefault="001F5B66" w:rsidP="001F5B66">
      <w:pPr>
        <w:rPr>
          <w:rFonts w:ascii="Arial" w:hAnsi="Arial" w:cs="Arial"/>
          <w:b/>
          <w:sz w:val="22"/>
          <w:szCs w:val="22"/>
        </w:rPr>
      </w:pPr>
      <w:r w:rsidRPr="003A0405">
        <w:rPr>
          <w:rFonts w:ascii="Arial" w:hAnsi="Arial" w:cs="Arial"/>
          <w:b/>
          <w:sz w:val="22"/>
          <w:szCs w:val="22"/>
        </w:rPr>
        <w:t xml:space="preserve">POLICY </w:t>
      </w:r>
    </w:p>
    <w:p w14:paraId="72A005C6" w14:textId="77777777" w:rsidR="00736129" w:rsidRPr="003A0405" w:rsidRDefault="00736129" w:rsidP="00736129">
      <w:pPr>
        <w:numPr>
          <w:ilvl w:val="0"/>
          <w:numId w:val="6"/>
        </w:numPr>
        <w:rPr>
          <w:rFonts w:ascii="Arial" w:hAnsi="Arial" w:cs="Arial"/>
          <w:sz w:val="22"/>
          <w:szCs w:val="22"/>
        </w:rPr>
      </w:pPr>
      <w:bookmarkStart w:id="0" w:name="_Hlk89937844"/>
      <w:r w:rsidRPr="003A0405">
        <w:rPr>
          <w:rFonts w:ascii="Arial" w:hAnsi="Arial" w:cs="Arial"/>
          <w:sz w:val="22"/>
          <w:szCs w:val="22"/>
        </w:rPr>
        <w:t>For purposes of this Section, the term “Individual” has the following meaning:</w:t>
      </w:r>
    </w:p>
    <w:p w14:paraId="000A6755" w14:textId="77777777" w:rsidR="00736129" w:rsidRPr="003A0405" w:rsidRDefault="00736129" w:rsidP="00736129">
      <w:pPr>
        <w:numPr>
          <w:ilvl w:val="1"/>
          <w:numId w:val="6"/>
        </w:numPr>
        <w:rPr>
          <w:rFonts w:ascii="Arial" w:hAnsi="Arial" w:cs="Arial"/>
          <w:sz w:val="22"/>
          <w:szCs w:val="22"/>
        </w:rPr>
      </w:pPr>
      <w:r w:rsidRPr="003A0405">
        <w:rPr>
          <w:rFonts w:ascii="Arial" w:hAnsi="Arial" w:cs="Arial"/>
          <w:sz w:val="22"/>
          <w:szCs w:val="22"/>
        </w:rPr>
        <w:t>The Contractor’s employees;</w:t>
      </w:r>
    </w:p>
    <w:p w14:paraId="2A2AD8A9" w14:textId="77777777" w:rsidR="00736129" w:rsidRPr="003A0405" w:rsidRDefault="00736129" w:rsidP="00736129">
      <w:pPr>
        <w:numPr>
          <w:ilvl w:val="1"/>
          <w:numId w:val="6"/>
        </w:numPr>
        <w:rPr>
          <w:rFonts w:ascii="Arial" w:hAnsi="Arial" w:cs="Arial"/>
          <w:sz w:val="22"/>
          <w:szCs w:val="22"/>
        </w:rPr>
      </w:pPr>
      <w:r w:rsidRPr="003A0405">
        <w:rPr>
          <w:rFonts w:ascii="Arial" w:hAnsi="Arial" w:cs="Arial"/>
          <w:sz w:val="22"/>
          <w:szCs w:val="22"/>
        </w:rPr>
        <w:t>The Contractor’s subcontractors; and</w:t>
      </w:r>
    </w:p>
    <w:p w14:paraId="48C68863" w14:textId="77777777" w:rsidR="00736129" w:rsidRPr="003A0405" w:rsidRDefault="00736129" w:rsidP="00736129">
      <w:pPr>
        <w:numPr>
          <w:ilvl w:val="1"/>
          <w:numId w:val="6"/>
        </w:numPr>
        <w:rPr>
          <w:rFonts w:ascii="Arial" w:hAnsi="Arial" w:cs="Arial"/>
          <w:sz w:val="22"/>
          <w:szCs w:val="22"/>
        </w:rPr>
      </w:pPr>
      <w:r w:rsidRPr="003A0405">
        <w:rPr>
          <w:rFonts w:ascii="Arial" w:hAnsi="Arial" w:cs="Arial"/>
          <w:sz w:val="22"/>
          <w:szCs w:val="22"/>
        </w:rPr>
        <w:t>All other persons, including, but not limited to, the Contractor’s interns, sole proprietors, limited partners, general partners, and shareholders who:</w:t>
      </w:r>
    </w:p>
    <w:p w14:paraId="036B1FE6" w14:textId="77777777" w:rsidR="00736129" w:rsidRPr="003A0405" w:rsidRDefault="00736129" w:rsidP="00736129">
      <w:pPr>
        <w:numPr>
          <w:ilvl w:val="2"/>
          <w:numId w:val="6"/>
        </w:numPr>
        <w:rPr>
          <w:rFonts w:ascii="Arial" w:hAnsi="Arial" w:cs="Arial"/>
          <w:sz w:val="22"/>
          <w:szCs w:val="22"/>
        </w:rPr>
      </w:pPr>
      <w:r w:rsidRPr="003A0405">
        <w:rPr>
          <w:rFonts w:ascii="Arial" w:hAnsi="Arial" w:cs="Arial"/>
          <w:sz w:val="22"/>
          <w:szCs w:val="22"/>
        </w:rPr>
        <w:t>Contractor uses to provide direct services to SSB consumers or SSB staff; and/or</w:t>
      </w:r>
    </w:p>
    <w:p w14:paraId="3FB37D8A" w14:textId="417009B8" w:rsidR="00736129" w:rsidRPr="003A0405" w:rsidRDefault="00736129" w:rsidP="00736129">
      <w:pPr>
        <w:numPr>
          <w:ilvl w:val="2"/>
          <w:numId w:val="6"/>
        </w:numPr>
        <w:rPr>
          <w:rFonts w:ascii="Arial" w:hAnsi="Arial" w:cs="Arial"/>
          <w:sz w:val="22"/>
          <w:szCs w:val="22"/>
        </w:rPr>
      </w:pPr>
      <w:r w:rsidRPr="003A0405">
        <w:rPr>
          <w:rFonts w:ascii="Arial" w:hAnsi="Arial" w:cs="Arial"/>
          <w:sz w:val="22"/>
          <w:szCs w:val="22"/>
        </w:rPr>
        <w:t xml:space="preserve">Contractor has given access to data related to SSB, SSB </w:t>
      </w:r>
      <w:r w:rsidR="000459B6">
        <w:rPr>
          <w:rFonts w:ascii="Arial" w:hAnsi="Arial" w:cs="Arial"/>
          <w:sz w:val="22"/>
          <w:szCs w:val="22"/>
        </w:rPr>
        <w:t>customers</w:t>
      </w:r>
      <w:r w:rsidRPr="003A0405">
        <w:rPr>
          <w:rFonts w:ascii="Arial" w:hAnsi="Arial" w:cs="Arial"/>
          <w:sz w:val="22"/>
          <w:szCs w:val="22"/>
        </w:rPr>
        <w:t>, or SSB staff that is classified as not public under the Minnesota Government Data Practices, Minn. Stat. Ch. 13.</w:t>
      </w:r>
    </w:p>
    <w:p w14:paraId="63E3FFCE" w14:textId="0231BB81" w:rsidR="00736129" w:rsidRPr="003A0405" w:rsidRDefault="00736129" w:rsidP="00736129">
      <w:pPr>
        <w:numPr>
          <w:ilvl w:val="0"/>
          <w:numId w:val="6"/>
        </w:numPr>
        <w:rPr>
          <w:rFonts w:ascii="Arial" w:hAnsi="Arial" w:cs="Arial"/>
          <w:sz w:val="22"/>
          <w:szCs w:val="22"/>
        </w:rPr>
      </w:pPr>
      <w:r w:rsidRPr="003A0405">
        <w:rPr>
          <w:rFonts w:ascii="Arial" w:hAnsi="Arial" w:cs="Arial"/>
          <w:sz w:val="22"/>
          <w:szCs w:val="22"/>
        </w:rPr>
        <w:t xml:space="preserve">To protect the health and safety of SSB </w:t>
      </w:r>
      <w:r w:rsidR="000459B6">
        <w:rPr>
          <w:rFonts w:ascii="Arial" w:hAnsi="Arial" w:cs="Arial"/>
          <w:sz w:val="22"/>
          <w:szCs w:val="22"/>
        </w:rPr>
        <w:t>customers</w:t>
      </w:r>
      <w:r w:rsidRPr="003A0405">
        <w:rPr>
          <w:rFonts w:ascii="Arial" w:hAnsi="Arial" w:cs="Arial"/>
          <w:sz w:val="22"/>
          <w:szCs w:val="22"/>
        </w:rPr>
        <w:t xml:space="preserve"> and staff, Contractor is required to conduct criminal background checks as follows:</w:t>
      </w:r>
    </w:p>
    <w:p w14:paraId="3CD97886" w14:textId="77777777" w:rsidR="00736129" w:rsidRPr="003A0405" w:rsidRDefault="00736129" w:rsidP="00736129">
      <w:pPr>
        <w:numPr>
          <w:ilvl w:val="1"/>
          <w:numId w:val="6"/>
        </w:numPr>
        <w:rPr>
          <w:rFonts w:ascii="Arial" w:hAnsi="Arial" w:cs="Arial"/>
          <w:sz w:val="22"/>
          <w:szCs w:val="22"/>
        </w:rPr>
      </w:pPr>
      <w:r w:rsidRPr="003A0405">
        <w:rPr>
          <w:rFonts w:ascii="Arial" w:hAnsi="Arial" w:cs="Arial"/>
          <w:sz w:val="22"/>
          <w:szCs w:val="22"/>
        </w:rPr>
        <w:t xml:space="preserve">On all Individuals no later than August 1 of each calendar year, beginning the year the Agreement is signed and continuing through the duration of the Agreement; </w:t>
      </w:r>
    </w:p>
    <w:p w14:paraId="3424809D" w14:textId="21C4EE11" w:rsidR="00736129" w:rsidRPr="003A0405" w:rsidRDefault="00736129" w:rsidP="003A0405">
      <w:pPr>
        <w:numPr>
          <w:ilvl w:val="1"/>
          <w:numId w:val="6"/>
        </w:numPr>
        <w:rPr>
          <w:rFonts w:ascii="Arial" w:hAnsi="Arial" w:cs="Arial"/>
          <w:sz w:val="22"/>
          <w:szCs w:val="22"/>
        </w:rPr>
      </w:pPr>
      <w:r w:rsidRPr="003A0405">
        <w:rPr>
          <w:rFonts w:ascii="Arial" w:hAnsi="Arial" w:cs="Arial"/>
          <w:sz w:val="22"/>
          <w:szCs w:val="22"/>
        </w:rPr>
        <w:t>Within 14</w:t>
      </w:r>
      <w:r w:rsidR="000459B6">
        <w:rPr>
          <w:rFonts w:ascii="Arial" w:hAnsi="Arial" w:cs="Arial"/>
          <w:sz w:val="22"/>
          <w:szCs w:val="22"/>
        </w:rPr>
        <w:t xml:space="preserve"> calendar</w:t>
      </w:r>
      <w:r w:rsidRPr="003A0405">
        <w:rPr>
          <w:rFonts w:ascii="Arial" w:hAnsi="Arial" w:cs="Arial"/>
          <w:sz w:val="22"/>
          <w:szCs w:val="22"/>
        </w:rPr>
        <w:t xml:space="preserve"> days of any Individual beginning work for the Contractor; or</w:t>
      </w:r>
    </w:p>
    <w:p w14:paraId="7766CC31" w14:textId="556E93B5" w:rsidR="00736129" w:rsidRPr="003A0405" w:rsidRDefault="00736129" w:rsidP="00736129">
      <w:pPr>
        <w:numPr>
          <w:ilvl w:val="1"/>
          <w:numId w:val="6"/>
        </w:numPr>
        <w:rPr>
          <w:rFonts w:ascii="Arial" w:hAnsi="Arial" w:cs="Arial"/>
          <w:sz w:val="22"/>
          <w:szCs w:val="22"/>
        </w:rPr>
      </w:pPr>
      <w:r w:rsidRPr="003A0405">
        <w:rPr>
          <w:rFonts w:ascii="Arial" w:hAnsi="Arial" w:cs="Arial"/>
          <w:sz w:val="22"/>
          <w:szCs w:val="22"/>
        </w:rPr>
        <w:t xml:space="preserve">Within 14 </w:t>
      </w:r>
      <w:r w:rsidR="000459B6">
        <w:rPr>
          <w:rFonts w:ascii="Arial" w:hAnsi="Arial" w:cs="Arial"/>
          <w:sz w:val="22"/>
          <w:szCs w:val="22"/>
        </w:rPr>
        <w:t xml:space="preserve">calendar </w:t>
      </w:r>
      <w:r w:rsidRPr="003A0405">
        <w:rPr>
          <w:rFonts w:ascii="Arial" w:hAnsi="Arial" w:cs="Arial"/>
          <w:sz w:val="22"/>
          <w:szCs w:val="22"/>
        </w:rPr>
        <w:t xml:space="preserve">days of any Individual assuming new job duties that: </w:t>
      </w:r>
    </w:p>
    <w:p w14:paraId="3DB466BE" w14:textId="48F2E74E" w:rsidR="00736129" w:rsidRPr="003A0405" w:rsidRDefault="00736129" w:rsidP="00736129">
      <w:pPr>
        <w:numPr>
          <w:ilvl w:val="2"/>
          <w:numId w:val="6"/>
        </w:numPr>
        <w:rPr>
          <w:rFonts w:ascii="Arial" w:hAnsi="Arial" w:cs="Arial"/>
          <w:sz w:val="22"/>
          <w:szCs w:val="22"/>
        </w:rPr>
      </w:pPr>
      <w:r w:rsidRPr="003A0405">
        <w:rPr>
          <w:rFonts w:ascii="Arial" w:hAnsi="Arial" w:cs="Arial"/>
          <w:sz w:val="22"/>
          <w:szCs w:val="22"/>
        </w:rPr>
        <w:t xml:space="preserve">Require the Individual to provide direct services to SSB </w:t>
      </w:r>
      <w:r w:rsidR="000459B6">
        <w:rPr>
          <w:rFonts w:ascii="Arial" w:hAnsi="Arial" w:cs="Arial"/>
          <w:sz w:val="22"/>
          <w:szCs w:val="22"/>
        </w:rPr>
        <w:t>customers</w:t>
      </w:r>
      <w:r w:rsidRPr="003A0405">
        <w:rPr>
          <w:rFonts w:ascii="Arial" w:hAnsi="Arial" w:cs="Arial"/>
          <w:sz w:val="22"/>
          <w:szCs w:val="22"/>
        </w:rPr>
        <w:t xml:space="preserve"> or staff; and/or</w:t>
      </w:r>
    </w:p>
    <w:p w14:paraId="4CD65313" w14:textId="77777777" w:rsidR="00736129" w:rsidRPr="003A0405" w:rsidRDefault="00736129" w:rsidP="00736129">
      <w:pPr>
        <w:numPr>
          <w:ilvl w:val="2"/>
          <w:numId w:val="6"/>
        </w:numPr>
        <w:rPr>
          <w:rFonts w:ascii="Arial" w:hAnsi="Arial" w:cs="Arial"/>
          <w:sz w:val="22"/>
          <w:szCs w:val="22"/>
        </w:rPr>
      </w:pPr>
      <w:r w:rsidRPr="003A0405">
        <w:rPr>
          <w:rFonts w:ascii="Arial" w:hAnsi="Arial" w:cs="Arial"/>
          <w:sz w:val="22"/>
          <w:szCs w:val="22"/>
        </w:rPr>
        <w:t>Provide the Individual access to data related to SSB, SSB consumers, or SSB staff that is classified as not public under the Minnesota Government Data Practices, Minn. Stat. Ch. 13.</w:t>
      </w:r>
    </w:p>
    <w:p w14:paraId="42F0A783" w14:textId="1B778D75" w:rsidR="00736129" w:rsidRPr="003A0405" w:rsidRDefault="00736129" w:rsidP="003A0405">
      <w:pPr>
        <w:numPr>
          <w:ilvl w:val="0"/>
          <w:numId w:val="6"/>
        </w:numPr>
        <w:rPr>
          <w:rFonts w:ascii="Arial" w:hAnsi="Arial" w:cs="Arial"/>
          <w:sz w:val="22"/>
          <w:szCs w:val="22"/>
        </w:rPr>
      </w:pPr>
      <w:r w:rsidRPr="003A0405">
        <w:rPr>
          <w:rFonts w:ascii="Arial" w:hAnsi="Arial" w:cs="Arial"/>
          <w:sz w:val="22"/>
          <w:szCs w:val="22"/>
        </w:rPr>
        <w:t>Criminal background checks shall be conducted at the Contractor’s sole expense, unless the Contractor consists only of a sole proprietor and no other persons, in which case the Contractor shall submit to, and provide the necessary consents for, a background check arranged by SSB of the sole proprietor.</w:t>
      </w:r>
    </w:p>
    <w:p w14:paraId="2557229C" w14:textId="77777777" w:rsidR="00736129" w:rsidRPr="003A0405" w:rsidRDefault="00736129" w:rsidP="00736129">
      <w:pPr>
        <w:numPr>
          <w:ilvl w:val="0"/>
          <w:numId w:val="6"/>
        </w:numPr>
        <w:rPr>
          <w:rFonts w:ascii="Arial" w:hAnsi="Arial" w:cs="Arial"/>
          <w:b/>
          <w:bCs/>
          <w:sz w:val="22"/>
          <w:szCs w:val="22"/>
        </w:rPr>
      </w:pPr>
      <w:r w:rsidRPr="003A0405">
        <w:rPr>
          <w:rFonts w:ascii="Arial" w:hAnsi="Arial" w:cs="Arial"/>
          <w:sz w:val="22"/>
          <w:szCs w:val="22"/>
        </w:rPr>
        <w:t xml:space="preserve">Contractor shall submit the results of all criminal background checks within 3 business days of their receipt to SSB at </w:t>
      </w:r>
      <w:hyperlink r:id="rId10" w:history="1">
        <w:r w:rsidRPr="003A0405">
          <w:rPr>
            <w:rStyle w:val="Hyperlink"/>
            <w:rFonts w:ascii="Arial" w:hAnsi="Arial" w:cs="Arial"/>
            <w:sz w:val="22"/>
            <w:szCs w:val="22"/>
          </w:rPr>
          <w:t>ssbcontracts.deed@state.mn.us</w:t>
        </w:r>
      </w:hyperlink>
      <w:r w:rsidRPr="003A0405">
        <w:rPr>
          <w:rFonts w:ascii="Arial" w:hAnsi="Arial" w:cs="Arial"/>
          <w:sz w:val="22"/>
          <w:szCs w:val="22"/>
        </w:rPr>
        <w:t>.</w:t>
      </w:r>
      <w:bookmarkEnd w:id="0"/>
    </w:p>
    <w:p w14:paraId="1AD7823B" w14:textId="77777777" w:rsidR="00736129" w:rsidRPr="003A0405" w:rsidRDefault="00736129" w:rsidP="00736129">
      <w:pPr>
        <w:rPr>
          <w:rFonts w:ascii="Arial" w:hAnsi="Arial" w:cs="Arial"/>
        </w:rPr>
      </w:pPr>
    </w:p>
    <w:p w14:paraId="04BBBB7D" w14:textId="771914D1" w:rsidR="001F5B66" w:rsidRPr="009A7F0A" w:rsidRDefault="001F5B66" w:rsidP="001F5B66">
      <w:pPr>
        <w:rPr>
          <w:rFonts w:ascii="Arial" w:hAnsi="Arial" w:cs="Arial"/>
          <w:b/>
          <w:bCs/>
          <w:sz w:val="22"/>
          <w:szCs w:val="22"/>
        </w:rPr>
      </w:pPr>
      <w:r w:rsidRPr="009A7F0A">
        <w:rPr>
          <w:rFonts w:ascii="Arial" w:hAnsi="Arial" w:cs="Arial"/>
          <w:b/>
          <w:bCs/>
          <w:sz w:val="22"/>
          <w:szCs w:val="22"/>
        </w:rPr>
        <w:t xml:space="preserve">SSB PROCEDURES </w:t>
      </w:r>
    </w:p>
    <w:p w14:paraId="04BBBB7E" w14:textId="7E39FF6C"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Provide the “Criminal History and Release” form to </w:t>
      </w:r>
      <w:r w:rsidR="000459B6">
        <w:rPr>
          <w:rFonts w:ascii="Arial" w:hAnsi="Arial" w:cs="Arial"/>
        </w:rPr>
        <w:t xml:space="preserve">contract </w:t>
      </w:r>
      <w:r w:rsidRPr="003A0405">
        <w:rPr>
          <w:rFonts w:ascii="Arial" w:hAnsi="Arial" w:cs="Arial"/>
        </w:rPr>
        <w:t xml:space="preserve">applicants and contractors </w:t>
      </w:r>
      <w:r w:rsidRPr="003A0405">
        <w:rPr>
          <w:rFonts w:ascii="Arial" w:hAnsi="Arial" w:cs="Arial"/>
          <w:u w:val="single"/>
        </w:rPr>
        <w:t>with no employees</w:t>
      </w:r>
      <w:r w:rsidRPr="003A0405">
        <w:rPr>
          <w:rFonts w:ascii="Arial" w:hAnsi="Arial" w:cs="Arial"/>
        </w:rPr>
        <w:t xml:space="preserve"> who provide adjustment to blindness and all related rehabilitation</w:t>
      </w:r>
      <w:r w:rsidR="00A52267" w:rsidRPr="003A0405">
        <w:rPr>
          <w:rFonts w:ascii="Arial" w:hAnsi="Arial" w:cs="Arial"/>
        </w:rPr>
        <w:t xml:space="preserve"> and employment related</w:t>
      </w:r>
      <w:r w:rsidRPr="003A0405">
        <w:rPr>
          <w:rFonts w:ascii="Arial" w:hAnsi="Arial" w:cs="Arial"/>
        </w:rPr>
        <w:t xml:space="preserve"> services for SSB </w:t>
      </w:r>
      <w:r w:rsidR="00A52267" w:rsidRPr="003A0405">
        <w:rPr>
          <w:rFonts w:ascii="Arial" w:hAnsi="Arial" w:cs="Arial"/>
        </w:rPr>
        <w:t>customers</w:t>
      </w:r>
      <w:r w:rsidRPr="003A0405">
        <w:rPr>
          <w:rFonts w:ascii="Arial" w:hAnsi="Arial" w:cs="Arial"/>
        </w:rPr>
        <w:t>.</w:t>
      </w:r>
    </w:p>
    <w:p w14:paraId="1DCB9B67" w14:textId="5A05E06B" w:rsidR="00EC4CFC" w:rsidRPr="003A0405" w:rsidRDefault="001F5B66" w:rsidP="0027681D">
      <w:pPr>
        <w:pStyle w:val="ListParagraph"/>
        <w:numPr>
          <w:ilvl w:val="0"/>
          <w:numId w:val="1"/>
        </w:numPr>
        <w:rPr>
          <w:rFonts w:ascii="Arial" w:hAnsi="Arial" w:cs="Arial"/>
        </w:rPr>
      </w:pPr>
      <w:r w:rsidRPr="003A0405">
        <w:rPr>
          <w:rFonts w:ascii="Arial" w:hAnsi="Arial" w:cs="Arial"/>
        </w:rPr>
        <w:t>Forward completed</w:t>
      </w:r>
      <w:r w:rsidR="00A00300">
        <w:rPr>
          <w:rFonts w:ascii="Arial" w:hAnsi="Arial" w:cs="Arial"/>
        </w:rPr>
        <w:t xml:space="preserve"> and notarized</w:t>
      </w:r>
      <w:r w:rsidRPr="003A0405">
        <w:rPr>
          <w:rFonts w:ascii="Arial" w:hAnsi="Arial" w:cs="Arial"/>
        </w:rPr>
        <w:t xml:space="preserve"> release </w:t>
      </w:r>
      <w:r w:rsidR="008B322E" w:rsidRPr="003A0405">
        <w:rPr>
          <w:rFonts w:ascii="Arial" w:hAnsi="Arial" w:cs="Arial"/>
        </w:rPr>
        <w:t xml:space="preserve">forms </w:t>
      </w:r>
      <w:r w:rsidRPr="003A0405">
        <w:rPr>
          <w:rFonts w:ascii="Arial" w:hAnsi="Arial" w:cs="Arial"/>
        </w:rPr>
        <w:t>for processing through the</w:t>
      </w:r>
      <w:r w:rsidR="008B3BE1">
        <w:rPr>
          <w:rFonts w:ascii="Arial" w:hAnsi="Arial" w:cs="Arial"/>
        </w:rPr>
        <w:t xml:space="preserve"> Minnesota</w:t>
      </w:r>
      <w:r w:rsidRPr="003A0405">
        <w:rPr>
          <w:rFonts w:ascii="Arial" w:hAnsi="Arial" w:cs="Arial"/>
        </w:rPr>
        <w:t xml:space="preserve"> </w:t>
      </w:r>
      <w:r w:rsidR="008B3BE1">
        <w:rPr>
          <w:rFonts w:ascii="Arial" w:hAnsi="Arial" w:cs="Arial"/>
        </w:rPr>
        <w:t>Bureau of Criminal Apprehension</w:t>
      </w:r>
      <w:r w:rsidR="00A00300">
        <w:rPr>
          <w:rFonts w:ascii="Arial" w:hAnsi="Arial" w:cs="Arial"/>
        </w:rPr>
        <w:t xml:space="preserve"> with coversheet and Purchase Order</w:t>
      </w:r>
      <w:r w:rsidR="008B3BE1">
        <w:rPr>
          <w:rFonts w:ascii="Arial" w:hAnsi="Arial" w:cs="Arial"/>
        </w:rPr>
        <w:t>.</w:t>
      </w:r>
    </w:p>
    <w:p w14:paraId="04BBBB80" w14:textId="3C8FE2F2" w:rsidR="001F5B66" w:rsidRPr="003A0405" w:rsidRDefault="001F5B66" w:rsidP="001F5B66">
      <w:pPr>
        <w:pStyle w:val="ListParagraph"/>
        <w:numPr>
          <w:ilvl w:val="0"/>
          <w:numId w:val="1"/>
        </w:numPr>
        <w:rPr>
          <w:rFonts w:ascii="Arial" w:hAnsi="Arial" w:cs="Arial"/>
        </w:rPr>
      </w:pPr>
      <w:r w:rsidRPr="003A0405">
        <w:rPr>
          <w:rFonts w:ascii="Arial" w:hAnsi="Arial" w:cs="Arial"/>
        </w:rPr>
        <w:lastRenderedPageBreak/>
        <w:t xml:space="preserve">SSB’s </w:t>
      </w:r>
      <w:r w:rsidR="00EB4D94">
        <w:rPr>
          <w:rFonts w:ascii="Arial" w:hAnsi="Arial" w:cs="Arial"/>
        </w:rPr>
        <w:t xml:space="preserve">Deputy Director </w:t>
      </w:r>
      <w:r w:rsidRPr="003A0405">
        <w:rPr>
          <w:rFonts w:ascii="Arial" w:hAnsi="Arial" w:cs="Arial"/>
        </w:rPr>
        <w:t>of Administrative Services Unit (</w:t>
      </w:r>
      <w:r w:rsidR="001D6A98">
        <w:rPr>
          <w:rFonts w:ascii="Arial" w:hAnsi="Arial" w:cs="Arial"/>
        </w:rPr>
        <w:t>DD</w:t>
      </w:r>
      <w:r w:rsidRPr="003A0405">
        <w:rPr>
          <w:rFonts w:ascii="Arial" w:hAnsi="Arial" w:cs="Arial"/>
        </w:rPr>
        <w:t>-ASU)</w:t>
      </w:r>
      <w:r w:rsidR="00682FF7" w:rsidRPr="003A0405">
        <w:rPr>
          <w:rFonts w:ascii="Arial" w:hAnsi="Arial" w:cs="Arial"/>
        </w:rPr>
        <w:t xml:space="preserve"> or SSB’s </w:t>
      </w:r>
      <w:r w:rsidR="00EB4D94">
        <w:rPr>
          <w:rFonts w:ascii="Arial" w:hAnsi="Arial" w:cs="Arial"/>
        </w:rPr>
        <w:t>Deputy Director</w:t>
      </w:r>
      <w:r w:rsidR="00682FF7" w:rsidRPr="003A0405">
        <w:rPr>
          <w:rFonts w:ascii="Arial" w:hAnsi="Arial" w:cs="Arial"/>
        </w:rPr>
        <w:t xml:space="preserve"> of Workforce Development Unit (</w:t>
      </w:r>
      <w:r w:rsidR="001D6A98">
        <w:rPr>
          <w:rFonts w:ascii="Arial" w:hAnsi="Arial" w:cs="Arial"/>
        </w:rPr>
        <w:t>DD</w:t>
      </w:r>
      <w:r w:rsidR="00682FF7" w:rsidRPr="003A0405">
        <w:rPr>
          <w:rFonts w:ascii="Arial" w:hAnsi="Arial" w:cs="Arial"/>
        </w:rPr>
        <w:t>-WDU)</w:t>
      </w:r>
      <w:r w:rsidRPr="003A0405">
        <w:rPr>
          <w:rFonts w:ascii="Arial" w:hAnsi="Arial" w:cs="Arial"/>
        </w:rPr>
        <w:t xml:space="preserve"> will evaluate the results of </w:t>
      </w:r>
      <w:r w:rsidR="009A6518" w:rsidRPr="003A0405">
        <w:rPr>
          <w:rFonts w:ascii="Arial" w:hAnsi="Arial" w:cs="Arial"/>
        </w:rPr>
        <w:t>all</w:t>
      </w:r>
      <w:r w:rsidRPr="003A0405">
        <w:rPr>
          <w:rFonts w:ascii="Arial" w:hAnsi="Arial" w:cs="Arial"/>
        </w:rPr>
        <w:t xml:space="preserve"> criminal background check</w:t>
      </w:r>
      <w:r w:rsidR="009A6518" w:rsidRPr="003A0405">
        <w:rPr>
          <w:rFonts w:ascii="Arial" w:hAnsi="Arial" w:cs="Arial"/>
        </w:rPr>
        <w:t>s</w:t>
      </w:r>
      <w:r w:rsidRPr="003A0405">
        <w:rPr>
          <w:rFonts w:ascii="Arial" w:hAnsi="Arial" w:cs="Arial"/>
        </w:rPr>
        <w:t xml:space="preserve"> using Minnesota Statute 364.03 as a framework for determining whether the </w:t>
      </w:r>
      <w:r w:rsidR="000459B6">
        <w:rPr>
          <w:rFonts w:ascii="Arial" w:hAnsi="Arial" w:cs="Arial"/>
        </w:rPr>
        <w:t xml:space="preserve">contractor </w:t>
      </w:r>
      <w:r w:rsidRPr="003A0405">
        <w:rPr>
          <w:rFonts w:ascii="Arial" w:hAnsi="Arial" w:cs="Arial"/>
        </w:rPr>
        <w:t>applicant or contractor will be considered for a master contract. This duty will not be delegated.</w:t>
      </w:r>
    </w:p>
    <w:p w14:paraId="04BBBB81" w14:textId="6C410B37"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In evaluating the criminal background information, </w:t>
      </w:r>
      <w:r w:rsidR="00392C4D">
        <w:rPr>
          <w:rFonts w:ascii="Arial" w:hAnsi="Arial" w:cs="Arial"/>
        </w:rPr>
        <w:t>DD</w:t>
      </w:r>
      <w:r w:rsidRPr="003A0405">
        <w:rPr>
          <w:rFonts w:ascii="Arial" w:hAnsi="Arial" w:cs="Arial"/>
        </w:rPr>
        <w:t>-ASU</w:t>
      </w:r>
      <w:r w:rsidR="00CD1C38" w:rsidRPr="003A0405">
        <w:rPr>
          <w:rFonts w:ascii="Arial" w:hAnsi="Arial" w:cs="Arial"/>
        </w:rPr>
        <w:t xml:space="preserve"> or </w:t>
      </w:r>
      <w:r w:rsidR="00392C4D">
        <w:rPr>
          <w:rFonts w:ascii="Arial" w:hAnsi="Arial" w:cs="Arial"/>
        </w:rPr>
        <w:t>DD</w:t>
      </w:r>
      <w:r w:rsidR="00CD1C38" w:rsidRPr="003A0405">
        <w:rPr>
          <w:rFonts w:ascii="Arial" w:hAnsi="Arial" w:cs="Arial"/>
        </w:rPr>
        <w:t>-WDU</w:t>
      </w:r>
      <w:r w:rsidRPr="003A0405">
        <w:rPr>
          <w:rFonts w:ascii="Arial" w:hAnsi="Arial" w:cs="Arial"/>
        </w:rPr>
        <w:t xml:space="preserve"> will determine if </w:t>
      </w:r>
      <w:r w:rsidR="00374E1B" w:rsidRPr="003A0405">
        <w:rPr>
          <w:rFonts w:ascii="Arial" w:hAnsi="Arial" w:cs="Arial"/>
        </w:rPr>
        <w:t>the background check sho</w:t>
      </w:r>
      <w:r w:rsidR="00C02DEE" w:rsidRPr="003A0405">
        <w:rPr>
          <w:rFonts w:ascii="Arial" w:hAnsi="Arial" w:cs="Arial"/>
        </w:rPr>
        <w:t>ws</w:t>
      </w:r>
      <w:r w:rsidRPr="003A0405">
        <w:rPr>
          <w:rFonts w:ascii="Arial" w:hAnsi="Arial" w:cs="Arial"/>
        </w:rPr>
        <w:t xml:space="preserve"> criminal</w:t>
      </w:r>
      <w:r w:rsidR="006A596A" w:rsidRPr="003A0405">
        <w:rPr>
          <w:rFonts w:ascii="Arial" w:hAnsi="Arial" w:cs="Arial"/>
        </w:rPr>
        <w:t xml:space="preserve"> </w:t>
      </w:r>
      <w:r w:rsidR="0000181F" w:rsidRPr="003A0405">
        <w:rPr>
          <w:rFonts w:ascii="Arial" w:hAnsi="Arial" w:cs="Arial"/>
        </w:rPr>
        <w:t>activity</w:t>
      </w:r>
      <w:r w:rsidRPr="003A0405">
        <w:rPr>
          <w:rFonts w:ascii="Arial" w:hAnsi="Arial" w:cs="Arial"/>
        </w:rPr>
        <w:t xml:space="preserve">.  </w:t>
      </w:r>
    </w:p>
    <w:p w14:paraId="04BBBB82" w14:textId="16582CB4"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If no </w:t>
      </w:r>
      <w:r w:rsidR="0000181F" w:rsidRPr="003A0405">
        <w:rPr>
          <w:rFonts w:ascii="Arial" w:hAnsi="Arial" w:cs="Arial"/>
        </w:rPr>
        <w:t xml:space="preserve">criminal activity </w:t>
      </w:r>
      <w:r w:rsidRPr="003A0405">
        <w:rPr>
          <w:rFonts w:ascii="Arial" w:hAnsi="Arial" w:cs="Arial"/>
        </w:rPr>
        <w:t>exists, the contracting process may continue.</w:t>
      </w:r>
    </w:p>
    <w:p w14:paraId="190C8100" w14:textId="5A8D936C" w:rsidR="009048F5" w:rsidRPr="003A0405" w:rsidRDefault="00813AF7" w:rsidP="001F5B66">
      <w:pPr>
        <w:pStyle w:val="ListParagraph"/>
        <w:numPr>
          <w:ilvl w:val="0"/>
          <w:numId w:val="1"/>
        </w:numPr>
        <w:rPr>
          <w:rFonts w:ascii="Arial" w:hAnsi="Arial" w:cs="Arial"/>
        </w:rPr>
      </w:pPr>
      <w:r w:rsidRPr="003A0405">
        <w:rPr>
          <w:rFonts w:ascii="Arial" w:hAnsi="Arial" w:cs="Arial"/>
        </w:rPr>
        <w:t xml:space="preserve">If a background check contains the following information, </w:t>
      </w:r>
      <w:r w:rsidR="00272DE9" w:rsidRPr="003A0405">
        <w:rPr>
          <w:rFonts w:ascii="Arial" w:hAnsi="Arial" w:cs="Arial"/>
        </w:rPr>
        <w:t xml:space="preserve">it will be sent to the </w:t>
      </w:r>
      <w:r w:rsidR="003A6221">
        <w:rPr>
          <w:rFonts w:ascii="Arial" w:hAnsi="Arial" w:cs="Arial"/>
        </w:rPr>
        <w:t xml:space="preserve">DEED’s </w:t>
      </w:r>
      <w:r w:rsidR="00272DE9" w:rsidRPr="003A0405">
        <w:rPr>
          <w:rFonts w:ascii="Arial" w:hAnsi="Arial" w:cs="Arial"/>
        </w:rPr>
        <w:t>General</w:t>
      </w:r>
      <w:r w:rsidR="00AD3C47" w:rsidRPr="003A0405">
        <w:rPr>
          <w:rFonts w:ascii="Arial" w:hAnsi="Arial" w:cs="Arial"/>
        </w:rPr>
        <w:t xml:space="preserve"> </w:t>
      </w:r>
      <w:r w:rsidR="00B54A04" w:rsidRPr="003A0405">
        <w:rPr>
          <w:rFonts w:ascii="Arial" w:hAnsi="Arial" w:cs="Arial"/>
        </w:rPr>
        <w:t>Counsel’s</w:t>
      </w:r>
      <w:r w:rsidR="00272DE9" w:rsidRPr="003A0405">
        <w:rPr>
          <w:rFonts w:ascii="Arial" w:hAnsi="Arial" w:cs="Arial"/>
        </w:rPr>
        <w:t xml:space="preserve"> Office</w:t>
      </w:r>
      <w:r w:rsidR="00D85379" w:rsidRPr="003A0405">
        <w:rPr>
          <w:rFonts w:ascii="Arial" w:hAnsi="Arial" w:cs="Arial"/>
        </w:rPr>
        <w:t xml:space="preserve"> (GCO)</w:t>
      </w:r>
      <w:r w:rsidR="00DA4C91" w:rsidRPr="003A0405">
        <w:rPr>
          <w:rFonts w:ascii="Arial" w:hAnsi="Arial" w:cs="Arial"/>
        </w:rPr>
        <w:t xml:space="preserve"> to determine if it relates directly to the contract provisions</w:t>
      </w:r>
      <w:r w:rsidR="003906B9" w:rsidRPr="003A0405">
        <w:rPr>
          <w:rFonts w:ascii="Arial" w:hAnsi="Arial" w:cs="Arial"/>
        </w:rPr>
        <w:t xml:space="preserve"> and provide recommendation to SSB</w:t>
      </w:r>
      <w:r w:rsidR="006E3EF1" w:rsidRPr="003A0405">
        <w:rPr>
          <w:rFonts w:ascii="Arial" w:hAnsi="Arial" w:cs="Arial"/>
        </w:rPr>
        <w:t>:</w:t>
      </w:r>
    </w:p>
    <w:p w14:paraId="458263B0" w14:textId="1F43B0B3" w:rsidR="006E3EF1" w:rsidRPr="003A0405" w:rsidRDefault="006E3EF1" w:rsidP="006E3EF1">
      <w:pPr>
        <w:pStyle w:val="ListParagraph"/>
        <w:numPr>
          <w:ilvl w:val="1"/>
          <w:numId w:val="1"/>
        </w:numPr>
        <w:rPr>
          <w:rFonts w:ascii="Arial" w:hAnsi="Arial" w:cs="Arial"/>
        </w:rPr>
      </w:pPr>
      <w:r w:rsidRPr="003A0405">
        <w:rPr>
          <w:rFonts w:ascii="Arial" w:hAnsi="Arial" w:cs="Arial"/>
        </w:rPr>
        <w:t>Felony</w:t>
      </w:r>
    </w:p>
    <w:p w14:paraId="02DE8BC9" w14:textId="7B7A0DD6" w:rsidR="006E3EF1" w:rsidRPr="003A0405" w:rsidRDefault="006E3EF1" w:rsidP="006E3EF1">
      <w:pPr>
        <w:pStyle w:val="ListParagraph"/>
        <w:numPr>
          <w:ilvl w:val="1"/>
          <w:numId w:val="1"/>
        </w:numPr>
        <w:rPr>
          <w:rFonts w:ascii="Arial" w:hAnsi="Arial" w:cs="Arial"/>
        </w:rPr>
      </w:pPr>
      <w:r w:rsidRPr="003A0405">
        <w:rPr>
          <w:rFonts w:ascii="Arial" w:hAnsi="Arial" w:cs="Arial"/>
        </w:rPr>
        <w:t>Misdemeanor conviction in past 7 years</w:t>
      </w:r>
    </w:p>
    <w:p w14:paraId="1471B764" w14:textId="03D3FF26" w:rsidR="006E3EF1" w:rsidRPr="003A0405" w:rsidRDefault="00C82CED" w:rsidP="006E3EF1">
      <w:pPr>
        <w:pStyle w:val="ListParagraph"/>
        <w:numPr>
          <w:ilvl w:val="1"/>
          <w:numId w:val="1"/>
        </w:numPr>
        <w:rPr>
          <w:rFonts w:ascii="Arial" w:hAnsi="Arial" w:cs="Arial"/>
        </w:rPr>
      </w:pPr>
      <w:r w:rsidRPr="003A0405">
        <w:rPr>
          <w:rFonts w:ascii="Arial" w:hAnsi="Arial" w:cs="Arial"/>
        </w:rPr>
        <w:t>Any violent crime</w:t>
      </w:r>
    </w:p>
    <w:p w14:paraId="76F01790" w14:textId="2CA884A4" w:rsidR="00C82CED" w:rsidRPr="003A0405" w:rsidRDefault="00C82CED" w:rsidP="006E3EF1">
      <w:pPr>
        <w:pStyle w:val="ListParagraph"/>
        <w:numPr>
          <w:ilvl w:val="1"/>
          <w:numId w:val="1"/>
        </w:numPr>
        <w:rPr>
          <w:rFonts w:ascii="Arial" w:hAnsi="Arial" w:cs="Arial"/>
        </w:rPr>
      </w:pPr>
      <w:r w:rsidRPr="003A0405">
        <w:rPr>
          <w:rFonts w:ascii="Arial" w:hAnsi="Arial" w:cs="Arial"/>
        </w:rPr>
        <w:t>DUI/DWI (If the position requires driving)</w:t>
      </w:r>
    </w:p>
    <w:p w14:paraId="16446191" w14:textId="4FB7A246" w:rsidR="00B54A04" w:rsidRPr="003A0405" w:rsidRDefault="00D62EB6" w:rsidP="003A0405">
      <w:pPr>
        <w:pStyle w:val="ListParagraph"/>
        <w:numPr>
          <w:ilvl w:val="1"/>
          <w:numId w:val="1"/>
        </w:numPr>
        <w:rPr>
          <w:rFonts w:ascii="Arial" w:hAnsi="Arial" w:cs="Arial"/>
        </w:rPr>
      </w:pPr>
      <w:r w:rsidRPr="003A0405">
        <w:rPr>
          <w:rFonts w:ascii="Arial" w:hAnsi="Arial" w:cs="Arial"/>
        </w:rPr>
        <w:t>Any other offense SSB is uncertain of</w:t>
      </w:r>
      <w:r w:rsidR="00AD3C47" w:rsidRPr="003A0405">
        <w:rPr>
          <w:rFonts w:ascii="Arial" w:hAnsi="Arial" w:cs="Arial"/>
        </w:rPr>
        <w:t xml:space="preserve"> </w:t>
      </w:r>
    </w:p>
    <w:p w14:paraId="04BBBB83" w14:textId="556F6617" w:rsidR="001F5B66" w:rsidRPr="003A0405" w:rsidRDefault="00D85379" w:rsidP="001F5B66">
      <w:pPr>
        <w:pStyle w:val="ListParagraph"/>
        <w:numPr>
          <w:ilvl w:val="0"/>
          <w:numId w:val="1"/>
        </w:numPr>
        <w:rPr>
          <w:rFonts w:ascii="Arial" w:hAnsi="Arial" w:cs="Arial"/>
        </w:rPr>
      </w:pPr>
      <w:r w:rsidRPr="003A0405">
        <w:rPr>
          <w:rFonts w:ascii="Arial" w:hAnsi="Arial" w:cs="Arial"/>
        </w:rPr>
        <w:t>The</w:t>
      </w:r>
      <w:r w:rsidR="00243212" w:rsidRPr="003A0405">
        <w:rPr>
          <w:rFonts w:ascii="Arial" w:hAnsi="Arial" w:cs="Arial"/>
        </w:rPr>
        <w:t xml:space="preserve"> GCO</w:t>
      </w:r>
      <w:r w:rsidRPr="003A0405">
        <w:rPr>
          <w:rFonts w:ascii="Arial" w:hAnsi="Arial" w:cs="Arial"/>
        </w:rPr>
        <w:t xml:space="preserve"> </w:t>
      </w:r>
      <w:r w:rsidR="001F5B66" w:rsidRPr="003A0405">
        <w:rPr>
          <w:rFonts w:ascii="Arial" w:hAnsi="Arial" w:cs="Arial"/>
        </w:rPr>
        <w:t xml:space="preserve">will </w:t>
      </w:r>
      <w:r w:rsidR="00925A6F" w:rsidRPr="003A0405">
        <w:rPr>
          <w:rFonts w:ascii="Arial" w:hAnsi="Arial" w:cs="Arial"/>
        </w:rPr>
        <w:t xml:space="preserve">review to </w:t>
      </w:r>
      <w:r w:rsidR="001F5B66" w:rsidRPr="003A0405">
        <w:rPr>
          <w:rFonts w:ascii="Arial" w:hAnsi="Arial" w:cs="Arial"/>
        </w:rPr>
        <w:t xml:space="preserve">determine if it relates directly to the contract provisions using the following criteria: </w:t>
      </w:r>
    </w:p>
    <w:p w14:paraId="04BBBB84" w14:textId="77777777" w:rsidR="001F5B66" w:rsidRPr="003A0405" w:rsidRDefault="001F5B66" w:rsidP="001F5B66">
      <w:pPr>
        <w:pStyle w:val="ListParagraph"/>
        <w:numPr>
          <w:ilvl w:val="0"/>
          <w:numId w:val="2"/>
        </w:numPr>
        <w:rPr>
          <w:rFonts w:ascii="Arial" w:hAnsi="Arial" w:cs="Arial"/>
        </w:rPr>
      </w:pPr>
      <w:r w:rsidRPr="003A0405">
        <w:rPr>
          <w:rFonts w:ascii="Arial" w:hAnsi="Arial" w:cs="Arial"/>
        </w:rPr>
        <w:t xml:space="preserve">Nature and seriousness of the crime or crimes for which the individual was convicted; </w:t>
      </w:r>
    </w:p>
    <w:p w14:paraId="04BBBB85" w14:textId="77777777" w:rsidR="001F5B66" w:rsidRPr="003A0405" w:rsidRDefault="001F5B66" w:rsidP="001F5B66">
      <w:pPr>
        <w:pStyle w:val="ListParagraph"/>
        <w:numPr>
          <w:ilvl w:val="0"/>
          <w:numId w:val="2"/>
        </w:numPr>
        <w:rPr>
          <w:rFonts w:ascii="Arial" w:hAnsi="Arial" w:cs="Arial"/>
        </w:rPr>
      </w:pPr>
      <w:r w:rsidRPr="003A0405">
        <w:rPr>
          <w:rFonts w:ascii="Arial" w:hAnsi="Arial" w:cs="Arial"/>
        </w:rPr>
        <w:t xml:space="preserve">Relationship of the crime or crimes to the responsibilities of the contract; and </w:t>
      </w:r>
    </w:p>
    <w:p w14:paraId="04BBBB86" w14:textId="77777777" w:rsidR="001F5B66" w:rsidRPr="003A0405" w:rsidRDefault="001F5B66" w:rsidP="001F5B66">
      <w:pPr>
        <w:pStyle w:val="ListParagraph"/>
        <w:numPr>
          <w:ilvl w:val="0"/>
          <w:numId w:val="2"/>
        </w:numPr>
        <w:rPr>
          <w:rFonts w:ascii="Arial" w:hAnsi="Arial" w:cs="Arial"/>
        </w:rPr>
      </w:pPr>
      <w:r w:rsidRPr="003A0405">
        <w:rPr>
          <w:rFonts w:ascii="Arial" w:hAnsi="Arial" w:cs="Arial"/>
        </w:rPr>
        <w:t xml:space="preserve">Relationship of the crime to the ability, capacity, and fitness required to perform duties and discharge responsibilities of the contract. </w:t>
      </w:r>
    </w:p>
    <w:p w14:paraId="04BBBB87" w14:textId="77777777"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If no direct relation exists, the contracting process may continue.  </w:t>
      </w:r>
    </w:p>
    <w:p w14:paraId="04BBBB88" w14:textId="2DAC7578"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If a direct relation exists, before disqualifying the individual, </w:t>
      </w:r>
      <w:r w:rsidR="007B30C6" w:rsidRPr="003A0405">
        <w:rPr>
          <w:rFonts w:ascii="Arial" w:hAnsi="Arial" w:cs="Arial"/>
        </w:rPr>
        <w:t>t</w:t>
      </w:r>
      <w:r w:rsidR="00243212" w:rsidRPr="003A0405">
        <w:rPr>
          <w:rFonts w:ascii="Arial" w:hAnsi="Arial" w:cs="Arial"/>
        </w:rPr>
        <w:t>he GCO</w:t>
      </w:r>
      <w:r w:rsidRPr="003A0405">
        <w:rPr>
          <w:rFonts w:ascii="Arial" w:hAnsi="Arial" w:cs="Arial"/>
        </w:rPr>
        <w:t xml:space="preserve"> may first evaluate the applicant or contractor’s evidence of rehabilitation and fitness to perform the duties by contacting the applicant or contractor and requesting he or she provide the following: </w:t>
      </w:r>
    </w:p>
    <w:p w14:paraId="04BBBB89" w14:textId="77777777" w:rsidR="001F5B66" w:rsidRPr="003A0405" w:rsidRDefault="001F5B66" w:rsidP="001F5B66">
      <w:pPr>
        <w:pStyle w:val="ListParagraph"/>
        <w:numPr>
          <w:ilvl w:val="0"/>
          <w:numId w:val="3"/>
        </w:numPr>
        <w:rPr>
          <w:rFonts w:ascii="Arial" w:hAnsi="Arial" w:cs="Arial"/>
        </w:rPr>
      </w:pPr>
      <w:r w:rsidRPr="003A0405">
        <w:rPr>
          <w:rFonts w:ascii="Arial" w:hAnsi="Arial" w:cs="Arial"/>
        </w:rPr>
        <w:t xml:space="preserve">A copy of the local, state, or federal release order; and </w:t>
      </w:r>
    </w:p>
    <w:p w14:paraId="04BBBB8A" w14:textId="77777777" w:rsidR="001F5B66" w:rsidRPr="003A0405" w:rsidRDefault="001F5B66" w:rsidP="001F5B66">
      <w:pPr>
        <w:pStyle w:val="ListParagraph"/>
        <w:numPr>
          <w:ilvl w:val="0"/>
          <w:numId w:val="3"/>
        </w:numPr>
        <w:rPr>
          <w:rFonts w:ascii="Arial" w:hAnsi="Arial" w:cs="Arial"/>
        </w:rPr>
      </w:pPr>
      <w:r w:rsidRPr="003A0405">
        <w:rPr>
          <w:rFonts w:ascii="Arial" w:hAnsi="Arial" w:cs="Arial"/>
        </w:rPr>
        <w:t>Evidence showing at least one (1) year has elapsed since release from any local, state, or federal correctional institution without subsequent conviction of a crime; and</w:t>
      </w:r>
    </w:p>
    <w:p w14:paraId="04BBBB8B" w14:textId="77777777" w:rsidR="001F5B66" w:rsidRPr="003A0405" w:rsidRDefault="001F5B66" w:rsidP="001F5B66">
      <w:pPr>
        <w:pStyle w:val="ListParagraph"/>
        <w:numPr>
          <w:ilvl w:val="0"/>
          <w:numId w:val="3"/>
        </w:numPr>
        <w:rPr>
          <w:rFonts w:ascii="Arial" w:hAnsi="Arial" w:cs="Arial"/>
        </w:rPr>
      </w:pPr>
      <w:r w:rsidRPr="003A0405">
        <w:rPr>
          <w:rFonts w:ascii="Arial" w:hAnsi="Arial" w:cs="Arial"/>
        </w:rPr>
        <w:t xml:space="preserve"> Evidence showing compliance with all terms and conditions of parole or probation; or </w:t>
      </w:r>
    </w:p>
    <w:p w14:paraId="04BBBB8C" w14:textId="77777777" w:rsidR="001F5B66" w:rsidRPr="003A0405" w:rsidRDefault="001F5B66" w:rsidP="001F5B66">
      <w:pPr>
        <w:pStyle w:val="ListParagraph"/>
        <w:numPr>
          <w:ilvl w:val="0"/>
          <w:numId w:val="3"/>
        </w:numPr>
        <w:rPr>
          <w:rFonts w:ascii="Arial" w:hAnsi="Arial" w:cs="Arial"/>
        </w:rPr>
      </w:pPr>
      <w:r w:rsidRPr="003A0405">
        <w:rPr>
          <w:rFonts w:ascii="Arial" w:hAnsi="Arial" w:cs="Arial"/>
        </w:rPr>
        <w:t xml:space="preserve">A copy of relevant Department of Correction’s discharge order or other documents showing completion of probation or parole supervision. </w:t>
      </w:r>
    </w:p>
    <w:p w14:paraId="04BBBB8D" w14:textId="4C2352C3" w:rsidR="001F5B66" w:rsidRPr="003A0405" w:rsidRDefault="005223CF" w:rsidP="00B23661">
      <w:pPr>
        <w:pStyle w:val="ListParagraph"/>
        <w:numPr>
          <w:ilvl w:val="0"/>
          <w:numId w:val="1"/>
        </w:numPr>
        <w:rPr>
          <w:rFonts w:ascii="Arial" w:hAnsi="Arial" w:cs="Arial"/>
        </w:rPr>
      </w:pPr>
      <w:r>
        <w:rPr>
          <w:rFonts w:ascii="Arial" w:hAnsi="Arial" w:cs="Arial"/>
        </w:rPr>
        <w:t>DD</w:t>
      </w:r>
      <w:r w:rsidR="001F5B66" w:rsidRPr="003A0405">
        <w:rPr>
          <w:rFonts w:ascii="Arial" w:hAnsi="Arial" w:cs="Arial"/>
        </w:rPr>
        <w:t>-ASU</w:t>
      </w:r>
      <w:r w:rsidR="00B23661" w:rsidRPr="003A0405">
        <w:rPr>
          <w:rFonts w:ascii="Arial" w:hAnsi="Arial" w:cs="Arial"/>
        </w:rPr>
        <w:t xml:space="preserve"> or </w:t>
      </w:r>
      <w:r>
        <w:rPr>
          <w:rFonts w:ascii="Arial" w:hAnsi="Arial" w:cs="Arial"/>
        </w:rPr>
        <w:t>DD</w:t>
      </w:r>
      <w:r w:rsidR="00B23661" w:rsidRPr="003A0405">
        <w:rPr>
          <w:rFonts w:ascii="Arial" w:hAnsi="Arial" w:cs="Arial"/>
        </w:rPr>
        <w:t>-WDU</w:t>
      </w:r>
      <w:r w:rsidR="001F5B66" w:rsidRPr="003A0405">
        <w:rPr>
          <w:rFonts w:ascii="Arial" w:hAnsi="Arial" w:cs="Arial"/>
        </w:rPr>
        <w:t xml:space="preserve"> shall consider the above information plus additional relevant information, including documentation presented by the applicant or contractor regarding the following:</w:t>
      </w:r>
    </w:p>
    <w:p w14:paraId="04BBBB8E" w14:textId="77777777" w:rsidR="001F5B66" w:rsidRPr="003A0405" w:rsidRDefault="001F5B66" w:rsidP="001F5B66">
      <w:pPr>
        <w:pStyle w:val="ListParagraph"/>
        <w:numPr>
          <w:ilvl w:val="0"/>
          <w:numId w:val="4"/>
        </w:numPr>
        <w:rPr>
          <w:rFonts w:ascii="Arial" w:hAnsi="Arial" w:cs="Arial"/>
        </w:rPr>
      </w:pPr>
      <w:r w:rsidRPr="003A0405">
        <w:rPr>
          <w:rFonts w:ascii="Arial" w:hAnsi="Arial" w:cs="Arial"/>
        </w:rPr>
        <w:t xml:space="preserve">The nature and seriousness of the crime or crimes for which convicted; </w:t>
      </w:r>
    </w:p>
    <w:p w14:paraId="04BBBB8F" w14:textId="77777777" w:rsidR="001F5B66" w:rsidRPr="003A0405" w:rsidRDefault="001F5B66" w:rsidP="001F5B66">
      <w:pPr>
        <w:pStyle w:val="ListParagraph"/>
        <w:numPr>
          <w:ilvl w:val="0"/>
          <w:numId w:val="4"/>
        </w:numPr>
        <w:rPr>
          <w:rFonts w:ascii="Arial" w:hAnsi="Arial" w:cs="Arial"/>
        </w:rPr>
      </w:pPr>
      <w:r w:rsidRPr="003A0405">
        <w:rPr>
          <w:rFonts w:ascii="Arial" w:hAnsi="Arial" w:cs="Arial"/>
        </w:rPr>
        <w:t xml:space="preserve">All circumstances relative to the crime or crimes including mitigating circumstances or social conditions surrounding commission of a crime or crimes; </w:t>
      </w:r>
    </w:p>
    <w:p w14:paraId="04BBBB90" w14:textId="77777777" w:rsidR="001F5B66" w:rsidRPr="003A0405" w:rsidRDefault="001F5B66" w:rsidP="001F5B66">
      <w:pPr>
        <w:pStyle w:val="ListParagraph"/>
        <w:numPr>
          <w:ilvl w:val="0"/>
          <w:numId w:val="4"/>
        </w:numPr>
        <w:rPr>
          <w:rFonts w:ascii="Arial" w:hAnsi="Arial" w:cs="Arial"/>
        </w:rPr>
      </w:pPr>
      <w:r w:rsidRPr="003A0405">
        <w:rPr>
          <w:rFonts w:ascii="Arial" w:hAnsi="Arial" w:cs="Arial"/>
        </w:rPr>
        <w:t xml:space="preserve">The age of the applicant at the time the crime or crimes was/were committed; </w:t>
      </w:r>
    </w:p>
    <w:p w14:paraId="04BBBB91" w14:textId="77777777" w:rsidR="001F5B66" w:rsidRPr="003A0405" w:rsidRDefault="001F5B66" w:rsidP="001F5B66">
      <w:pPr>
        <w:pStyle w:val="ListParagraph"/>
        <w:numPr>
          <w:ilvl w:val="0"/>
          <w:numId w:val="4"/>
        </w:numPr>
        <w:rPr>
          <w:rFonts w:ascii="Arial" w:hAnsi="Arial" w:cs="Arial"/>
        </w:rPr>
      </w:pPr>
      <w:r w:rsidRPr="003A0405">
        <w:rPr>
          <w:rFonts w:ascii="Arial" w:hAnsi="Arial" w:cs="Arial"/>
        </w:rPr>
        <w:t xml:space="preserve">The length of time elapsed since the crime or crimes were committed; and </w:t>
      </w:r>
    </w:p>
    <w:p w14:paraId="04BBBB92" w14:textId="77777777" w:rsidR="001F5B66" w:rsidRPr="003A0405" w:rsidRDefault="001F5B66" w:rsidP="001F5B66">
      <w:pPr>
        <w:pStyle w:val="ListParagraph"/>
        <w:numPr>
          <w:ilvl w:val="0"/>
          <w:numId w:val="4"/>
        </w:numPr>
        <w:rPr>
          <w:rFonts w:ascii="Arial" w:hAnsi="Arial" w:cs="Arial"/>
        </w:rPr>
      </w:pPr>
      <w:r w:rsidRPr="003A0405">
        <w:rPr>
          <w:rFonts w:ascii="Arial" w:hAnsi="Arial" w:cs="Arial"/>
        </w:rPr>
        <w:t xml:space="preserve">All other competent evidence of rehabilitation and present fitness including, but not limited to, letters of reference by persons who have been in contact with the applicant since the applicants release from local, state, or federal correctional institutions. </w:t>
      </w:r>
    </w:p>
    <w:p w14:paraId="04BBBB93" w14:textId="022AD856" w:rsidR="001F5B66" w:rsidRPr="003A0405" w:rsidRDefault="001F5B66" w:rsidP="001F5B66">
      <w:pPr>
        <w:pStyle w:val="ListParagraph"/>
        <w:numPr>
          <w:ilvl w:val="0"/>
          <w:numId w:val="1"/>
        </w:numPr>
        <w:rPr>
          <w:rFonts w:ascii="Arial" w:hAnsi="Arial" w:cs="Arial"/>
        </w:rPr>
      </w:pPr>
      <w:r w:rsidRPr="003A0405">
        <w:rPr>
          <w:rFonts w:ascii="Arial" w:hAnsi="Arial" w:cs="Arial"/>
        </w:rPr>
        <w:t xml:space="preserve">If </w:t>
      </w:r>
      <w:r w:rsidR="005223CF">
        <w:rPr>
          <w:rFonts w:ascii="Arial" w:hAnsi="Arial" w:cs="Arial"/>
        </w:rPr>
        <w:t>DD</w:t>
      </w:r>
      <w:r w:rsidRPr="003A0405">
        <w:rPr>
          <w:rFonts w:ascii="Arial" w:hAnsi="Arial" w:cs="Arial"/>
        </w:rPr>
        <w:t>-ASU</w:t>
      </w:r>
      <w:r w:rsidR="005D0E4D" w:rsidRPr="003A0405">
        <w:rPr>
          <w:rFonts w:ascii="Arial" w:hAnsi="Arial" w:cs="Arial"/>
        </w:rPr>
        <w:t xml:space="preserve"> or </w:t>
      </w:r>
      <w:r w:rsidR="005223CF">
        <w:rPr>
          <w:rFonts w:ascii="Arial" w:hAnsi="Arial" w:cs="Arial"/>
        </w:rPr>
        <w:t>DD</w:t>
      </w:r>
      <w:r w:rsidR="005D0E4D" w:rsidRPr="003A0405">
        <w:rPr>
          <w:rFonts w:ascii="Arial" w:hAnsi="Arial" w:cs="Arial"/>
        </w:rPr>
        <w:t>-WDU</w:t>
      </w:r>
      <w:r w:rsidRPr="003A0405">
        <w:rPr>
          <w:rFonts w:ascii="Arial" w:hAnsi="Arial" w:cs="Arial"/>
        </w:rPr>
        <w:t xml:space="preserve"> determines the </w:t>
      </w:r>
      <w:r w:rsidR="000459B6">
        <w:rPr>
          <w:rFonts w:ascii="Arial" w:hAnsi="Arial" w:cs="Arial"/>
        </w:rPr>
        <w:t xml:space="preserve">contract </w:t>
      </w:r>
      <w:r w:rsidRPr="003A0405">
        <w:rPr>
          <w:rFonts w:ascii="Arial" w:hAnsi="Arial" w:cs="Arial"/>
        </w:rPr>
        <w:t>applicant or contractor should be denied a contract solely or in part based on the individual’s prior criminal conviction, the SSB Director shall be consulted regarding the decision before it becomes final.</w:t>
      </w:r>
    </w:p>
    <w:p w14:paraId="04BBBB94" w14:textId="40BA1862" w:rsidR="001F5B66" w:rsidRPr="003A0405" w:rsidRDefault="001F5B66">
      <w:pPr>
        <w:pStyle w:val="ListParagraph"/>
        <w:numPr>
          <w:ilvl w:val="0"/>
          <w:numId w:val="1"/>
        </w:numPr>
        <w:rPr>
          <w:rFonts w:ascii="Arial" w:hAnsi="Arial" w:cs="Arial"/>
        </w:rPr>
      </w:pPr>
      <w:r w:rsidRPr="003A0405">
        <w:rPr>
          <w:rFonts w:ascii="Arial" w:hAnsi="Arial" w:cs="Arial"/>
        </w:rPr>
        <w:t xml:space="preserve">If a decision is reached to deny a contract solely or in part based on an applicant’s or contractor’s prior criminal conviction(s), </w:t>
      </w:r>
      <w:r w:rsidR="005223CF">
        <w:rPr>
          <w:rFonts w:ascii="Arial" w:hAnsi="Arial" w:cs="Arial"/>
        </w:rPr>
        <w:t>DD</w:t>
      </w:r>
      <w:r w:rsidRPr="003A0405">
        <w:rPr>
          <w:rFonts w:ascii="Arial" w:hAnsi="Arial" w:cs="Arial"/>
        </w:rPr>
        <w:t>-ASU</w:t>
      </w:r>
      <w:r w:rsidR="00C127EE" w:rsidRPr="003A0405">
        <w:rPr>
          <w:rFonts w:ascii="Arial" w:hAnsi="Arial" w:cs="Arial"/>
        </w:rPr>
        <w:t xml:space="preserve"> or </w:t>
      </w:r>
      <w:r w:rsidR="00F02239">
        <w:rPr>
          <w:rFonts w:ascii="Arial" w:hAnsi="Arial" w:cs="Arial"/>
        </w:rPr>
        <w:t>DD</w:t>
      </w:r>
      <w:r w:rsidR="00C127EE" w:rsidRPr="003A0405">
        <w:rPr>
          <w:rFonts w:ascii="Arial" w:hAnsi="Arial" w:cs="Arial"/>
        </w:rPr>
        <w:t>-WDU</w:t>
      </w:r>
      <w:r w:rsidRPr="003A0405">
        <w:rPr>
          <w:rFonts w:ascii="Arial" w:hAnsi="Arial" w:cs="Arial"/>
        </w:rPr>
        <w:t xml:space="preserve"> shall notify the </w:t>
      </w:r>
      <w:r w:rsidR="000459B6" w:rsidRPr="003A0405">
        <w:rPr>
          <w:rFonts w:ascii="Arial" w:hAnsi="Arial" w:cs="Arial"/>
        </w:rPr>
        <w:t xml:space="preserve">contract </w:t>
      </w:r>
      <w:r w:rsidRPr="003A0405">
        <w:rPr>
          <w:rFonts w:ascii="Arial" w:hAnsi="Arial" w:cs="Arial"/>
        </w:rPr>
        <w:t xml:space="preserve">applicant or contractor in writing of the following: </w:t>
      </w:r>
    </w:p>
    <w:p w14:paraId="04BBBB95" w14:textId="77777777" w:rsidR="001F5B66" w:rsidRPr="003A0405" w:rsidRDefault="001F5B66" w:rsidP="001F5B66">
      <w:pPr>
        <w:pStyle w:val="ListParagraph"/>
        <w:numPr>
          <w:ilvl w:val="0"/>
          <w:numId w:val="5"/>
        </w:numPr>
        <w:rPr>
          <w:rFonts w:ascii="Arial" w:hAnsi="Arial" w:cs="Arial"/>
        </w:rPr>
      </w:pPr>
      <w:r w:rsidRPr="003A0405">
        <w:rPr>
          <w:rFonts w:ascii="Arial" w:hAnsi="Arial" w:cs="Arial"/>
        </w:rPr>
        <w:t xml:space="preserve">The grounds and reasons for the denial or disqualification; </w:t>
      </w:r>
    </w:p>
    <w:p w14:paraId="04BBBB96" w14:textId="67EBA936" w:rsidR="001F5B66" w:rsidRPr="003A0405" w:rsidRDefault="001F5B66" w:rsidP="001F5B66">
      <w:pPr>
        <w:pStyle w:val="ListParagraph"/>
        <w:numPr>
          <w:ilvl w:val="0"/>
          <w:numId w:val="5"/>
        </w:numPr>
        <w:rPr>
          <w:rFonts w:ascii="Arial" w:hAnsi="Arial" w:cs="Arial"/>
        </w:rPr>
      </w:pPr>
      <w:r w:rsidRPr="003A0405">
        <w:rPr>
          <w:rFonts w:ascii="Arial" w:hAnsi="Arial" w:cs="Arial"/>
        </w:rPr>
        <w:t>The earliest date the</w:t>
      </w:r>
      <w:r w:rsidR="000459B6">
        <w:rPr>
          <w:rFonts w:ascii="Arial" w:hAnsi="Arial" w:cs="Arial"/>
        </w:rPr>
        <w:t xml:space="preserve"> contract</w:t>
      </w:r>
      <w:r w:rsidRPr="003A0405">
        <w:rPr>
          <w:rFonts w:ascii="Arial" w:hAnsi="Arial" w:cs="Arial"/>
        </w:rPr>
        <w:t xml:space="preserve"> applicant may reapply for a contract; </w:t>
      </w:r>
    </w:p>
    <w:p w14:paraId="04BBBB97" w14:textId="77777777" w:rsidR="001F5B66" w:rsidRPr="003A0405" w:rsidRDefault="001F5B66" w:rsidP="001F5B66">
      <w:pPr>
        <w:pStyle w:val="ListParagraph"/>
        <w:numPr>
          <w:ilvl w:val="0"/>
          <w:numId w:val="5"/>
        </w:numPr>
        <w:rPr>
          <w:rFonts w:ascii="Arial" w:hAnsi="Arial" w:cs="Arial"/>
        </w:rPr>
      </w:pPr>
      <w:r w:rsidRPr="003A0405">
        <w:rPr>
          <w:rFonts w:ascii="Arial" w:hAnsi="Arial" w:cs="Arial"/>
        </w:rPr>
        <w:lastRenderedPageBreak/>
        <w:t>That all competent evidence of rehabilitation presented will be considered upon re-application; and</w:t>
      </w:r>
    </w:p>
    <w:p w14:paraId="04BBBB98" w14:textId="77777777" w:rsidR="001F5B66" w:rsidRPr="003A0405" w:rsidRDefault="001F5B66" w:rsidP="001F5B66">
      <w:pPr>
        <w:pStyle w:val="ListParagraph"/>
        <w:numPr>
          <w:ilvl w:val="0"/>
          <w:numId w:val="5"/>
        </w:numPr>
        <w:rPr>
          <w:rFonts w:ascii="Arial" w:hAnsi="Arial" w:cs="Arial"/>
        </w:rPr>
      </w:pPr>
      <w:r w:rsidRPr="003A0405">
        <w:rPr>
          <w:rFonts w:ascii="Arial" w:hAnsi="Arial" w:cs="Arial"/>
        </w:rPr>
        <w:t>A prominent statement with instructions for requesting an appeal if the applicant or contractor disagrees with the disqualification determination.</w:t>
      </w:r>
    </w:p>
    <w:p w14:paraId="04BBBB99" w14:textId="77777777" w:rsidR="001F5B66" w:rsidRPr="003A0405" w:rsidRDefault="001F5B66" w:rsidP="001F5B66">
      <w:pPr>
        <w:pStyle w:val="ListParagraph"/>
        <w:numPr>
          <w:ilvl w:val="0"/>
          <w:numId w:val="1"/>
        </w:numPr>
        <w:rPr>
          <w:rFonts w:ascii="Arial" w:hAnsi="Arial" w:cs="Arial"/>
        </w:rPr>
      </w:pPr>
      <w:r w:rsidRPr="003A0405">
        <w:rPr>
          <w:rFonts w:ascii="Arial" w:hAnsi="Arial" w:cs="Arial"/>
        </w:rPr>
        <w:t>If an applicant or contractor appeals a disqualification determination:</w:t>
      </w:r>
    </w:p>
    <w:p w14:paraId="04BBBB9A" w14:textId="77777777" w:rsidR="001F5B66" w:rsidRPr="003A0405" w:rsidRDefault="001F5B66" w:rsidP="001F5B66">
      <w:pPr>
        <w:pStyle w:val="ListParagraph"/>
        <w:numPr>
          <w:ilvl w:val="1"/>
          <w:numId w:val="1"/>
        </w:numPr>
        <w:rPr>
          <w:rFonts w:ascii="Arial" w:hAnsi="Arial" w:cs="Arial"/>
        </w:rPr>
      </w:pPr>
      <w:r w:rsidRPr="003A0405">
        <w:rPr>
          <w:rFonts w:ascii="Arial" w:hAnsi="Arial" w:cs="Arial"/>
        </w:rPr>
        <w:t xml:space="preserve">The request for appeal must be submitted to the SSB Director, or his/her designee, within 20 calendar days of the date the disqualification determination was mailed or electronically transmitted.  </w:t>
      </w:r>
    </w:p>
    <w:p w14:paraId="04BBBB9B" w14:textId="3E4649D6" w:rsidR="001F5B66" w:rsidRPr="003A0405" w:rsidRDefault="001F5B66" w:rsidP="001F5B66">
      <w:pPr>
        <w:pStyle w:val="ListParagraph"/>
        <w:numPr>
          <w:ilvl w:val="1"/>
          <w:numId w:val="1"/>
        </w:numPr>
        <w:rPr>
          <w:rFonts w:ascii="Arial" w:hAnsi="Arial" w:cs="Arial"/>
        </w:rPr>
      </w:pPr>
      <w:r w:rsidRPr="003A0405">
        <w:rPr>
          <w:rFonts w:ascii="Arial" w:hAnsi="Arial" w:cs="Arial"/>
        </w:rPr>
        <w:t xml:space="preserve">The SSB Director, or his/her designee, must set a time and place for a hearing of  the appellant’s appeal, and send notice to the involved applicant or contractor, by mail or electronic transmission.  </w:t>
      </w:r>
    </w:p>
    <w:p w14:paraId="04BBBB9C" w14:textId="77777777" w:rsidR="001F5B66" w:rsidRPr="003A0405" w:rsidRDefault="001F5B66" w:rsidP="001F5B66">
      <w:pPr>
        <w:pStyle w:val="ListParagraph"/>
        <w:numPr>
          <w:ilvl w:val="1"/>
          <w:numId w:val="1"/>
        </w:numPr>
        <w:rPr>
          <w:rFonts w:ascii="Arial" w:hAnsi="Arial" w:cs="Arial"/>
        </w:rPr>
      </w:pPr>
      <w:r w:rsidRPr="003A0405">
        <w:rPr>
          <w:rFonts w:ascii="Arial" w:hAnsi="Arial" w:cs="Arial"/>
        </w:rPr>
        <w:t xml:space="preserve">The notice must set out the individual’s rights and responsibilities regarding the hearing, the issue to be heard, and explain the hearing process.  </w:t>
      </w:r>
    </w:p>
    <w:p w14:paraId="04BBBB9D" w14:textId="77777777" w:rsidR="001F5B66" w:rsidRPr="003A0405" w:rsidRDefault="001F5B66" w:rsidP="001F5B66">
      <w:pPr>
        <w:pStyle w:val="ListParagraph"/>
        <w:numPr>
          <w:ilvl w:val="1"/>
          <w:numId w:val="1"/>
        </w:numPr>
        <w:rPr>
          <w:rFonts w:ascii="Arial" w:hAnsi="Arial" w:cs="Arial"/>
        </w:rPr>
      </w:pPr>
      <w:r w:rsidRPr="003A0405">
        <w:rPr>
          <w:rFonts w:ascii="Arial" w:hAnsi="Arial" w:cs="Arial"/>
        </w:rPr>
        <w:t xml:space="preserve">Upon completion of the hearing, the applicant’s or contractor’s testimony and documents will be reviewed and evaluated; a decision will be made; and notice will be mailed or electronically transmitted to the applicant or contractor within 10 business days.  </w:t>
      </w:r>
    </w:p>
    <w:p w14:paraId="04BBBB9E" w14:textId="77777777" w:rsidR="001F5B66" w:rsidRPr="003A0405" w:rsidRDefault="001F5B66" w:rsidP="001F5B66">
      <w:pPr>
        <w:pStyle w:val="ListParagraph"/>
        <w:numPr>
          <w:ilvl w:val="1"/>
          <w:numId w:val="1"/>
        </w:numPr>
        <w:rPr>
          <w:rFonts w:ascii="Arial" w:hAnsi="Arial" w:cs="Arial"/>
        </w:rPr>
      </w:pPr>
      <w:r w:rsidRPr="003A0405">
        <w:rPr>
          <w:rFonts w:ascii="Arial" w:hAnsi="Arial" w:cs="Arial"/>
        </w:rPr>
        <w:t>The decision will be final.</w:t>
      </w:r>
    </w:p>
    <w:p w14:paraId="04BBBBD2" w14:textId="68F31639" w:rsidR="00171667" w:rsidRPr="002E79F4" w:rsidRDefault="00F02239" w:rsidP="002E79F4">
      <w:pPr>
        <w:pStyle w:val="ListParagraph"/>
        <w:numPr>
          <w:ilvl w:val="0"/>
          <w:numId w:val="1"/>
        </w:numPr>
        <w:rPr>
          <w:rFonts w:ascii="Arial" w:hAnsi="Arial" w:cs="Arial"/>
          <w:sz w:val="20"/>
        </w:rPr>
      </w:pPr>
      <w:r>
        <w:rPr>
          <w:rFonts w:ascii="Arial" w:hAnsi="Arial" w:cs="Arial"/>
        </w:rPr>
        <w:t>DD</w:t>
      </w:r>
      <w:r w:rsidR="001F5B66" w:rsidRPr="003A0405">
        <w:rPr>
          <w:rFonts w:ascii="Arial" w:hAnsi="Arial" w:cs="Arial"/>
        </w:rPr>
        <w:t xml:space="preserve">-ASU </w:t>
      </w:r>
      <w:r w:rsidR="0093266C" w:rsidRPr="003A0405">
        <w:rPr>
          <w:rFonts w:ascii="Arial" w:hAnsi="Arial" w:cs="Arial"/>
        </w:rPr>
        <w:t xml:space="preserve">or </w:t>
      </w:r>
      <w:r>
        <w:rPr>
          <w:rFonts w:ascii="Arial" w:hAnsi="Arial" w:cs="Arial"/>
        </w:rPr>
        <w:t>DD</w:t>
      </w:r>
      <w:r w:rsidR="0093266C" w:rsidRPr="003A0405">
        <w:rPr>
          <w:rFonts w:ascii="Arial" w:hAnsi="Arial" w:cs="Arial"/>
        </w:rPr>
        <w:t xml:space="preserve">-WDU </w:t>
      </w:r>
      <w:r w:rsidR="001F5B66" w:rsidRPr="003A0405">
        <w:rPr>
          <w:rFonts w:ascii="Arial" w:hAnsi="Arial" w:cs="Arial"/>
        </w:rPr>
        <w:t xml:space="preserve">will securely maintain the records of all criminal background checks and the records of any </w:t>
      </w:r>
      <w:r w:rsidR="000459B6">
        <w:rPr>
          <w:rFonts w:ascii="Arial" w:hAnsi="Arial" w:cs="Arial"/>
        </w:rPr>
        <w:t xml:space="preserve">contract </w:t>
      </w:r>
      <w:r w:rsidR="001F5B66" w:rsidRPr="003A0405">
        <w:rPr>
          <w:rFonts w:ascii="Arial" w:hAnsi="Arial" w:cs="Arial"/>
        </w:rPr>
        <w:t>applicant or contractor denied a contract because of his/her criminal convictions.</w:t>
      </w:r>
    </w:p>
    <w:sectPr w:rsidR="00171667" w:rsidRPr="002E79F4" w:rsidSect="0021793F">
      <w:headerReference w:type="default" r:id="rId11"/>
      <w:footnotePr>
        <w:numFmt w:val="lowerLetter"/>
      </w:footnotePr>
      <w:endnotePr>
        <w:numFmt w:val="lowerLetter"/>
      </w:endnotePr>
      <w:pgSz w:w="12240" w:h="15840"/>
      <w:pgMar w:top="720" w:right="720" w:bottom="720" w:left="720" w:header="360" w:footer="3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1EF95" w14:textId="77777777" w:rsidR="007D1F73" w:rsidRDefault="007D1F73">
      <w:r>
        <w:separator/>
      </w:r>
    </w:p>
  </w:endnote>
  <w:endnote w:type="continuationSeparator" w:id="0">
    <w:p w14:paraId="32B6FFCB" w14:textId="77777777" w:rsidR="007D1F73" w:rsidRDefault="007D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C1606" w14:textId="77777777" w:rsidR="007D1F73" w:rsidRDefault="007D1F73">
      <w:r>
        <w:separator/>
      </w:r>
    </w:p>
  </w:footnote>
  <w:footnote w:type="continuationSeparator" w:id="0">
    <w:p w14:paraId="082AF3BE" w14:textId="77777777" w:rsidR="007D1F73" w:rsidRDefault="007D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BBD7" w14:textId="77777777" w:rsidR="008F66B7" w:rsidRDefault="008F66B7">
    <w:pPr>
      <w:pStyle w:val="Header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F1E33"/>
    <w:multiLevelType w:val="hybridMultilevel"/>
    <w:tmpl w:val="9926C438"/>
    <w:lvl w:ilvl="0" w:tplc="D37A69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7357D4"/>
    <w:multiLevelType w:val="hybridMultilevel"/>
    <w:tmpl w:val="93CC6BFA"/>
    <w:lvl w:ilvl="0" w:tplc="136C5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104320"/>
    <w:multiLevelType w:val="hybridMultilevel"/>
    <w:tmpl w:val="0E5088B2"/>
    <w:lvl w:ilvl="0" w:tplc="2ADC8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ED583D"/>
    <w:multiLevelType w:val="hybridMultilevel"/>
    <w:tmpl w:val="AA6EE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B800AB"/>
    <w:multiLevelType w:val="hybridMultilevel"/>
    <w:tmpl w:val="CC601170"/>
    <w:lvl w:ilvl="0" w:tplc="6884236E">
      <w:start w:val="1"/>
      <w:numFmt w:val="upperLetter"/>
      <w:lvlText w:val="%1."/>
      <w:lvlJc w:val="left"/>
      <w:pPr>
        <w:ind w:left="720" w:hanging="360"/>
      </w:pPr>
      <w:rPr>
        <w:rFonts w:hint="default"/>
        <w:b w:val="0"/>
        <w:bCs w:val="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F82C46"/>
    <w:multiLevelType w:val="hybridMultilevel"/>
    <w:tmpl w:val="D4DEC6B6"/>
    <w:lvl w:ilvl="0" w:tplc="33B2A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142194">
    <w:abstractNumId w:val="3"/>
  </w:num>
  <w:num w:numId="2" w16cid:durableId="525679293">
    <w:abstractNumId w:val="1"/>
  </w:num>
  <w:num w:numId="3" w16cid:durableId="1328829881">
    <w:abstractNumId w:val="2"/>
  </w:num>
  <w:num w:numId="4" w16cid:durableId="1641837440">
    <w:abstractNumId w:val="5"/>
  </w:num>
  <w:num w:numId="5" w16cid:durableId="1529024637">
    <w:abstractNumId w:val="0"/>
  </w:num>
  <w:num w:numId="6" w16cid:durableId="165957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667"/>
    <w:rsid w:val="0000181F"/>
    <w:rsid w:val="00003E8C"/>
    <w:rsid w:val="000459B6"/>
    <w:rsid w:val="00083109"/>
    <w:rsid w:val="000C081B"/>
    <w:rsid w:val="000D232F"/>
    <w:rsid w:val="000E4DE5"/>
    <w:rsid w:val="000E5117"/>
    <w:rsid w:val="00171667"/>
    <w:rsid w:val="001920F1"/>
    <w:rsid w:val="001A6A8B"/>
    <w:rsid w:val="001D6A98"/>
    <w:rsid w:val="001F5B66"/>
    <w:rsid w:val="00231623"/>
    <w:rsid w:val="00243212"/>
    <w:rsid w:val="00272DE9"/>
    <w:rsid w:val="0027681D"/>
    <w:rsid w:val="002B2321"/>
    <w:rsid w:val="002B7749"/>
    <w:rsid w:val="002E0200"/>
    <w:rsid w:val="002E79F4"/>
    <w:rsid w:val="003036E9"/>
    <w:rsid w:val="00306E59"/>
    <w:rsid w:val="003075F8"/>
    <w:rsid w:val="00374E1B"/>
    <w:rsid w:val="003906B9"/>
    <w:rsid w:val="00392C4D"/>
    <w:rsid w:val="003A0405"/>
    <w:rsid w:val="003A6221"/>
    <w:rsid w:val="003C141C"/>
    <w:rsid w:val="003D0B5F"/>
    <w:rsid w:val="003E7BE9"/>
    <w:rsid w:val="00427A89"/>
    <w:rsid w:val="00453EB2"/>
    <w:rsid w:val="004A6F63"/>
    <w:rsid w:val="004B6F47"/>
    <w:rsid w:val="0051138A"/>
    <w:rsid w:val="005223CF"/>
    <w:rsid w:val="005D0E4D"/>
    <w:rsid w:val="005D5BF9"/>
    <w:rsid w:val="005D5F17"/>
    <w:rsid w:val="0066162E"/>
    <w:rsid w:val="00682FF7"/>
    <w:rsid w:val="006A596A"/>
    <w:rsid w:val="006E2285"/>
    <w:rsid w:val="006E3EF1"/>
    <w:rsid w:val="00736129"/>
    <w:rsid w:val="00781130"/>
    <w:rsid w:val="007B30C6"/>
    <w:rsid w:val="007D1F73"/>
    <w:rsid w:val="007F7F2C"/>
    <w:rsid w:val="00813AF7"/>
    <w:rsid w:val="00873FF2"/>
    <w:rsid w:val="008B322E"/>
    <w:rsid w:val="008B3BE1"/>
    <w:rsid w:val="008B715F"/>
    <w:rsid w:val="008F66B7"/>
    <w:rsid w:val="009048F5"/>
    <w:rsid w:val="00907040"/>
    <w:rsid w:val="00925A6F"/>
    <w:rsid w:val="0093266C"/>
    <w:rsid w:val="00946106"/>
    <w:rsid w:val="00977ED7"/>
    <w:rsid w:val="00987E3C"/>
    <w:rsid w:val="009A11EC"/>
    <w:rsid w:val="009A2016"/>
    <w:rsid w:val="009A6518"/>
    <w:rsid w:val="009A7F0A"/>
    <w:rsid w:val="009B4E91"/>
    <w:rsid w:val="009C5DAD"/>
    <w:rsid w:val="009E4B5F"/>
    <w:rsid w:val="00A00300"/>
    <w:rsid w:val="00A1309A"/>
    <w:rsid w:val="00A427D0"/>
    <w:rsid w:val="00A464B3"/>
    <w:rsid w:val="00A52267"/>
    <w:rsid w:val="00AC2C90"/>
    <w:rsid w:val="00AD3C47"/>
    <w:rsid w:val="00B23661"/>
    <w:rsid w:val="00B2758F"/>
    <w:rsid w:val="00B301C5"/>
    <w:rsid w:val="00B54A04"/>
    <w:rsid w:val="00B85C70"/>
    <w:rsid w:val="00B909A0"/>
    <w:rsid w:val="00BD5351"/>
    <w:rsid w:val="00C02DEE"/>
    <w:rsid w:val="00C127EE"/>
    <w:rsid w:val="00C33441"/>
    <w:rsid w:val="00C82CED"/>
    <w:rsid w:val="00CD1C38"/>
    <w:rsid w:val="00D14EE5"/>
    <w:rsid w:val="00D51F6A"/>
    <w:rsid w:val="00D62EB6"/>
    <w:rsid w:val="00D6421C"/>
    <w:rsid w:val="00D85379"/>
    <w:rsid w:val="00DA4C91"/>
    <w:rsid w:val="00DC471C"/>
    <w:rsid w:val="00DF11C6"/>
    <w:rsid w:val="00E37244"/>
    <w:rsid w:val="00E47DC4"/>
    <w:rsid w:val="00EB37CE"/>
    <w:rsid w:val="00EB4D94"/>
    <w:rsid w:val="00EC00E7"/>
    <w:rsid w:val="00EC4CFC"/>
    <w:rsid w:val="00EE099A"/>
    <w:rsid w:val="00F008F1"/>
    <w:rsid w:val="00F02239"/>
    <w:rsid w:val="00F055B9"/>
    <w:rsid w:val="00F056EF"/>
    <w:rsid w:val="00F34E25"/>
    <w:rsid w:val="00F5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BB6F"/>
  <w15:chartTrackingRefBased/>
  <w15:docId w15:val="{20F77020-0634-46C4-838E-D394C2EB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66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F5B6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37CE"/>
    <w:pPr>
      <w:keepNext/>
      <w:keepLines/>
      <w:spacing w:before="40"/>
      <w:outlineLvl w:val="1"/>
    </w:pPr>
    <w:rPr>
      <w:rFonts w:asciiTheme="minorHAnsi" w:eastAsiaTheme="majorEastAsia" w:hAnsiTheme="minorHAnsi"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171667"/>
    <w:pPr>
      <w:tabs>
        <w:tab w:val="left" w:pos="0"/>
        <w:tab w:val="center" w:pos="4320"/>
        <w:tab w:val="right" w:pos="8640"/>
      </w:tabs>
      <w:jc w:val="both"/>
    </w:pPr>
  </w:style>
  <w:style w:type="paragraph" w:styleId="Title">
    <w:name w:val="Title"/>
    <w:basedOn w:val="Normal"/>
    <w:next w:val="Normal"/>
    <w:link w:val="TitleChar"/>
    <w:uiPriority w:val="10"/>
    <w:qFormat/>
    <w:rsid w:val="00AC2C9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C9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B37CE"/>
    <w:rPr>
      <w:rFonts w:eastAsiaTheme="majorEastAsia" w:cstheme="majorBidi"/>
      <w:b/>
      <w:sz w:val="24"/>
      <w:szCs w:val="26"/>
    </w:rPr>
  </w:style>
  <w:style w:type="table" w:styleId="TableGrid">
    <w:name w:val="Table Grid"/>
    <w:basedOn w:val="TableNormal"/>
    <w:uiPriority w:val="39"/>
    <w:rsid w:val="00EB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5B6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F5B66"/>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F5B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F5B66"/>
  </w:style>
  <w:style w:type="character" w:styleId="Hyperlink">
    <w:name w:val="Hyperlink"/>
    <w:basedOn w:val="DefaultParagraphFont"/>
    <w:uiPriority w:val="99"/>
    <w:unhideWhenUsed/>
    <w:rsid w:val="00736129"/>
    <w:rPr>
      <w:color w:val="0563C1" w:themeColor="hyperlink"/>
      <w:u w:val="single"/>
    </w:rPr>
  </w:style>
  <w:style w:type="character" w:styleId="UnresolvedMention">
    <w:name w:val="Unresolved Mention"/>
    <w:basedOn w:val="DefaultParagraphFont"/>
    <w:uiPriority w:val="99"/>
    <w:semiHidden/>
    <w:unhideWhenUsed/>
    <w:rsid w:val="00736129"/>
    <w:rPr>
      <w:color w:val="605E5C"/>
      <w:shd w:val="clear" w:color="auto" w:fill="E1DFDD"/>
    </w:rPr>
  </w:style>
  <w:style w:type="character" w:styleId="CommentReference">
    <w:name w:val="annotation reference"/>
    <w:basedOn w:val="DefaultParagraphFont"/>
    <w:uiPriority w:val="99"/>
    <w:semiHidden/>
    <w:unhideWhenUsed/>
    <w:rsid w:val="000459B6"/>
    <w:rPr>
      <w:sz w:val="16"/>
      <w:szCs w:val="16"/>
    </w:rPr>
  </w:style>
  <w:style w:type="paragraph" w:styleId="CommentText">
    <w:name w:val="annotation text"/>
    <w:basedOn w:val="Normal"/>
    <w:link w:val="CommentTextChar"/>
    <w:uiPriority w:val="99"/>
    <w:semiHidden/>
    <w:unhideWhenUsed/>
    <w:rsid w:val="000459B6"/>
    <w:rPr>
      <w:sz w:val="20"/>
    </w:rPr>
  </w:style>
  <w:style w:type="character" w:customStyle="1" w:styleId="CommentTextChar">
    <w:name w:val="Comment Text Char"/>
    <w:basedOn w:val="DefaultParagraphFont"/>
    <w:link w:val="CommentText"/>
    <w:uiPriority w:val="99"/>
    <w:semiHidden/>
    <w:rsid w:val="000459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59B6"/>
    <w:rPr>
      <w:b/>
      <w:bCs/>
    </w:rPr>
  </w:style>
  <w:style w:type="character" w:customStyle="1" w:styleId="CommentSubjectChar">
    <w:name w:val="Comment Subject Char"/>
    <w:basedOn w:val="CommentTextChar"/>
    <w:link w:val="CommentSubject"/>
    <w:uiPriority w:val="99"/>
    <w:semiHidden/>
    <w:rsid w:val="000459B6"/>
    <w:rPr>
      <w:rFonts w:ascii="Times New Roman" w:eastAsia="Times New Roman" w:hAnsi="Times New Roman" w:cs="Times New Roman"/>
      <w:b/>
      <w:bCs/>
      <w:sz w:val="20"/>
      <w:szCs w:val="20"/>
    </w:rPr>
  </w:style>
  <w:style w:type="paragraph" w:styleId="Revision">
    <w:name w:val="Revision"/>
    <w:hidden/>
    <w:uiPriority w:val="99"/>
    <w:semiHidden/>
    <w:rsid w:val="008F66B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sbcontracts.deed@state.mn.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B55AC691B3549A2966E3434B85D89" ma:contentTypeVersion="4" ma:contentTypeDescription="Create a new document." ma:contentTypeScope="" ma:versionID="8380d1637222247796e39423f27ea834">
  <xsd:schema xmlns:xsd="http://www.w3.org/2001/XMLSchema" xmlns:xs="http://www.w3.org/2001/XMLSchema" xmlns:p="http://schemas.microsoft.com/office/2006/metadata/properties" xmlns:ns2="b8dd7d3c-21dc-43d8-bd59-dffe0ef2cc2b" targetNamespace="http://schemas.microsoft.com/office/2006/metadata/properties" ma:root="true" ma:fieldsID="e59d9676cb5dd5b017eb9aad4d59fbd6" ns2:_="">
    <xsd:import namespace="b8dd7d3c-21dc-43d8-bd59-dffe0ef2c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d7d3c-21dc-43d8-bd59-dffe0ef2c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192D2-775F-4F37-BEF6-DC24E56BB83A}">
  <ds:schemaRefs>
    <ds:schemaRef ds:uri="http://schemas.microsoft.com/office/2006/metadata/properties"/>
    <ds:schemaRef ds:uri="http://schemas.microsoft.com/office/infopath/2007/PartnerControls"/>
    <ds:schemaRef ds:uri="a7f39495-7733-4d79-8cd5-cf13c81def1f"/>
  </ds:schemaRefs>
</ds:datastoreItem>
</file>

<file path=customXml/itemProps2.xml><?xml version="1.0" encoding="utf-8"?>
<ds:datastoreItem xmlns:ds="http://schemas.openxmlformats.org/officeDocument/2006/customXml" ds:itemID="{CD629B12-F2CC-4150-A880-062DB7789FC7}">
  <ds:schemaRefs>
    <ds:schemaRef ds:uri="http://schemas.microsoft.com/sharepoint/v3/contenttype/forms"/>
  </ds:schemaRefs>
</ds:datastoreItem>
</file>

<file path=customXml/itemProps3.xml><?xml version="1.0" encoding="utf-8"?>
<ds:datastoreItem xmlns:ds="http://schemas.openxmlformats.org/officeDocument/2006/customXml" ds:itemID="{A65041AD-778E-4691-8DAA-63A9A7971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d7d3c-21dc-43d8-bd59-dffe0ef2c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Background Check with Policy</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Check with Policy</dc:title>
  <dc:subject/>
  <dc:creator>Kusz, Susan (DEED)</dc:creator>
  <cp:keywords/>
  <dc:description/>
  <cp:lastModifiedBy>Kusz, Susan (She/Her/Hers) (DEED)</cp:lastModifiedBy>
  <cp:revision>2</cp:revision>
  <dcterms:created xsi:type="dcterms:W3CDTF">2024-04-30T17:57:00Z</dcterms:created>
  <dcterms:modified xsi:type="dcterms:W3CDTF">2024-04-30T17:57:00Z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0x010100649B55AC691B3549A2966E3434B85D89</vt:lpwstr>
  </property>
</Properties>
</file>