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0" w:type="dxa"/>
        <w:tblInd w:w="-162" w:type="dxa"/>
        <w:tblLayout w:type="fixed"/>
        <w:tblLook w:val="0000" w:firstRow="0" w:lastRow="0" w:firstColumn="0" w:lastColumn="0" w:noHBand="0" w:noVBand="0"/>
      </w:tblPr>
      <w:tblGrid>
        <w:gridCol w:w="2880"/>
        <w:gridCol w:w="270"/>
        <w:gridCol w:w="4950"/>
        <w:gridCol w:w="270"/>
        <w:gridCol w:w="2970"/>
      </w:tblGrid>
      <w:tr w:rsidR="001405EA" w:rsidRPr="00FF15A5" w14:paraId="417FD32F" w14:textId="77777777" w:rsidTr="00F87BCB">
        <w:trPr>
          <w:trHeight w:val="1189"/>
        </w:trPr>
        <w:tc>
          <w:tcPr>
            <w:tcW w:w="2880" w:type="dxa"/>
            <w:vAlign w:val="bottom"/>
          </w:tcPr>
          <w:p w14:paraId="02AA8B6D" w14:textId="4886DDCD" w:rsidR="005B11BA" w:rsidRPr="00FF15A5" w:rsidRDefault="00612D11" w:rsidP="005B11BA">
            <w:pPr>
              <w:spacing w:after="20"/>
              <w:jc w:val="center"/>
              <w:rPr>
                <w:rFonts w:asciiTheme="minorHAnsi" w:hAnsiTheme="minorHAnsi" w:cstheme="minorHAnsi"/>
                <w:caps/>
                <w:w w:val="115"/>
                <w:sz w:val="16"/>
              </w:rPr>
            </w:pPr>
            <w:r w:rsidRPr="00FF15A5">
              <w:rPr>
                <w:rFonts w:asciiTheme="minorHAnsi" w:hAnsiTheme="minorHAnsi" w:cstheme="minorHAnsi"/>
                <w:caps/>
                <w:w w:val="115"/>
                <w:sz w:val="16"/>
                <w:szCs w:val="16"/>
              </w:rPr>
              <w:t xml:space="preserve"> </w:t>
            </w:r>
            <w:r w:rsidR="00462692" w:rsidRPr="00FF15A5">
              <w:rPr>
                <w:rFonts w:asciiTheme="minorHAnsi" w:hAnsiTheme="minorHAnsi" w:cstheme="minorHAnsi"/>
                <w:caps/>
                <w:w w:val="115"/>
                <w:sz w:val="16"/>
                <w:szCs w:val="16"/>
              </w:rPr>
              <w:t>Gretchen Whitme</w:t>
            </w:r>
            <w:r w:rsidR="00462692" w:rsidRPr="00FF15A5">
              <w:rPr>
                <w:rFonts w:asciiTheme="minorHAnsi" w:hAnsiTheme="minorHAnsi" w:cstheme="minorHAnsi"/>
                <w:caps/>
                <w:noProof/>
                <w:sz w:val="16"/>
              </w:rPr>
              <w:t>r</w:t>
            </w:r>
          </w:p>
          <w:p w14:paraId="63B37C62" w14:textId="77777777" w:rsidR="001405EA" w:rsidRPr="00FF15A5" w:rsidRDefault="001405EA">
            <w:pPr>
              <w:jc w:val="center"/>
              <w:rPr>
                <w:rFonts w:asciiTheme="minorHAnsi" w:hAnsiTheme="minorHAnsi" w:cstheme="minorHAnsi"/>
                <w:caps/>
                <w:w w:val="115"/>
                <w:sz w:val="16"/>
              </w:rPr>
            </w:pPr>
            <w:r w:rsidRPr="00FF15A5">
              <w:rPr>
                <w:rFonts w:asciiTheme="minorHAnsi" w:hAnsiTheme="minorHAnsi" w:cstheme="minorHAnsi"/>
                <w:smallCaps/>
                <w:w w:val="115"/>
                <w:sz w:val="16"/>
              </w:rPr>
              <w:t>governor</w:t>
            </w:r>
          </w:p>
        </w:tc>
        <w:tc>
          <w:tcPr>
            <w:tcW w:w="270" w:type="dxa"/>
            <w:vAlign w:val="bottom"/>
          </w:tcPr>
          <w:p w14:paraId="77B7A6C0" w14:textId="77777777" w:rsidR="001405EA" w:rsidRPr="00FF15A5" w:rsidRDefault="001405EA">
            <w:pPr>
              <w:jc w:val="center"/>
              <w:rPr>
                <w:rFonts w:asciiTheme="minorHAnsi" w:hAnsiTheme="minorHAnsi" w:cstheme="minorHAnsi"/>
                <w:smallCaps/>
                <w:sz w:val="14"/>
              </w:rPr>
            </w:pPr>
          </w:p>
        </w:tc>
        <w:tc>
          <w:tcPr>
            <w:tcW w:w="4950" w:type="dxa"/>
            <w:vAlign w:val="bottom"/>
          </w:tcPr>
          <w:p w14:paraId="5B84FADA" w14:textId="33745BD3" w:rsidR="001405EA" w:rsidRPr="00FF15A5" w:rsidRDefault="001A1BB1">
            <w:pPr>
              <w:tabs>
                <w:tab w:val="center" w:pos="3852"/>
              </w:tabs>
              <w:spacing w:after="40"/>
              <w:jc w:val="center"/>
              <w:rPr>
                <w:rFonts w:asciiTheme="minorHAnsi" w:hAnsiTheme="minorHAnsi" w:cstheme="minorHAnsi"/>
                <w:smallCaps/>
                <w:w w:val="115"/>
                <w:kern w:val="36"/>
                <w:sz w:val="20"/>
              </w:rPr>
            </w:pPr>
            <w:r w:rsidRPr="00FF15A5">
              <w:rPr>
                <w:rFonts w:asciiTheme="minorHAnsi" w:hAnsiTheme="minorHAnsi" w:cstheme="minorHAnsi"/>
                <w:smallCaps/>
                <w:noProof/>
                <w:w w:val="115"/>
                <w:kern w:val="36"/>
                <w:sz w:val="20"/>
              </w:rPr>
              <w:drawing>
                <wp:inline distT="0" distB="0" distL="0" distR="0" wp14:anchorId="503B49E6" wp14:editId="2EFF5FC8">
                  <wp:extent cx="577850" cy="635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850" cy="635000"/>
                          </a:xfrm>
                          <a:prstGeom prst="rect">
                            <a:avLst/>
                          </a:prstGeom>
                          <a:noFill/>
                          <a:ln>
                            <a:noFill/>
                          </a:ln>
                        </pic:spPr>
                      </pic:pic>
                    </a:graphicData>
                  </a:graphic>
                </wp:inline>
              </w:drawing>
            </w:r>
          </w:p>
          <w:p w14:paraId="179854A4" w14:textId="1B862928" w:rsidR="001405EA" w:rsidRPr="00FF15A5" w:rsidRDefault="001405EA">
            <w:pPr>
              <w:tabs>
                <w:tab w:val="center" w:pos="3852"/>
              </w:tabs>
              <w:spacing w:after="40"/>
              <w:jc w:val="center"/>
              <w:rPr>
                <w:rFonts w:asciiTheme="minorHAnsi" w:hAnsiTheme="minorHAnsi" w:cstheme="minorHAnsi"/>
                <w:smallCaps/>
                <w:w w:val="115"/>
                <w:kern w:val="36"/>
                <w:sz w:val="20"/>
              </w:rPr>
            </w:pPr>
            <w:r w:rsidRPr="00FF15A5">
              <w:rPr>
                <w:rFonts w:asciiTheme="minorHAnsi" w:hAnsiTheme="minorHAnsi" w:cstheme="minorHAnsi"/>
                <w:smallCaps/>
                <w:w w:val="115"/>
                <w:kern w:val="36"/>
                <w:sz w:val="20"/>
              </w:rPr>
              <w:t xml:space="preserve">State of </w:t>
            </w:r>
            <w:smartTag w:uri="urn:schemas-microsoft-com:office:smarttags" w:element="State">
              <w:smartTag w:uri="urn:schemas-microsoft-com:office:smarttags" w:element="place">
                <w:r w:rsidRPr="00FF15A5">
                  <w:rPr>
                    <w:rFonts w:asciiTheme="minorHAnsi" w:hAnsiTheme="minorHAnsi" w:cstheme="minorHAnsi"/>
                    <w:smallCaps/>
                    <w:w w:val="115"/>
                    <w:kern w:val="36"/>
                    <w:sz w:val="20"/>
                  </w:rPr>
                  <w:t>Michigan</w:t>
                </w:r>
              </w:smartTag>
            </w:smartTag>
          </w:p>
          <w:p w14:paraId="49F3CA14" w14:textId="77777777" w:rsidR="001405EA" w:rsidRPr="00FF15A5" w:rsidRDefault="001405EA">
            <w:pPr>
              <w:tabs>
                <w:tab w:val="center" w:pos="3852"/>
              </w:tabs>
              <w:spacing w:after="20"/>
              <w:jc w:val="center"/>
              <w:rPr>
                <w:rFonts w:asciiTheme="minorHAnsi" w:hAnsiTheme="minorHAnsi" w:cstheme="minorHAnsi"/>
                <w:caps/>
                <w:w w:val="115"/>
                <w:kern w:val="36"/>
                <w:sz w:val="20"/>
              </w:rPr>
            </w:pPr>
            <w:r w:rsidRPr="00FF15A5">
              <w:rPr>
                <w:rFonts w:asciiTheme="minorHAnsi" w:hAnsiTheme="minorHAnsi" w:cstheme="minorHAnsi"/>
                <w:caps/>
                <w:w w:val="115"/>
                <w:kern w:val="36"/>
                <w:sz w:val="20"/>
              </w:rPr>
              <w:t>department of treasury</w:t>
            </w:r>
          </w:p>
          <w:p w14:paraId="289C4B71" w14:textId="77777777" w:rsidR="001405EA" w:rsidRPr="00FF15A5" w:rsidRDefault="00B6311C">
            <w:pPr>
              <w:tabs>
                <w:tab w:val="center" w:pos="3852"/>
              </w:tabs>
              <w:jc w:val="center"/>
              <w:rPr>
                <w:rFonts w:asciiTheme="minorHAnsi" w:hAnsiTheme="minorHAnsi" w:cstheme="minorHAnsi"/>
                <w:caps/>
                <w:w w:val="115"/>
                <w:kern w:val="36"/>
                <w:sz w:val="20"/>
              </w:rPr>
            </w:pPr>
            <w:r w:rsidRPr="00FF15A5">
              <w:rPr>
                <w:rFonts w:asciiTheme="minorHAnsi" w:hAnsiTheme="minorHAnsi" w:cstheme="minorHAnsi"/>
                <w:smallCaps/>
                <w:w w:val="115"/>
                <w:kern w:val="36"/>
                <w:sz w:val="20"/>
              </w:rPr>
              <w:t>Lansing</w:t>
            </w:r>
          </w:p>
        </w:tc>
        <w:tc>
          <w:tcPr>
            <w:tcW w:w="270" w:type="dxa"/>
            <w:vAlign w:val="bottom"/>
          </w:tcPr>
          <w:p w14:paraId="0F06F04A" w14:textId="77777777" w:rsidR="001405EA" w:rsidRPr="00FF15A5" w:rsidRDefault="001405EA">
            <w:pPr>
              <w:rPr>
                <w:rFonts w:asciiTheme="minorHAnsi" w:hAnsiTheme="minorHAnsi" w:cstheme="minorHAnsi"/>
                <w:caps/>
                <w:w w:val="115"/>
                <w:sz w:val="16"/>
              </w:rPr>
            </w:pPr>
          </w:p>
        </w:tc>
        <w:tc>
          <w:tcPr>
            <w:tcW w:w="2970" w:type="dxa"/>
            <w:vAlign w:val="bottom"/>
          </w:tcPr>
          <w:p w14:paraId="183D103E" w14:textId="77777777" w:rsidR="00CF497C" w:rsidRPr="00FF15A5" w:rsidRDefault="00CF497C" w:rsidP="00CF497C">
            <w:pPr>
              <w:spacing w:after="20"/>
              <w:jc w:val="center"/>
              <w:rPr>
                <w:rFonts w:asciiTheme="minorHAnsi" w:hAnsiTheme="minorHAnsi" w:cstheme="minorHAnsi"/>
                <w:caps/>
                <w:w w:val="115"/>
                <w:sz w:val="16"/>
                <w:szCs w:val="16"/>
              </w:rPr>
            </w:pPr>
            <w:r w:rsidRPr="00FF15A5">
              <w:rPr>
                <w:rFonts w:asciiTheme="minorHAnsi" w:hAnsiTheme="minorHAnsi" w:cstheme="minorHAnsi"/>
                <w:caps/>
                <w:w w:val="115"/>
                <w:sz w:val="16"/>
                <w:szCs w:val="16"/>
              </w:rPr>
              <w:t>rachael eubanks</w:t>
            </w:r>
          </w:p>
          <w:p w14:paraId="79A4C754" w14:textId="77777777" w:rsidR="001405EA" w:rsidRPr="00FF15A5" w:rsidRDefault="001405EA">
            <w:pPr>
              <w:jc w:val="center"/>
              <w:rPr>
                <w:rFonts w:asciiTheme="minorHAnsi" w:hAnsiTheme="minorHAnsi" w:cstheme="minorHAnsi"/>
              </w:rPr>
            </w:pPr>
            <w:r w:rsidRPr="00FF15A5">
              <w:rPr>
                <w:rFonts w:asciiTheme="minorHAnsi" w:hAnsiTheme="minorHAnsi" w:cstheme="minorHAnsi"/>
                <w:smallCaps/>
                <w:w w:val="115"/>
                <w:sz w:val="16"/>
              </w:rPr>
              <w:t>state treasurer</w:t>
            </w:r>
          </w:p>
        </w:tc>
      </w:tr>
    </w:tbl>
    <w:p w14:paraId="5FD57AAE" w14:textId="77777777" w:rsidR="001405EA" w:rsidRPr="00FF15A5" w:rsidRDefault="001405EA">
      <w:pPr>
        <w:rPr>
          <w:rFonts w:asciiTheme="minorHAnsi" w:hAnsiTheme="minorHAnsi" w:cstheme="minorHAnsi"/>
        </w:rPr>
        <w:sectPr w:rsidR="001405EA" w:rsidRPr="00FF15A5">
          <w:footerReference w:type="default" r:id="rId9"/>
          <w:headerReference w:type="first" r:id="rId10"/>
          <w:footerReference w:type="first" r:id="rId11"/>
          <w:type w:val="continuous"/>
          <w:pgSz w:w="12240" w:h="15840" w:code="1"/>
          <w:pgMar w:top="547" w:right="720" w:bottom="1440" w:left="720" w:header="0" w:footer="576" w:gutter="0"/>
          <w:cols w:space="720"/>
          <w:titlePg/>
        </w:sectPr>
      </w:pPr>
    </w:p>
    <w:p w14:paraId="3D7E6C68" w14:textId="4481C19F" w:rsidR="005A407B" w:rsidRPr="00452FD2" w:rsidRDefault="004B696D" w:rsidP="00FF15A5">
      <w:pPr>
        <w:jc w:val="center"/>
        <w:rPr>
          <w:rFonts w:asciiTheme="minorHAnsi" w:hAnsiTheme="minorHAnsi" w:cstheme="minorHAnsi"/>
          <w:b/>
          <w:sz w:val="28"/>
          <w:szCs w:val="28"/>
        </w:rPr>
      </w:pPr>
      <w:r>
        <w:rPr>
          <w:rFonts w:asciiTheme="minorHAnsi" w:hAnsiTheme="minorHAnsi" w:cstheme="minorHAnsi"/>
          <w:b/>
          <w:sz w:val="28"/>
          <w:szCs w:val="28"/>
        </w:rPr>
        <w:t xml:space="preserve">DRAFT </w:t>
      </w:r>
      <w:r w:rsidR="00FF15A5" w:rsidRPr="00452FD2">
        <w:rPr>
          <w:rFonts w:asciiTheme="minorHAnsi" w:hAnsiTheme="minorHAnsi" w:cstheme="minorHAnsi"/>
          <w:b/>
          <w:sz w:val="28"/>
          <w:szCs w:val="28"/>
        </w:rPr>
        <w:t xml:space="preserve">NUMBERED LETTER </w:t>
      </w:r>
      <w:r w:rsidR="00C17AF6" w:rsidRPr="00452FD2">
        <w:rPr>
          <w:rFonts w:asciiTheme="minorHAnsi" w:hAnsiTheme="minorHAnsi" w:cstheme="minorHAnsi"/>
          <w:b/>
          <w:sz w:val="28"/>
          <w:szCs w:val="28"/>
        </w:rPr>
        <w:t>202</w:t>
      </w:r>
      <w:r w:rsidR="00BB378D">
        <w:rPr>
          <w:rFonts w:asciiTheme="minorHAnsi" w:hAnsiTheme="minorHAnsi" w:cstheme="minorHAnsi"/>
          <w:b/>
          <w:sz w:val="28"/>
          <w:szCs w:val="28"/>
        </w:rPr>
        <w:t>5</w:t>
      </w:r>
      <w:r w:rsidR="00FF15A5" w:rsidRPr="00452FD2">
        <w:rPr>
          <w:rFonts w:asciiTheme="minorHAnsi" w:hAnsiTheme="minorHAnsi" w:cstheme="minorHAnsi"/>
          <w:b/>
          <w:sz w:val="28"/>
          <w:szCs w:val="28"/>
        </w:rPr>
        <w:t>-</w:t>
      </w:r>
      <w:r w:rsidR="00BD6D77">
        <w:rPr>
          <w:rFonts w:asciiTheme="minorHAnsi" w:hAnsiTheme="minorHAnsi" w:cstheme="minorHAnsi"/>
          <w:b/>
          <w:sz w:val="28"/>
          <w:szCs w:val="28"/>
        </w:rPr>
        <w:t>1</w:t>
      </w:r>
    </w:p>
    <w:p w14:paraId="585C95A8" w14:textId="77777777" w:rsidR="00FF15A5" w:rsidRPr="00452FD2" w:rsidRDefault="00FF15A5" w:rsidP="009B2B77">
      <w:pPr>
        <w:rPr>
          <w:rFonts w:asciiTheme="minorHAnsi" w:hAnsiTheme="minorHAnsi" w:cstheme="minorHAnsi"/>
          <w:b/>
          <w:szCs w:val="24"/>
        </w:rPr>
      </w:pPr>
    </w:p>
    <w:p w14:paraId="6F9F3B32" w14:textId="2AFF033A" w:rsidR="009B2B77" w:rsidRPr="00452FD2" w:rsidRDefault="00C933F8" w:rsidP="009B2B77">
      <w:pPr>
        <w:rPr>
          <w:rFonts w:asciiTheme="minorHAnsi" w:hAnsiTheme="minorHAnsi" w:cstheme="minorHAnsi"/>
          <w:bCs/>
          <w:szCs w:val="24"/>
        </w:rPr>
      </w:pPr>
      <w:r w:rsidRPr="00452FD2">
        <w:rPr>
          <w:rFonts w:asciiTheme="minorHAnsi" w:hAnsiTheme="minorHAnsi" w:cstheme="minorHAnsi"/>
          <w:b/>
          <w:szCs w:val="24"/>
        </w:rPr>
        <w:t xml:space="preserve">Issued By: </w:t>
      </w:r>
      <w:r w:rsidR="001B697D" w:rsidRPr="00452FD2">
        <w:rPr>
          <w:rFonts w:asciiTheme="minorHAnsi" w:hAnsiTheme="minorHAnsi" w:cstheme="minorHAnsi"/>
          <w:b/>
          <w:szCs w:val="24"/>
        </w:rPr>
        <w:tab/>
      </w:r>
      <w:r w:rsidR="00BD1996" w:rsidRPr="00452FD2">
        <w:rPr>
          <w:rFonts w:asciiTheme="minorHAnsi" w:hAnsiTheme="minorHAnsi" w:cstheme="minorHAnsi"/>
          <w:b/>
          <w:szCs w:val="24"/>
        </w:rPr>
        <w:tab/>
      </w:r>
      <w:r w:rsidR="00B3727F" w:rsidRPr="00452FD2">
        <w:rPr>
          <w:rFonts w:asciiTheme="minorHAnsi" w:hAnsiTheme="minorHAnsi" w:cstheme="minorHAnsi"/>
          <w:bCs/>
          <w:szCs w:val="24"/>
        </w:rPr>
        <w:t>Local Audit</w:t>
      </w:r>
      <w:r w:rsidR="001B697D" w:rsidRPr="00452FD2">
        <w:rPr>
          <w:rFonts w:asciiTheme="minorHAnsi" w:hAnsiTheme="minorHAnsi" w:cstheme="minorHAnsi"/>
          <w:bCs/>
          <w:szCs w:val="24"/>
        </w:rPr>
        <w:t xml:space="preserve"> and Finance Division</w:t>
      </w:r>
      <w:r w:rsidR="00DF6C4E" w:rsidRPr="00452FD2">
        <w:rPr>
          <w:rFonts w:asciiTheme="minorHAnsi" w:hAnsiTheme="minorHAnsi" w:cstheme="minorHAnsi"/>
          <w:bCs/>
          <w:szCs w:val="24"/>
        </w:rPr>
        <w:t xml:space="preserve"> (</w:t>
      </w:r>
      <w:r w:rsidR="00A109D2">
        <w:rPr>
          <w:rFonts w:asciiTheme="minorHAnsi" w:hAnsiTheme="minorHAnsi" w:cstheme="minorHAnsi"/>
          <w:bCs/>
          <w:szCs w:val="24"/>
        </w:rPr>
        <w:t>LAFD</w:t>
      </w:r>
      <w:r w:rsidR="00DF6C4E" w:rsidRPr="00452FD2">
        <w:rPr>
          <w:rFonts w:asciiTheme="minorHAnsi" w:hAnsiTheme="minorHAnsi" w:cstheme="minorHAnsi"/>
          <w:bCs/>
          <w:szCs w:val="24"/>
        </w:rPr>
        <w:t>)</w:t>
      </w:r>
    </w:p>
    <w:p w14:paraId="3E5206B6" w14:textId="1E5B1B50" w:rsidR="001B697D" w:rsidRPr="00452FD2" w:rsidRDefault="001B697D" w:rsidP="009B2B77">
      <w:pPr>
        <w:rPr>
          <w:rFonts w:asciiTheme="minorHAnsi" w:hAnsiTheme="minorHAnsi" w:cstheme="minorHAnsi"/>
          <w:bCs/>
          <w:szCs w:val="24"/>
        </w:rPr>
      </w:pPr>
      <w:r w:rsidRPr="00452FD2">
        <w:rPr>
          <w:rFonts w:asciiTheme="minorHAnsi" w:hAnsiTheme="minorHAnsi" w:cstheme="minorHAnsi"/>
          <w:bCs/>
          <w:szCs w:val="24"/>
        </w:rPr>
        <w:tab/>
      </w:r>
      <w:r w:rsidRPr="00452FD2">
        <w:rPr>
          <w:rFonts w:asciiTheme="minorHAnsi" w:hAnsiTheme="minorHAnsi" w:cstheme="minorHAnsi"/>
          <w:bCs/>
          <w:szCs w:val="24"/>
        </w:rPr>
        <w:tab/>
      </w:r>
      <w:r w:rsidR="00BD1996" w:rsidRPr="00452FD2">
        <w:rPr>
          <w:rFonts w:asciiTheme="minorHAnsi" w:hAnsiTheme="minorHAnsi" w:cstheme="minorHAnsi"/>
          <w:bCs/>
          <w:szCs w:val="24"/>
        </w:rPr>
        <w:tab/>
      </w:r>
      <w:r w:rsidRPr="00452FD2">
        <w:rPr>
          <w:rFonts w:asciiTheme="minorHAnsi" w:hAnsiTheme="minorHAnsi" w:cstheme="minorHAnsi"/>
          <w:bCs/>
          <w:szCs w:val="24"/>
        </w:rPr>
        <w:t>Bureau of Local Government and School Services</w:t>
      </w:r>
    </w:p>
    <w:p w14:paraId="1092E147" w14:textId="6DD92859" w:rsidR="001B697D" w:rsidRPr="00452FD2" w:rsidRDefault="001B697D" w:rsidP="009B2B77">
      <w:pPr>
        <w:rPr>
          <w:rFonts w:asciiTheme="minorHAnsi" w:hAnsiTheme="minorHAnsi" w:cstheme="minorHAnsi"/>
          <w:bCs/>
          <w:szCs w:val="24"/>
        </w:rPr>
      </w:pPr>
    </w:p>
    <w:p w14:paraId="49691266" w14:textId="06F8E0AF" w:rsidR="00C17AF6" w:rsidRPr="00452FD2" w:rsidRDefault="001B697D" w:rsidP="009B2B77">
      <w:pPr>
        <w:rPr>
          <w:rFonts w:asciiTheme="minorHAnsi" w:hAnsiTheme="minorHAnsi" w:cstheme="minorHAnsi"/>
          <w:b/>
          <w:szCs w:val="24"/>
        </w:rPr>
      </w:pPr>
      <w:r w:rsidRPr="00452FD2">
        <w:rPr>
          <w:rFonts w:asciiTheme="minorHAnsi" w:hAnsiTheme="minorHAnsi" w:cstheme="minorHAnsi"/>
          <w:b/>
          <w:szCs w:val="24"/>
        </w:rPr>
        <w:t xml:space="preserve">Effective Date: </w:t>
      </w:r>
      <w:r w:rsidR="00BD1996" w:rsidRPr="00452FD2">
        <w:rPr>
          <w:rFonts w:asciiTheme="minorHAnsi" w:hAnsiTheme="minorHAnsi" w:cstheme="minorHAnsi"/>
          <w:b/>
          <w:szCs w:val="24"/>
        </w:rPr>
        <w:tab/>
      </w:r>
      <w:r w:rsidR="00B3727F" w:rsidRPr="00452FD2">
        <w:rPr>
          <w:rFonts w:asciiTheme="minorHAnsi" w:hAnsiTheme="minorHAnsi" w:cstheme="minorHAnsi"/>
          <w:bCs/>
          <w:szCs w:val="24"/>
        </w:rPr>
        <w:t>DRAFT</w:t>
      </w:r>
    </w:p>
    <w:p w14:paraId="630F536A" w14:textId="5DFFF3D4" w:rsidR="00D95054" w:rsidRPr="00452FD2" w:rsidRDefault="00D95054" w:rsidP="009B2B77">
      <w:pPr>
        <w:rPr>
          <w:rFonts w:asciiTheme="minorHAnsi" w:hAnsiTheme="minorHAnsi" w:cstheme="minorHAnsi"/>
          <w:b/>
          <w:szCs w:val="24"/>
        </w:rPr>
      </w:pPr>
    </w:p>
    <w:p w14:paraId="76710F4B" w14:textId="09738AA2" w:rsidR="00D95054" w:rsidRPr="00452FD2" w:rsidRDefault="00ED4BB5" w:rsidP="00452FD2">
      <w:pPr>
        <w:ind w:left="2160" w:hanging="2160"/>
        <w:rPr>
          <w:rFonts w:asciiTheme="minorHAnsi" w:hAnsiTheme="minorHAnsi" w:cstheme="minorHAnsi"/>
          <w:bCs/>
          <w:szCs w:val="24"/>
        </w:rPr>
      </w:pPr>
      <w:r w:rsidRPr="00452FD2">
        <w:rPr>
          <w:rFonts w:asciiTheme="minorHAnsi" w:hAnsiTheme="minorHAnsi" w:cstheme="minorHAnsi"/>
          <w:b/>
          <w:szCs w:val="24"/>
        </w:rPr>
        <w:t>202</w:t>
      </w:r>
      <w:r w:rsidR="00B3727F" w:rsidRPr="00452FD2">
        <w:rPr>
          <w:rFonts w:asciiTheme="minorHAnsi" w:hAnsiTheme="minorHAnsi" w:cstheme="minorHAnsi"/>
          <w:b/>
          <w:szCs w:val="24"/>
        </w:rPr>
        <w:t>5</w:t>
      </w:r>
      <w:r w:rsidR="00D95054" w:rsidRPr="00452FD2">
        <w:rPr>
          <w:rFonts w:asciiTheme="minorHAnsi" w:hAnsiTheme="minorHAnsi" w:cstheme="minorHAnsi"/>
          <w:b/>
          <w:szCs w:val="24"/>
        </w:rPr>
        <w:t>-</w:t>
      </w:r>
      <w:r w:rsidR="00BD6D77">
        <w:rPr>
          <w:rFonts w:asciiTheme="minorHAnsi" w:hAnsiTheme="minorHAnsi" w:cstheme="minorHAnsi"/>
          <w:b/>
          <w:szCs w:val="24"/>
        </w:rPr>
        <w:t>1</w:t>
      </w:r>
      <w:r w:rsidR="00D95054" w:rsidRPr="00452FD2">
        <w:rPr>
          <w:rFonts w:asciiTheme="minorHAnsi" w:hAnsiTheme="minorHAnsi" w:cstheme="minorHAnsi"/>
          <w:bCs/>
          <w:szCs w:val="24"/>
        </w:rPr>
        <w:tab/>
      </w:r>
      <w:r w:rsidR="00015FAB">
        <w:rPr>
          <w:rFonts w:asciiTheme="minorHAnsi" w:hAnsiTheme="minorHAnsi" w:cstheme="minorHAnsi"/>
          <w:bCs/>
          <w:szCs w:val="24"/>
        </w:rPr>
        <w:t>C</w:t>
      </w:r>
      <w:r w:rsidR="00D216BA" w:rsidRPr="00452FD2">
        <w:rPr>
          <w:rFonts w:asciiTheme="minorHAnsi" w:hAnsiTheme="minorHAnsi" w:cstheme="minorHAnsi"/>
          <w:bCs/>
          <w:szCs w:val="24"/>
        </w:rPr>
        <w:t xml:space="preserve">ompliance with </w:t>
      </w:r>
      <w:r w:rsidR="00015FAB" w:rsidRPr="00452FD2">
        <w:rPr>
          <w:rFonts w:asciiTheme="minorHAnsi" w:hAnsiTheme="minorHAnsi" w:cstheme="minorHAnsi"/>
          <w:bCs/>
          <w:szCs w:val="24"/>
        </w:rPr>
        <w:t xml:space="preserve">Peer Actuarial Audit </w:t>
      </w:r>
      <w:r w:rsidR="00D216BA" w:rsidRPr="00452FD2">
        <w:rPr>
          <w:rFonts w:asciiTheme="minorHAnsi" w:hAnsiTheme="minorHAnsi" w:cstheme="minorHAnsi"/>
          <w:bCs/>
          <w:szCs w:val="24"/>
        </w:rPr>
        <w:t xml:space="preserve">and </w:t>
      </w:r>
      <w:r w:rsidR="00015FAB" w:rsidRPr="00452FD2">
        <w:rPr>
          <w:rFonts w:asciiTheme="minorHAnsi" w:hAnsiTheme="minorHAnsi" w:cstheme="minorHAnsi"/>
          <w:bCs/>
          <w:szCs w:val="24"/>
        </w:rPr>
        <w:t>Actuarial Experience Study Requirements</w:t>
      </w:r>
      <w:r w:rsidR="00D216BA">
        <w:rPr>
          <w:rFonts w:asciiTheme="minorHAnsi" w:hAnsiTheme="minorHAnsi" w:cstheme="minorHAnsi"/>
          <w:bCs/>
          <w:szCs w:val="24"/>
        </w:rPr>
        <w:t xml:space="preserve"> for </w:t>
      </w:r>
      <w:r w:rsidR="00015FAB">
        <w:rPr>
          <w:rFonts w:asciiTheme="minorHAnsi" w:hAnsiTheme="minorHAnsi" w:cstheme="minorHAnsi"/>
          <w:bCs/>
          <w:szCs w:val="24"/>
        </w:rPr>
        <w:t xml:space="preserve">Defined Benefit Retirement Health Benefit Systems </w:t>
      </w:r>
      <w:r w:rsidR="008D7EA3">
        <w:rPr>
          <w:rFonts w:asciiTheme="minorHAnsi" w:hAnsiTheme="minorHAnsi" w:cstheme="minorHAnsi"/>
          <w:bCs/>
          <w:szCs w:val="24"/>
        </w:rPr>
        <w:t xml:space="preserve">(OPEB) </w:t>
      </w:r>
      <w:r w:rsidRPr="00452FD2">
        <w:rPr>
          <w:rFonts w:asciiTheme="minorHAnsi" w:hAnsiTheme="minorHAnsi" w:cstheme="minorHAnsi"/>
          <w:bCs/>
          <w:szCs w:val="24"/>
        </w:rPr>
        <w:t xml:space="preserve">under </w:t>
      </w:r>
      <w:r w:rsidR="00D95054" w:rsidRPr="00452FD2">
        <w:rPr>
          <w:rFonts w:asciiTheme="minorHAnsi" w:hAnsiTheme="minorHAnsi" w:cstheme="minorHAnsi"/>
          <w:bCs/>
          <w:szCs w:val="24"/>
        </w:rPr>
        <w:t>Public Act 202 of 2017</w:t>
      </w:r>
    </w:p>
    <w:p w14:paraId="4AAEEDF7" w14:textId="77777777" w:rsidR="009B2B77" w:rsidRPr="00452FD2" w:rsidRDefault="009B2B77" w:rsidP="009B2B77">
      <w:pPr>
        <w:rPr>
          <w:rFonts w:asciiTheme="minorHAnsi" w:hAnsiTheme="minorHAnsi" w:cstheme="minorHAnsi"/>
          <w:szCs w:val="24"/>
        </w:rPr>
      </w:pPr>
    </w:p>
    <w:p w14:paraId="4BCBC2DF" w14:textId="72FAD7D5" w:rsidR="00C24BC9" w:rsidRPr="00452FD2" w:rsidRDefault="00C24BC9" w:rsidP="002F49CC">
      <w:pPr>
        <w:pBdr>
          <w:bottom w:val="single" w:sz="6" w:space="1" w:color="auto"/>
        </w:pBdr>
        <w:rPr>
          <w:rFonts w:asciiTheme="minorHAnsi" w:hAnsiTheme="minorHAnsi" w:cstheme="minorHAnsi"/>
          <w:szCs w:val="24"/>
          <w:lang w:bidi="en-US"/>
        </w:rPr>
      </w:pPr>
      <w:bookmarkStart w:id="0" w:name="_Hlk534807760"/>
      <w:r w:rsidRPr="00452FD2">
        <w:rPr>
          <w:rFonts w:asciiTheme="minorHAnsi" w:hAnsiTheme="minorHAnsi" w:cstheme="minorHAnsi"/>
          <w:b/>
          <w:bCs/>
          <w:szCs w:val="24"/>
        </w:rPr>
        <w:t>Intended Audience</w:t>
      </w:r>
      <w:r w:rsidR="00137E2C">
        <w:rPr>
          <w:rFonts w:asciiTheme="minorHAnsi" w:hAnsiTheme="minorHAnsi" w:cstheme="minorHAnsi"/>
          <w:b/>
          <w:bCs/>
          <w:szCs w:val="24"/>
        </w:rPr>
        <w:t xml:space="preserve">: </w:t>
      </w:r>
      <w:r w:rsidR="007576DD" w:rsidRPr="00452FD2">
        <w:rPr>
          <w:rFonts w:asciiTheme="minorHAnsi" w:hAnsiTheme="minorHAnsi" w:cstheme="minorHAnsi"/>
          <w:szCs w:val="24"/>
          <w:lang w:bidi="en-US"/>
        </w:rPr>
        <w:t>Local government</w:t>
      </w:r>
      <w:r w:rsidR="00C46A5F" w:rsidRPr="00452FD2">
        <w:rPr>
          <w:rFonts w:asciiTheme="minorHAnsi" w:hAnsiTheme="minorHAnsi" w:cstheme="minorHAnsi"/>
          <w:szCs w:val="24"/>
          <w:lang w:bidi="en-US"/>
        </w:rPr>
        <w:t>s that offer defined benefit retirement</w:t>
      </w:r>
      <w:r w:rsidR="00F66894">
        <w:rPr>
          <w:rFonts w:asciiTheme="minorHAnsi" w:hAnsiTheme="minorHAnsi" w:cstheme="minorHAnsi"/>
          <w:szCs w:val="24"/>
          <w:lang w:bidi="en-US"/>
        </w:rPr>
        <w:t xml:space="preserve"> </w:t>
      </w:r>
      <w:r w:rsidR="003627BF" w:rsidRPr="00452FD2">
        <w:rPr>
          <w:rFonts w:asciiTheme="minorHAnsi" w:hAnsiTheme="minorHAnsi" w:cstheme="minorHAnsi"/>
          <w:szCs w:val="24"/>
          <w:lang w:bidi="en-US"/>
        </w:rPr>
        <w:t>health</w:t>
      </w:r>
      <w:r w:rsidR="00B470C0">
        <w:rPr>
          <w:rFonts w:asciiTheme="minorHAnsi" w:hAnsiTheme="minorHAnsi" w:cstheme="minorHAnsi"/>
          <w:szCs w:val="24"/>
          <w:lang w:bidi="en-US"/>
        </w:rPr>
        <w:t xml:space="preserve"> </w:t>
      </w:r>
      <w:r w:rsidR="003627BF" w:rsidRPr="00452FD2">
        <w:rPr>
          <w:rFonts w:asciiTheme="minorHAnsi" w:hAnsiTheme="minorHAnsi" w:cstheme="minorHAnsi"/>
          <w:szCs w:val="24"/>
          <w:lang w:bidi="en-US"/>
        </w:rPr>
        <w:t>benefit</w:t>
      </w:r>
      <w:r w:rsidR="00B470C0">
        <w:rPr>
          <w:rFonts w:asciiTheme="minorHAnsi" w:hAnsiTheme="minorHAnsi" w:cstheme="minorHAnsi"/>
          <w:szCs w:val="24"/>
          <w:lang w:bidi="en-US"/>
        </w:rPr>
        <w:t>s</w:t>
      </w:r>
      <w:r w:rsidR="00C7233A">
        <w:rPr>
          <w:rFonts w:asciiTheme="minorHAnsi" w:hAnsiTheme="minorHAnsi" w:cstheme="minorHAnsi"/>
          <w:szCs w:val="24"/>
          <w:lang w:bidi="en-US"/>
        </w:rPr>
        <w:t xml:space="preserve"> (OPEB)</w:t>
      </w:r>
      <w:r w:rsidR="004E5C8A" w:rsidRPr="00452FD2">
        <w:rPr>
          <w:rFonts w:asciiTheme="minorHAnsi" w:hAnsiTheme="minorHAnsi" w:cstheme="minorHAnsi"/>
          <w:szCs w:val="24"/>
          <w:lang w:bidi="en-US"/>
        </w:rPr>
        <w:t>;</w:t>
      </w:r>
      <w:r w:rsidR="00C46A5F" w:rsidRPr="00452FD2">
        <w:rPr>
          <w:rFonts w:asciiTheme="minorHAnsi" w:hAnsiTheme="minorHAnsi" w:cstheme="minorHAnsi"/>
          <w:szCs w:val="24"/>
          <w:lang w:bidi="en-US"/>
        </w:rPr>
        <w:t xml:space="preserve"> those local government employees </w:t>
      </w:r>
      <w:r w:rsidR="007576DD" w:rsidRPr="00452FD2">
        <w:rPr>
          <w:rFonts w:asciiTheme="minorHAnsi" w:hAnsiTheme="minorHAnsi" w:cstheme="minorHAnsi"/>
          <w:szCs w:val="24"/>
          <w:lang w:bidi="en-US"/>
        </w:rPr>
        <w:t>including but not limited to, clerks, treasurers, elected officials, finance directors, city, township, or village managers, accounting staff</w:t>
      </w:r>
      <w:r w:rsidR="00553C52" w:rsidRPr="00452FD2">
        <w:rPr>
          <w:rFonts w:asciiTheme="minorHAnsi" w:hAnsiTheme="minorHAnsi" w:cstheme="minorHAnsi"/>
          <w:szCs w:val="24"/>
          <w:lang w:bidi="en-US"/>
        </w:rPr>
        <w:t>, and auditing or actuarial professionals</w:t>
      </w:r>
      <w:r w:rsidR="00C46A5F" w:rsidRPr="00452FD2">
        <w:rPr>
          <w:rFonts w:asciiTheme="minorHAnsi" w:hAnsiTheme="minorHAnsi" w:cstheme="minorHAnsi"/>
          <w:szCs w:val="24"/>
          <w:lang w:bidi="en-US"/>
        </w:rPr>
        <w:t>.</w:t>
      </w:r>
      <w:r w:rsidR="006B18DA" w:rsidRPr="00452FD2">
        <w:rPr>
          <w:rFonts w:asciiTheme="minorHAnsi" w:hAnsiTheme="minorHAnsi" w:cstheme="minorHAnsi"/>
          <w:szCs w:val="24"/>
          <w:lang w:bidi="en-US"/>
        </w:rPr>
        <w:t xml:space="preserve"> </w:t>
      </w:r>
    </w:p>
    <w:p w14:paraId="55309CD7" w14:textId="44FDD9AB" w:rsidR="00C24BC9" w:rsidRPr="00452FD2" w:rsidRDefault="00C24BC9" w:rsidP="002F49CC">
      <w:pPr>
        <w:rPr>
          <w:rFonts w:asciiTheme="minorHAnsi" w:hAnsiTheme="minorHAnsi" w:cstheme="minorHAnsi"/>
          <w:b/>
          <w:bCs/>
          <w:szCs w:val="24"/>
        </w:rPr>
      </w:pPr>
    </w:p>
    <w:p w14:paraId="2E0914F9" w14:textId="2DE12B5D" w:rsidR="007E1D45" w:rsidRPr="00452FD2" w:rsidRDefault="00C24BC9" w:rsidP="002F49CC">
      <w:pPr>
        <w:rPr>
          <w:rFonts w:asciiTheme="minorHAnsi" w:hAnsiTheme="minorHAnsi" w:cstheme="minorHAnsi"/>
          <w:b/>
          <w:bCs/>
          <w:szCs w:val="24"/>
        </w:rPr>
      </w:pPr>
      <w:r w:rsidRPr="00452FD2">
        <w:rPr>
          <w:rFonts w:asciiTheme="minorHAnsi" w:hAnsiTheme="minorHAnsi" w:cstheme="minorHAnsi"/>
          <w:b/>
          <w:bCs/>
          <w:szCs w:val="24"/>
        </w:rPr>
        <w:t>Summary</w:t>
      </w:r>
      <w:r w:rsidR="00795234" w:rsidRPr="00452FD2">
        <w:rPr>
          <w:rFonts w:asciiTheme="minorHAnsi" w:hAnsiTheme="minorHAnsi" w:cstheme="minorHAnsi"/>
          <w:b/>
          <w:bCs/>
          <w:szCs w:val="24"/>
        </w:rPr>
        <w:t xml:space="preserve"> </w:t>
      </w:r>
    </w:p>
    <w:p w14:paraId="595DB5F9" w14:textId="3A2EAA9E" w:rsidR="00BB378D" w:rsidRPr="00452FD2" w:rsidRDefault="0031197B" w:rsidP="002F49CC">
      <w:pPr>
        <w:rPr>
          <w:rFonts w:asciiTheme="minorHAnsi" w:hAnsiTheme="minorHAnsi" w:cstheme="minorHAnsi"/>
          <w:b/>
          <w:bCs/>
          <w:szCs w:val="24"/>
        </w:rPr>
      </w:pPr>
      <w:r>
        <w:rPr>
          <w:rFonts w:asciiTheme="minorHAnsi" w:hAnsiTheme="minorHAnsi" w:cstheme="minorHAnsi"/>
          <w:szCs w:val="24"/>
        </w:rPr>
        <w:t>Numbered Letter 2025-1 provides guidance and information around requirements</w:t>
      </w:r>
      <w:r w:rsidRPr="0031197B">
        <w:rPr>
          <w:rFonts w:asciiTheme="minorHAnsi" w:hAnsiTheme="minorHAnsi" w:cstheme="minorHAnsi"/>
        </w:rPr>
        <w:t xml:space="preserve"> </w:t>
      </w:r>
      <w:r w:rsidR="00115A5D">
        <w:rPr>
          <w:rFonts w:asciiTheme="minorHAnsi" w:hAnsiTheme="minorHAnsi" w:cstheme="minorHAnsi"/>
        </w:rPr>
        <w:t xml:space="preserve">for </w:t>
      </w:r>
      <w:r>
        <w:rPr>
          <w:rFonts w:asciiTheme="minorHAnsi" w:hAnsiTheme="minorHAnsi" w:cstheme="minorHAnsi"/>
        </w:rPr>
        <w:t>defined benefit</w:t>
      </w:r>
      <w:r w:rsidR="00115A5D">
        <w:rPr>
          <w:rFonts w:asciiTheme="minorHAnsi" w:hAnsiTheme="minorHAnsi" w:cstheme="minorHAnsi"/>
        </w:rPr>
        <w:t xml:space="preserve"> retirement</w:t>
      </w:r>
      <w:r>
        <w:rPr>
          <w:rFonts w:asciiTheme="minorHAnsi" w:hAnsiTheme="minorHAnsi" w:cstheme="minorHAnsi"/>
        </w:rPr>
        <w:t xml:space="preserve"> health benefit</w:t>
      </w:r>
      <w:r w:rsidR="00115A5D">
        <w:rPr>
          <w:rFonts w:asciiTheme="minorHAnsi" w:hAnsiTheme="minorHAnsi" w:cstheme="minorHAnsi"/>
        </w:rPr>
        <w:t xml:space="preserve"> systems</w:t>
      </w:r>
      <w:r>
        <w:rPr>
          <w:rFonts w:asciiTheme="minorHAnsi" w:hAnsiTheme="minorHAnsi" w:cstheme="minorHAnsi"/>
        </w:rPr>
        <w:t xml:space="preserve"> (OPEB) found in </w:t>
      </w:r>
      <w:hyperlink r:id="rId12" w:history="1">
        <w:r w:rsidR="00A56827" w:rsidRPr="00A56827">
          <w:rPr>
            <w:rStyle w:val="Hyperlink"/>
            <w:rFonts w:asciiTheme="minorHAnsi" w:hAnsiTheme="minorHAnsi" w:cstheme="minorHAnsi"/>
          </w:rPr>
          <w:t>Section 4 (1)(c-d)</w:t>
        </w:r>
      </w:hyperlink>
      <w:r w:rsidR="00A56827">
        <w:rPr>
          <w:rFonts w:asciiTheme="minorHAnsi" w:hAnsiTheme="minorHAnsi" w:cstheme="minorHAnsi"/>
        </w:rPr>
        <w:t xml:space="preserve"> </w:t>
      </w:r>
      <w:r>
        <w:rPr>
          <w:rFonts w:asciiTheme="minorHAnsi" w:hAnsiTheme="minorHAnsi" w:cstheme="minorHAnsi"/>
        </w:rPr>
        <w:t xml:space="preserve">of the </w:t>
      </w:r>
      <w:hyperlink r:id="rId13" w:history="1">
        <w:r w:rsidRPr="00452FD2">
          <w:rPr>
            <w:rStyle w:val="Hyperlink"/>
            <w:rFonts w:asciiTheme="minorHAnsi" w:hAnsiTheme="minorHAnsi" w:cstheme="minorHAnsi"/>
            <w:szCs w:val="24"/>
          </w:rPr>
          <w:t>Protecting Local Government Retirement and Benefits Act, Public Act 202 of 2017</w:t>
        </w:r>
      </w:hyperlink>
      <w:r w:rsidRPr="00452FD2">
        <w:rPr>
          <w:rFonts w:asciiTheme="minorHAnsi" w:hAnsiTheme="minorHAnsi" w:cstheme="minorHAnsi"/>
          <w:szCs w:val="24"/>
        </w:rPr>
        <w:t xml:space="preserve"> (the Act)</w:t>
      </w:r>
      <w:r w:rsidR="00537E35">
        <w:rPr>
          <w:rFonts w:asciiTheme="minorHAnsi" w:hAnsiTheme="minorHAnsi" w:cstheme="minorHAnsi"/>
        </w:rPr>
        <w:t xml:space="preserve">. </w:t>
      </w:r>
      <w:r w:rsidR="00BB378D">
        <w:rPr>
          <w:rFonts w:asciiTheme="minorHAnsi" w:hAnsiTheme="minorHAnsi" w:cstheme="minorHAnsi"/>
          <w:szCs w:val="24"/>
        </w:rPr>
        <w:t xml:space="preserve">The Retirement System Annual Report (Form 5572) has annually communicated these </w:t>
      </w:r>
      <w:r w:rsidR="00C236A6">
        <w:rPr>
          <w:rFonts w:asciiTheme="minorHAnsi" w:hAnsiTheme="minorHAnsi" w:cstheme="minorHAnsi"/>
          <w:szCs w:val="24"/>
        </w:rPr>
        <w:t xml:space="preserve">general </w:t>
      </w:r>
      <w:r w:rsidR="00BD6D77">
        <w:rPr>
          <w:rFonts w:asciiTheme="minorHAnsi" w:hAnsiTheme="minorHAnsi" w:cstheme="minorHAnsi"/>
          <w:szCs w:val="24"/>
        </w:rPr>
        <w:t>requirements;</w:t>
      </w:r>
      <w:r w:rsidR="00BB378D">
        <w:rPr>
          <w:rFonts w:asciiTheme="minorHAnsi" w:hAnsiTheme="minorHAnsi" w:cstheme="minorHAnsi"/>
          <w:szCs w:val="24"/>
        </w:rPr>
        <w:t xml:space="preserve"> </w:t>
      </w:r>
      <w:r w:rsidR="00B470C0">
        <w:rPr>
          <w:rFonts w:asciiTheme="minorHAnsi" w:hAnsiTheme="minorHAnsi" w:cstheme="minorHAnsi"/>
          <w:szCs w:val="24"/>
        </w:rPr>
        <w:t>however,</w:t>
      </w:r>
      <w:r w:rsidR="00BB378D">
        <w:rPr>
          <w:rFonts w:asciiTheme="minorHAnsi" w:hAnsiTheme="minorHAnsi" w:cstheme="minorHAnsi"/>
          <w:szCs w:val="24"/>
        </w:rPr>
        <w:t xml:space="preserve"> this </w:t>
      </w:r>
      <w:r w:rsidR="00364084">
        <w:rPr>
          <w:rFonts w:asciiTheme="minorHAnsi" w:hAnsiTheme="minorHAnsi" w:cstheme="minorHAnsi"/>
          <w:szCs w:val="24"/>
        </w:rPr>
        <w:t>numbered letter</w:t>
      </w:r>
      <w:r w:rsidR="00BB378D">
        <w:rPr>
          <w:rFonts w:asciiTheme="minorHAnsi" w:hAnsiTheme="minorHAnsi" w:cstheme="minorHAnsi"/>
          <w:szCs w:val="24"/>
        </w:rPr>
        <w:t xml:space="preserve"> is designed to provide additional guidance</w:t>
      </w:r>
      <w:r>
        <w:rPr>
          <w:rFonts w:asciiTheme="minorHAnsi" w:hAnsiTheme="minorHAnsi" w:cstheme="minorHAnsi"/>
          <w:szCs w:val="24"/>
        </w:rPr>
        <w:t xml:space="preserve"> and clarity</w:t>
      </w:r>
      <w:r w:rsidR="00BB378D">
        <w:rPr>
          <w:rFonts w:asciiTheme="minorHAnsi" w:hAnsiTheme="minorHAnsi" w:cstheme="minorHAnsi"/>
          <w:szCs w:val="24"/>
        </w:rPr>
        <w:t>.</w:t>
      </w:r>
    </w:p>
    <w:p w14:paraId="3B0F96A0" w14:textId="601258EE" w:rsidR="00C24BC9" w:rsidRPr="00452FD2" w:rsidRDefault="00C24BC9" w:rsidP="002F49CC">
      <w:pPr>
        <w:pBdr>
          <w:bottom w:val="single" w:sz="6" w:space="1" w:color="auto"/>
        </w:pBdr>
        <w:rPr>
          <w:rFonts w:asciiTheme="minorHAnsi" w:hAnsiTheme="minorHAnsi" w:cstheme="minorHAnsi"/>
          <w:szCs w:val="24"/>
        </w:rPr>
      </w:pPr>
    </w:p>
    <w:p w14:paraId="351D37D5" w14:textId="77777777" w:rsidR="00034AE4" w:rsidRDefault="00034AE4" w:rsidP="002F49CC">
      <w:pPr>
        <w:rPr>
          <w:rFonts w:asciiTheme="minorHAnsi" w:hAnsiTheme="minorHAnsi" w:cstheme="minorHAnsi"/>
          <w:b/>
          <w:bCs/>
          <w:szCs w:val="24"/>
        </w:rPr>
      </w:pPr>
    </w:p>
    <w:p w14:paraId="349E4BAE" w14:textId="7E34E98E" w:rsidR="00115A5D" w:rsidRDefault="00A56827" w:rsidP="002F49CC">
      <w:pPr>
        <w:rPr>
          <w:rFonts w:asciiTheme="minorHAnsi" w:hAnsiTheme="minorHAnsi" w:cstheme="minorHAnsi"/>
          <w:szCs w:val="24"/>
        </w:rPr>
      </w:pPr>
      <w:r w:rsidRPr="00A56827">
        <w:rPr>
          <w:rFonts w:asciiTheme="minorHAnsi" w:hAnsiTheme="minorHAnsi" w:cstheme="minorHAnsi"/>
          <w:i/>
          <w:iCs/>
        </w:rPr>
        <w:t>Public Act 202 of 2017</w:t>
      </w:r>
      <w:r>
        <w:rPr>
          <w:rFonts w:asciiTheme="minorHAnsi" w:hAnsiTheme="minorHAnsi" w:cstheme="minorHAnsi"/>
          <w:i/>
          <w:iCs/>
        </w:rPr>
        <w:t>,</w:t>
      </w:r>
      <w:r w:rsidRPr="00A56827">
        <w:rPr>
          <w:rFonts w:asciiTheme="minorHAnsi" w:hAnsiTheme="minorHAnsi" w:cstheme="minorHAnsi"/>
          <w:i/>
          <w:iCs/>
        </w:rPr>
        <w:t xml:space="preserve"> Section 4(</w:t>
      </w:r>
      <w:proofErr w:type="gramStart"/>
      <w:r w:rsidRPr="00A56827">
        <w:rPr>
          <w:rFonts w:asciiTheme="minorHAnsi" w:hAnsiTheme="minorHAnsi" w:cstheme="minorHAnsi"/>
          <w:i/>
          <w:iCs/>
        </w:rPr>
        <w:t>1)(</w:t>
      </w:r>
      <w:proofErr w:type="gramEnd"/>
      <w:r w:rsidRPr="00A56827">
        <w:rPr>
          <w:rFonts w:asciiTheme="minorHAnsi" w:hAnsiTheme="minorHAnsi" w:cstheme="minorHAnsi"/>
          <w:i/>
          <w:iCs/>
        </w:rPr>
        <w:t>c-d)</w:t>
      </w:r>
      <w:r>
        <w:rPr>
          <w:rFonts w:asciiTheme="minorHAnsi" w:hAnsiTheme="minorHAnsi" w:cstheme="minorHAnsi"/>
        </w:rPr>
        <w:t>:</w:t>
      </w:r>
      <w:r w:rsidR="00566C53">
        <w:rPr>
          <w:rFonts w:asciiTheme="minorHAnsi" w:hAnsiTheme="minorHAnsi" w:cstheme="minorHAnsi"/>
          <w:szCs w:val="24"/>
        </w:rPr>
        <w:t xml:space="preserve"> </w:t>
      </w:r>
      <w:r w:rsidR="00537E35">
        <w:rPr>
          <w:rFonts w:asciiTheme="minorHAnsi" w:hAnsiTheme="minorHAnsi" w:cstheme="minorHAnsi"/>
          <w:szCs w:val="24"/>
        </w:rPr>
        <w:t>Beginning</w:t>
      </w:r>
      <w:r w:rsidR="0031197B">
        <w:rPr>
          <w:rFonts w:asciiTheme="minorHAnsi" w:hAnsiTheme="minorHAnsi" w:cstheme="minorHAnsi"/>
          <w:szCs w:val="24"/>
        </w:rPr>
        <w:t xml:space="preserve"> July 1, 2018, i</w:t>
      </w:r>
      <w:r w:rsidR="0031197B" w:rsidRPr="00452FD2">
        <w:rPr>
          <w:rFonts w:asciiTheme="minorHAnsi" w:hAnsiTheme="minorHAnsi" w:cstheme="minorHAnsi"/>
          <w:szCs w:val="24"/>
        </w:rPr>
        <w:t xml:space="preserve">f a </w:t>
      </w:r>
      <w:r w:rsidR="0031197B">
        <w:rPr>
          <w:rFonts w:asciiTheme="minorHAnsi" w:hAnsiTheme="minorHAnsi" w:cstheme="minorHAnsi"/>
          <w:szCs w:val="24"/>
        </w:rPr>
        <w:t xml:space="preserve">local </w:t>
      </w:r>
      <w:r w:rsidR="00537E35">
        <w:rPr>
          <w:rFonts w:asciiTheme="minorHAnsi" w:hAnsiTheme="minorHAnsi" w:cstheme="minorHAnsi"/>
          <w:szCs w:val="24"/>
        </w:rPr>
        <w:t>unit of government</w:t>
      </w:r>
      <w:r w:rsidR="0031197B" w:rsidRPr="00452FD2">
        <w:rPr>
          <w:rFonts w:asciiTheme="minorHAnsi" w:hAnsiTheme="minorHAnsi" w:cstheme="minorHAnsi"/>
          <w:szCs w:val="24"/>
        </w:rPr>
        <w:t xml:space="preserve"> offers or provides an employee of the </w:t>
      </w:r>
      <w:r w:rsidR="0031197B">
        <w:rPr>
          <w:rFonts w:asciiTheme="minorHAnsi" w:hAnsiTheme="minorHAnsi" w:cstheme="minorHAnsi"/>
          <w:szCs w:val="24"/>
        </w:rPr>
        <w:t>local</w:t>
      </w:r>
      <w:r w:rsidR="00537E35">
        <w:rPr>
          <w:rFonts w:asciiTheme="minorHAnsi" w:hAnsiTheme="minorHAnsi" w:cstheme="minorHAnsi"/>
          <w:szCs w:val="24"/>
        </w:rPr>
        <w:t xml:space="preserve"> unit of</w:t>
      </w:r>
      <w:r w:rsidR="0031197B">
        <w:rPr>
          <w:rFonts w:asciiTheme="minorHAnsi" w:hAnsiTheme="minorHAnsi" w:cstheme="minorHAnsi"/>
          <w:szCs w:val="24"/>
        </w:rPr>
        <w:t xml:space="preserve"> government</w:t>
      </w:r>
      <w:r w:rsidR="0031197B" w:rsidRPr="00452FD2">
        <w:rPr>
          <w:rFonts w:asciiTheme="minorHAnsi" w:hAnsiTheme="minorHAnsi" w:cstheme="minorHAnsi"/>
          <w:szCs w:val="24"/>
        </w:rPr>
        <w:t xml:space="preserve">, or a former employee first employed by the </w:t>
      </w:r>
      <w:r w:rsidR="0031197B">
        <w:rPr>
          <w:rFonts w:asciiTheme="minorHAnsi" w:hAnsiTheme="minorHAnsi" w:cstheme="minorHAnsi"/>
          <w:szCs w:val="24"/>
        </w:rPr>
        <w:t xml:space="preserve">local </w:t>
      </w:r>
      <w:r w:rsidR="00537E35">
        <w:rPr>
          <w:rFonts w:asciiTheme="minorHAnsi" w:hAnsiTheme="minorHAnsi" w:cstheme="minorHAnsi"/>
          <w:szCs w:val="24"/>
        </w:rPr>
        <w:t xml:space="preserve">unit of </w:t>
      </w:r>
      <w:r w:rsidR="0031197B">
        <w:rPr>
          <w:rFonts w:asciiTheme="minorHAnsi" w:hAnsiTheme="minorHAnsi" w:cstheme="minorHAnsi"/>
          <w:szCs w:val="24"/>
        </w:rPr>
        <w:t>government</w:t>
      </w:r>
      <w:r w:rsidR="0031197B" w:rsidRPr="00452FD2">
        <w:rPr>
          <w:rFonts w:asciiTheme="minorHAnsi" w:hAnsiTheme="minorHAnsi" w:cstheme="minorHAnsi"/>
          <w:szCs w:val="24"/>
        </w:rPr>
        <w:t xml:space="preserve"> before the effective date of the Act, with </w:t>
      </w:r>
      <w:r w:rsidR="00115A5D">
        <w:rPr>
          <w:rFonts w:asciiTheme="minorHAnsi" w:hAnsiTheme="minorHAnsi" w:cstheme="minorHAnsi"/>
          <w:szCs w:val="24"/>
        </w:rPr>
        <w:t xml:space="preserve">an OPEB </w:t>
      </w:r>
      <w:r w:rsidR="008D7EA3">
        <w:rPr>
          <w:rFonts w:asciiTheme="minorHAnsi" w:hAnsiTheme="minorHAnsi" w:cstheme="minorHAnsi"/>
          <w:szCs w:val="24"/>
        </w:rPr>
        <w:t>benefit</w:t>
      </w:r>
      <w:r w:rsidR="0031197B" w:rsidRPr="00452FD2">
        <w:rPr>
          <w:rFonts w:asciiTheme="minorHAnsi" w:hAnsiTheme="minorHAnsi" w:cstheme="minorHAnsi"/>
          <w:szCs w:val="24"/>
        </w:rPr>
        <w:t xml:space="preserve">, the </w:t>
      </w:r>
      <w:r w:rsidR="0031197B">
        <w:rPr>
          <w:rFonts w:asciiTheme="minorHAnsi" w:hAnsiTheme="minorHAnsi" w:cstheme="minorHAnsi"/>
          <w:szCs w:val="24"/>
        </w:rPr>
        <w:t>local government</w:t>
      </w:r>
      <w:r w:rsidR="0031197B" w:rsidRPr="00452FD2">
        <w:rPr>
          <w:rFonts w:asciiTheme="minorHAnsi" w:hAnsiTheme="minorHAnsi" w:cstheme="minorHAnsi"/>
          <w:szCs w:val="24"/>
        </w:rPr>
        <w:t xml:space="preserve"> </w:t>
      </w:r>
      <w:r w:rsidR="00537E35">
        <w:rPr>
          <w:rFonts w:asciiTheme="minorHAnsi" w:hAnsiTheme="minorHAnsi" w:cstheme="minorHAnsi"/>
          <w:szCs w:val="24"/>
        </w:rPr>
        <w:t xml:space="preserve">must </w:t>
      </w:r>
      <w:r w:rsidR="0031197B" w:rsidRPr="00452FD2">
        <w:rPr>
          <w:rFonts w:asciiTheme="minorHAnsi" w:hAnsiTheme="minorHAnsi" w:cstheme="minorHAnsi"/>
          <w:szCs w:val="24"/>
        </w:rPr>
        <w:t xml:space="preserve">do </w:t>
      </w:r>
      <w:proofErr w:type="gramStart"/>
      <w:r w:rsidR="00537E35">
        <w:rPr>
          <w:rFonts w:asciiTheme="minorHAnsi" w:hAnsiTheme="minorHAnsi" w:cstheme="minorHAnsi"/>
          <w:szCs w:val="24"/>
        </w:rPr>
        <w:t>all</w:t>
      </w:r>
      <w:r w:rsidR="0031197B" w:rsidRPr="00452FD2">
        <w:rPr>
          <w:rFonts w:asciiTheme="minorHAnsi" w:hAnsiTheme="minorHAnsi" w:cstheme="minorHAnsi"/>
          <w:szCs w:val="24"/>
        </w:rPr>
        <w:t xml:space="preserve"> of</w:t>
      </w:r>
      <w:proofErr w:type="gramEnd"/>
      <w:r w:rsidR="0031197B" w:rsidRPr="00452FD2">
        <w:rPr>
          <w:rFonts w:asciiTheme="minorHAnsi" w:hAnsiTheme="minorHAnsi" w:cstheme="minorHAnsi"/>
          <w:szCs w:val="24"/>
        </w:rPr>
        <w:t xml:space="preserve"> the following: </w:t>
      </w:r>
    </w:p>
    <w:p w14:paraId="01231857" w14:textId="79303DA8" w:rsidR="00115A5D" w:rsidRDefault="00537E35" w:rsidP="002F49CC">
      <w:pPr>
        <w:pStyle w:val="ListParagraph"/>
        <w:numPr>
          <w:ilvl w:val="0"/>
          <w:numId w:val="26"/>
        </w:numPr>
        <w:rPr>
          <w:rFonts w:asciiTheme="minorHAnsi" w:hAnsiTheme="minorHAnsi" w:cstheme="minorHAnsi"/>
          <w:szCs w:val="24"/>
        </w:rPr>
      </w:pPr>
      <w:r>
        <w:rPr>
          <w:rFonts w:asciiTheme="minorHAnsi" w:hAnsiTheme="minorHAnsi" w:cstheme="minorHAnsi"/>
          <w:szCs w:val="24"/>
        </w:rPr>
        <w:t>At least every 5-years, the local unit of government shall h</w:t>
      </w:r>
      <w:r w:rsidR="0031197B" w:rsidRPr="00115A5D">
        <w:rPr>
          <w:rFonts w:asciiTheme="minorHAnsi" w:hAnsiTheme="minorHAnsi" w:cstheme="minorHAnsi"/>
          <w:szCs w:val="24"/>
        </w:rPr>
        <w:t xml:space="preserve">ave an </w:t>
      </w:r>
      <w:r>
        <w:rPr>
          <w:rFonts w:asciiTheme="minorHAnsi" w:hAnsiTheme="minorHAnsi" w:cstheme="minorHAnsi"/>
          <w:szCs w:val="24"/>
        </w:rPr>
        <w:t xml:space="preserve">actuarial </w:t>
      </w:r>
      <w:r w:rsidR="0031197B" w:rsidRPr="00115A5D">
        <w:rPr>
          <w:rFonts w:asciiTheme="minorHAnsi" w:hAnsiTheme="minorHAnsi" w:cstheme="minorHAnsi"/>
          <w:szCs w:val="24"/>
        </w:rPr>
        <w:t>experience study conducted by the plan actuary for each OPEB system</w:t>
      </w:r>
      <w:r>
        <w:rPr>
          <w:rFonts w:asciiTheme="minorHAnsi" w:hAnsiTheme="minorHAnsi" w:cstheme="minorHAnsi"/>
          <w:szCs w:val="24"/>
        </w:rPr>
        <w:t xml:space="preserve"> of the local unit of government.</w:t>
      </w:r>
      <w:r w:rsidR="0031197B" w:rsidRPr="00115A5D">
        <w:rPr>
          <w:rFonts w:asciiTheme="minorHAnsi" w:hAnsiTheme="minorHAnsi" w:cstheme="minorHAnsi"/>
          <w:szCs w:val="24"/>
        </w:rPr>
        <w:t xml:space="preserve"> </w:t>
      </w:r>
    </w:p>
    <w:p w14:paraId="1E5F8427" w14:textId="05BF9507" w:rsidR="00537E35" w:rsidRDefault="00537E35" w:rsidP="002F49CC">
      <w:pPr>
        <w:pStyle w:val="ListParagraph"/>
        <w:numPr>
          <w:ilvl w:val="0"/>
          <w:numId w:val="26"/>
        </w:numPr>
        <w:rPr>
          <w:rFonts w:asciiTheme="minorHAnsi" w:hAnsiTheme="minorHAnsi" w:cstheme="minorHAnsi"/>
          <w:szCs w:val="24"/>
        </w:rPr>
      </w:pPr>
      <w:r>
        <w:rPr>
          <w:rFonts w:asciiTheme="minorHAnsi" w:hAnsiTheme="minorHAnsi" w:cstheme="minorHAnsi"/>
          <w:szCs w:val="24"/>
        </w:rPr>
        <w:t>At least every 8-years, the local unit of government shall do at least one of the following:</w:t>
      </w:r>
    </w:p>
    <w:p w14:paraId="31BB9C51" w14:textId="1109CF22" w:rsidR="00537E35" w:rsidRDefault="0031197B" w:rsidP="002F49CC">
      <w:pPr>
        <w:pStyle w:val="ListParagraph"/>
        <w:numPr>
          <w:ilvl w:val="1"/>
          <w:numId w:val="26"/>
        </w:numPr>
        <w:rPr>
          <w:rFonts w:asciiTheme="minorHAnsi" w:hAnsiTheme="minorHAnsi" w:cstheme="minorHAnsi"/>
          <w:szCs w:val="24"/>
        </w:rPr>
      </w:pPr>
      <w:r w:rsidRPr="00115A5D">
        <w:rPr>
          <w:rFonts w:asciiTheme="minorHAnsi" w:hAnsiTheme="minorHAnsi" w:cstheme="minorHAnsi"/>
          <w:szCs w:val="24"/>
        </w:rPr>
        <w:t>Have a peer actuarial audit conducted by an actuary who is not the plan actuary</w:t>
      </w:r>
      <w:r w:rsidR="002F49CC">
        <w:rPr>
          <w:rFonts w:asciiTheme="minorHAnsi" w:hAnsiTheme="minorHAnsi" w:cstheme="minorHAnsi"/>
          <w:szCs w:val="24"/>
        </w:rPr>
        <w:t>.</w:t>
      </w:r>
    </w:p>
    <w:p w14:paraId="5BD8177D" w14:textId="405C0472" w:rsidR="0031197B" w:rsidRDefault="00537E35" w:rsidP="002F49CC">
      <w:pPr>
        <w:pStyle w:val="ListParagraph"/>
        <w:numPr>
          <w:ilvl w:val="1"/>
          <w:numId w:val="26"/>
        </w:numPr>
        <w:rPr>
          <w:rFonts w:asciiTheme="minorHAnsi" w:hAnsiTheme="minorHAnsi" w:cstheme="minorHAnsi"/>
          <w:szCs w:val="24"/>
        </w:rPr>
      </w:pPr>
      <w:r>
        <w:rPr>
          <w:rFonts w:asciiTheme="minorHAnsi" w:hAnsiTheme="minorHAnsi" w:cstheme="minorHAnsi"/>
          <w:szCs w:val="24"/>
        </w:rPr>
        <w:t>R</w:t>
      </w:r>
      <w:r w:rsidR="0031197B" w:rsidRPr="00115A5D">
        <w:rPr>
          <w:rFonts w:asciiTheme="minorHAnsi" w:hAnsiTheme="minorHAnsi" w:cstheme="minorHAnsi"/>
          <w:szCs w:val="24"/>
        </w:rPr>
        <w:t>eplace the plan actuary</w:t>
      </w:r>
      <w:r w:rsidR="002F49CC">
        <w:rPr>
          <w:rFonts w:asciiTheme="minorHAnsi" w:hAnsiTheme="minorHAnsi" w:cstheme="minorHAnsi"/>
          <w:szCs w:val="24"/>
        </w:rPr>
        <w:t>.</w:t>
      </w:r>
      <w:r w:rsidR="0031197B" w:rsidRPr="00115A5D">
        <w:rPr>
          <w:rFonts w:asciiTheme="minorHAnsi" w:hAnsiTheme="minorHAnsi" w:cstheme="minorHAnsi"/>
          <w:szCs w:val="24"/>
        </w:rPr>
        <w:t xml:space="preserve"> </w:t>
      </w:r>
    </w:p>
    <w:p w14:paraId="1814AD6E" w14:textId="77777777" w:rsidR="00115A5D" w:rsidRDefault="00115A5D" w:rsidP="002F49CC">
      <w:pPr>
        <w:pStyle w:val="ListParagraph"/>
        <w:rPr>
          <w:rFonts w:asciiTheme="minorHAnsi" w:hAnsiTheme="minorHAnsi" w:cstheme="minorHAnsi"/>
          <w:szCs w:val="24"/>
        </w:rPr>
      </w:pPr>
    </w:p>
    <w:p w14:paraId="0BABF19F" w14:textId="77777777" w:rsidR="002F49CC" w:rsidRDefault="002F49CC" w:rsidP="002F49CC">
      <w:pPr>
        <w:pStyle w:val="ListParagraph"/>
        <w:rPr>
          <w:rFonts w:asciiTheme="minorHAnsi" w:hAnsiTheme="minorHAnsi" w:cstheme="minorHAnsi"/>
          <w:szCs w:val="24"/>
        </w:rPr>
      </w:pPr>
    </w:p>
    <w:p w14:paraId="4C2A28E2" w14:textId="77777777" w:rsidR="00137E2C" w:rsidRDefault="00137E2C" w:rsidP="002F49CC">
      <w:pPr>
        <w:pStyle w:val="ListParagraph"/>
        <w:rPr>
          <w:rFonts w:asciiTheme="minorHAnsi" w:hAnsiTheme="minorHAnsi" w:cstheme="minorHAnsi"/>
          <w:szCs w:val="24"/>
        </w:rPr>
      </w:pPr>
    </w:p>
    <w:p w14:paraId="566BD452" w14:textId="32495AEA" w:rsidR="0031197B" w:rsidRDefault="00034AE4" w:rsidP="002F49CC">
      <w:pPr>
        <w:rPr>
          <w:rFonts w:asciiTheme="minorHAnsi" w:hAnsiTheme="minorHAnsi" w:cstheme="minorHAnsi"/>
          <w:szCs w:val="24"/>
        </w:rPr>
      </w:pPr>
      <w:r>
        <w:rPr>
          <w:rFonts w:asciiTheme="minorHAnsi" w:hAnsiTheme="minorHAnsi" w:cstheme="minorHAnsi"/>
          <w:b/>
          <w:bCs/>
          <w:szCs w:val="24"/>
        </w:rPr>
        <w:lastRenderedPageBreak/>
        <w:t>Compliance</w:t>
      </w:r>
      <w:r w:rsidR="00F208E5" w:rsidRPr="00452FD2">
        <w:rPr>
          <w:rFonts w:asciiTheme="minorHAnsi" w:hAnsiTheme="minorHAnsi" w:cstheme="minorHAnsi"/>
          <w:b/>
          <w:bCs/>
          <w:szCs w:val="24"/>
        </w:rPr>
        <w:t xml:space="preserve"> Requirement</w:t>
      </w:r>
      <w:r w:rsidR="00795234" w:rsidRPr="00452FD2">
        <w:rPr>
          <w:rFonts w:asciiTheme="minorHAnsi" w:hAnsiTheme="minorHAnsi" w:cstheme="minorHAnsi"/>
          <w:b/>
          <w:bCs/>
          <w:szCs w:val="24"/>
        </w:rPr>
        <w:t xml:space="preserve">s </w:t>
      </w:r>
    </w:p>
    <w:p w14:paraId="7F2F3293" w14:textId="0B61EC68" w:rsidR="00704072" w:rsidRDefault="00115A5D" w:rsidP="002F49CC">
      <w:pPr>
        <w:rPr>
          <w:rFonts w:asciiTheme="minorHAnsi" w:hAnsiTheme="minorHAnsi" w:cstheme="minorHAnsi"/>
          <w:szCs w:val="24"/>
        </w:rPr>
      </w:pPr>
      <w:r w:rsidRPr="00115A5D">
        <w:rPr>
          <w:rFonts w:asciiTheme="minorHAnsi" w:hAnsiTheme="minorHAnsi" w:cstheme="minorHAnsi"/>
          <w:szCs w:val="24"/>
        </w:rPr>
        <w:t xml:space="preserve">A local government that is eligible to use a specified alternative measurement method for its OPEB system(s) under Governmental Accounting Standards Board standards </w:t>
      </w:r>
      <w:r w:rsidR="00704072">
        <w:rPr>
          <w:rFonts w:asciiTheme="minorHAnsi" w:hAnsiTheme="minorHAnsi" w:cstheme="minorHAnsi"/>
          <w:szCs w:val="24"/>
        </w:rPr>
        <w:t>are</w:t>
      </w:r>
      <w:r w:rsidRPr="00115A5D">
        <w:rPr>
          <w:rFonts w:asciiTheme="minorHAnsi" w:hAnsiTheme="minorHAnsi" w:cstheme="minorHAnsi"/>
          <w:szCs w:val="24"/>
        </w:rPr>
        <w:t xml:space="preserve"> exempt from the </w:t>
      </w:r>
      <w:r w:rsidR="00B4334B" w:rsidRPr="00115A5D">
        <w:rPr>
          <w:rFonts w:asciiTheme="minorHAnsi" w:hAnsiTheme="minorHAnsi" w:cstheme="minorHAnsi"/>
          <w:szCs w:val="24"/>
        </w:rPr>
        <w:t>requirements outlined</w:t>
      </w:r>
      <w:r w:rsidRPr="00115A5D">
        <w:rPr>
          <w:rFonts w:asciiTheme="minorHAnsi" w:hAnsiTheme="minorHAnsi" w:cstheme="minorHAnsi"/>
          <w:szCs w:val="24"/>
        </w:rPr>
        <w:t xml:space="preserve"> in this numbered letter. </w:t>
      </w:r>
    </w:p>
    <w:p w14:paraId="6FAD7298" w14:textId="5DE0411F" w:rsidR="0031197B" w:rsidRPr="00115A5D" w:rsidRDefault="00115A5D" w:rsidP="002F49CC">
      <w:pPr>
        <w:rPr>
          <w:rFonts w:asciiTheme="minorHAnsi" w:hAnsiTheme="minorHAnsi" w:cstheme="minorHAnsi"/>
          <w:szCs w:val="24"/>
        </w:rPr>
      </w:pPr>
      <w:r w:rsidRPr="00115A5D">
        <w:rPr>
          <w:rFonts w:asciiTheme="minorHAnsi" w:hAnsiTheme="minorHAnsi" w:cstheme="minorHAnsi"/>
          <w:szCs w:val="24"/>
        </w:rPr>
        <w:t xml:space="preserve"> </w:t>
      </w:r>
    </w:p>
    <w:p w14:paraId="0C0C0C18" w14:textId="1F5D733E" w:rsidR="00F208E5" w:rsidRPr="00452FD2" w:rsidRDefault="00034AE4" w:rsidP="002F49CC">
      <w:pPr>
        <w:rPr>
          <w:rFonts w:asciiTheme="minorHAnsi" w:hAnsiTheme="minorHAnsi" w:cstheme="minorHAnsi"/>
          <w:b/>
          <w:bCs/>
          <w:szCs w:val="24"/>
        </w:rPr>
      </w:pPr>
      <w:r>
        <w:rPr>
          <w:rFonts w:asciiTheme="minorHAnsi" w:hAnsiTheme="minorHAnsi" w:cstheme="minorHAnsi"/>
          <w:szCs w:val="24"/>
        </w:rPr>
        <w:t>Local government</w:t>
      </w:r>
      <w:r w:rsidR="00C236A6">
        <w:rPr>
          <w:rFonts w:asciiTheme="minorHAnsi" w:hAnsiTheme="minorHAnsi" w:cstheme="minorHAnsi"/>
          <w:szCs w:val="24"/>
        </w:rPr>
        <w:t>s</w:t>
      </w:r>
      <w:r>
        <w:rPr>
          <w:rFonts w:asciiTheme="minorHAnsi" w:hAnsiTheme="minorHAnsi" w:cstheme="minorHAnsi"/>
          <w:szCs w:val="24"/>
        </w:rPr>
        <w:t xml:space="preserve"> </w:t>
      </w:r>
      <w:r w:rsidR="00C236A6">
        <w:rPr>
          <w:rFonts w:asciiTheme="minorHAnsi" w:hAnsiTheme="minorHAnsi" w:cstheme="minorHAnsi"/>
          <w:szCs w:val="24"/>
        </w:rPr>
        <w:t xml:space="preserve">with </w:t>
      </w:r>
      <w:r>
        <w:rPr>
          <w:rFonts w:asciiTheme="minorHAnsi" w:hAnsiTheme="minorHAnsi" w:cstheme="minorHAnsi"/>
          <w:szCs w:val="24"/>
        </w:rPr>
        <w:t xml:space="preserve">OPEB systems that are not exempt </w:t>
      </w:r>
      <w:r w:rsidR="00E641AE">
        <w:rPr>
          <w:rFonts w:asciiTheme="minorHAnsi" w:hAnsiTheme="minorHAnsi" w:cstheme="minorHAnsi"/>
          <w:szCs w:val="24"/>
        </w:rPr>
        <w:t>shall</w:t>
      </w:r>
      <w:r w:rsidR="00F208E5" w:rsidRPr="00452FD2">
        <w:rPr>
          <w:rFonts w:asciiTheme="minorHAnsi" w:hAnsiTheme="minorHAnsi" w:cstheme="minorHAnsi"/>
          <w:szCs w:val="24"/>
        </w:rPr>
        <w:t xml:space="preserve"> comply with the requirements regarding experience studies and </w:t>
      </w:r>
      <w:r w:rsidR="0025049D" w:rsidRPr="00452FD2">
        <w:rPr>
          <w:rFonts w:asciiTheme="minorHAnsi" w:hAnsiTheme="minorHAnsi" w:cstheme="minorHAnsi"/>
          <w:szCs w:val="24"/>
        </w:rPr>
        <w:t>peer-</w:t>
      </w:r>
      <w:r w:rsidR="00C946D2" w:rsidRPr="00452FD2">
        <w:rPr>
          <w:rFonts w:asciiTheme="minorHAnsi" w:hAnsiTheme="minorHAnsi" w:cstheme="minorHAnsi"/>
          <w:szCs w:val="24"/>
        </w:rPr>
        <w:t xml:space="preserve">actuarial </w:t>
      </w:r>
      <w:r w:rsidR="0025049D" w:rsidRPr="00452FD2">
        <w:rPr>
          <w:rFonts w:asciiTheme="minorHAnsi" w:hAnsiTheme="minorHAnsi" w:cstheme="minorHAnsi"/>
          <w:szCs w:val="24"/>
        </w:rPr>
        <w:t>audits (</w:t>
      </w:r>
      <w:r w:rsidR="00C946D2" w:rsidRPr="00452FD2">
        <w:rPr>
          <w:rFonts w:asciiTheme="minorHAnsi" w:hAnsiTheme="minorHAnsi" w:cstheme="minorHAnsi"/>
          <w:szCs w:val="24"/>
        </w:rPr>
        <w:t xml:space="preserve">or </w:t>
      </w:r>
      <w:r w:rsidR="0025049D" w:rsidRPr="00452FD2">
        <w:rPr>
          <w:rFonts w:asciiTheme="minorHAnsi" w:hAnsiTheme="minorHAnsi" w:cstheme="minorHAnsi"/>
          <w:szCs w:val="24"/>
        </w:rPr>
        <w:t>replace</w:t>
      </w:r>
      <w:r>
        <w:rPr>
          <w:rFonts w:asciiTheme="minorHAnsi" w:hAnsiTheme="minorHAnsi" w:cstheme="minorHAnsi"/>
          <w:szCs w:val="24"/>
        </w:rPr>
        <w:t>ment of the</w:t>
      </w:r>
      <w:r w:rsidR="0025049D" w:rsidRPr="00452FD2">
        <w:rPr>
          <w:rFonts w:asciiTheme="minorHAnsi" w:hAnsiTheme="minorHAnsi" w:cstheme="minorHAnsi"/>
          <w:szCs w:val="24"/>
        </w:rPr>
        <w:t xml:space="preserve"> actuary)</w:t>
      </w:r>
      <w:r w:rsidR="00C236A6">
        <w:rPr>
          <w:rFonts w:asciiTheme="minorHAnsi" w:hAnsiTheme="minorHAnsi" w:cstheme="minorHAnsi"/>
          <w:szCs w:val="24"/>
        </w:rPr>
        <w:t xml:space="preserve"> as outlined in this numbered letter</w:t>
      </w:r>
      <w:r w:rsidR="00E641AE">
        <w:rPr>
          <w:rFonts w:asciiTheme="minorHAnsi" w:hAnsiTheme="minorHAnsi" w:cstheme="minorHAnsi"/>
          <w:szCs w:val="24"/>
        </w:rPr>
        <w:t>. L</w:t>
      </w:r>
      <w:r w:rsidR="00827E3F" w:rsidRPr="00452FD2">
        <w:rPr>
          <w:rFonts w:asciiTheme="minorHAnsi" w:hAnsiTheme="minorHAnsi" w:cstheme="minorHAnsi"/>
          <w:szCs w:val="24"/>
        </w:rPr>
        <w:t xml:space="preserve">ocal governments will be required to certify in </w:t>
      </w:r>
      <w:r w:rsidR="00863DB6" w:rsidRPr="00452FD2">
        <w:rPr>
          <w:rFonts w:asciiTheme="minorHAnsi" w:hAnsiTheme="minorHAnsi" w:cstheme="minorHAnsi"/>
          <w:szCs w:val="24"/>
        </w:rPr>
        <w:t xml:space="preserve">the </w:t>
      </w:r>
      <w:r w:rsidR="00886DA7">
        <w:rPr>
          <w:rFonts w:asciiTheme="minorHAnsi" w:hAnsiTheme="minorHAnsi" w:cstheme="minorHAnsi"/>
          <w:szCs w:val="24"/>
        </w:rPr>
        <w:t xml:space="preserve">annual </w:t>
      </w:r>
      <w:r w:rsidR="00C236A6">
        <w:rPr>
          <w:rFonts w:asciiTheme="minorHAnsi" w:hAnsiTheme="minorHAnsi" w:cstheme="minorHAnsi"/>
          <w:szCs w:val="24"/>
        </w:rPr>
        <w:t>Form 5572</w:t>
      </w:r>
      <w:r w:rsidR="00827E3F" w:rsidRPr="00452FD2">
        <w:rPr>
          <w:rFonts w:asciiTheme="minorHAnsi" w:hAnsiTheme="minorHAnsi" w:cstheme="minorHAnsi"/>
          <w:szCs w:val="24"/>
        </w:rPr>
        <w:t xml:space="preserve"> that</w:t>
      </w:r>
      <w:r>
        <w:rPr>
          <w:rFonts w:asciiTheme="minorHAnsi" w:hAnsiTheme="minorHAnsi" w:cstheme="minorHAnsi"/>
          <w:szCs w:val="24"/>
        </w:rPr>
        <w:t xml:space="preserve"> the</w:t>
      </w:r>
      <w:r w:rsidR="00827E3F" w:rsidRPr="00452FD2">
        <w:rPr>
          <w:rFonts w:asciiTheme="minorHAnsi" w:hAnsiTheme="minorHAnsi" w:cstheme="minorHAnsi"/>
          <w:szCs w:val="24"/>
        </w:rPr>
        <w:t xml:space="preserve"> requirements</w:t>
      </w:r>
      <w:r>
        <w:rPr>
          <w:rFonts w:asciiTheme="minorHAnsi" w:hAnsiTheme="minorHAnsi" w:cstheme="minorHAnsi"/>
          <w:szCs w:val="24"/>
        </w:rPr>
        <w:t xml:space="preserve"> </w:t>
      </w:r>
      <w:r w:rsidR="00827E3F" w:rsidRPr="00452FD2">
        <w:rPr>
          <w:rFonts w:asciiTheme="minorHAnsi" w:hAnsiTheme="minorHAnsi" w:cstheme="minorHAnsi"/>
          <w:szCs w:val="24"/>
        </w:rPr>
        <w:t>detailed in this numbered letter</w:t>
      </w:r>
      <w:r w:rsidR="005205ED">
        <w:rPr>
          <w:rFonts w:asciiTheme="minorHAnsi" w:hAnsiTheme="minorHAnsi" w:cstheme="minorHAnsi"/>
          <w:szCs w:val="24"/>
        </w:rPr>
        <w:t xml:space="preserve"> have been met</w:t>
      </w:r>
      <w:r w:rsidR="00827E3F" w:rsidRPr="00452FD2">
        <w:rPr>
          <w:rFonts w:asciiTheme="minorHAnsi" w:hAnsiTheme="minorHAnsi" w:cstheme="minorHAnsi"/>
          <w:szCs w:val="24"/>
        </w:rPr>
        <w:t>.</w:t>
      </w:r>
    </w:p>
    <w:p w14:paraId="4E076ED7" w14:textId="0E34192E" w:rsidR="00863DB6" w:rsidRPr="00452FD2" w:rsidRDefault="00863DB6" w:rsidP="002F49CC">
      <w:pPr>
        <w:rPr>
          <w:rFonts w:asciiTheme="minorHAnsi" w:hAnsiTheme="minorHAnsi" w:cstheme="minorHAnsi"/>
          <w:szCs w:val="24"/>
        </w:rPr>
      </w:pPr>
    </w:p>
    <w:p w14:paraId="7FB6C2D6" w14:textId="19906801" w:rsidR="00863DB6" w:rsidRPr="00452FD2" w:rsidRDefault="00863DB6" w:rsidP="002F49CC">
      <w:pPr>
        <w:rPr>
          <w:rFonts w:asciiTheme="minorHAnsi" w:hAnsiTheme="minorHAnsi" w:cstheme="minorHAnsi"/>
          <w:szCs w:val="24"/>
        </w:rPr>
      </w:pPr>
      <w:r w:rsidRPr="00452FD2">
        <w:rPr>
          <w:rFonts w:asciiTheme="minorHAnsi" w:hAnsiTheme="minorHAnsi" w:cstheme="minorHAnsi"/>
          <w:szCs w:val="24"/>
        </w:rPr>
        <w:t xml:space="preserve">Failure to </w:t>
      </w:r>
      <w:r w:rsidR="00051C15" w:rsidRPr="00452FD2">
        <w:rPr>
          <w:rFonts w:asciiTheme="minorHAnsi" w:hAnsiTheme="minorHAnsi" w:cstheme="minorHAnsi"/>
          <w:szCs w:val="24"/>
        </w:rPr>
        <w:t>certify compliance with these requirements may result in a determination of underfunded status pursuant to section 5(4) of the Act.</w:t>
      </w:r>
    </w:p>
    <w:p w14:paraId="1C77FBE7" w14:textId="77777777" w:rsidR="00F208E5" w:rsidRPr="00452FD2" w:rsidRDefault="00F208E5" w:rsidP="002F49CC">
      <w:pPr>
        <w:rPr>
          <w:rFonts w:asciiTheme="minorHAnsi" w:hAnsiTheme="minorHAnsi" w:cstheme="minorHAnsi"/>
          <w:b/>
          <w:bCs/>
          <w:szCs w:val="24"/>
        </w:rPr>
      </w:pPr>
    </w:p>
    <w:p w14:paraId="5F2A96B9" w14:textId="43318B77" w:rsidR="00034AE4" w:rsidRDefault="009C73C6" w:rsidP="002F49CC">
      <w:pPr>
        <w:rPr>
          <w:rFonts w:asciiTheme="minorHAnsi" w:hAnsiTheme="minorHAnsi" w:cstheme="minorHAnsi"/>
          <w:b/>
          <w:bCs/>
          <w:szCs w:val="24"/>
        </w:rPr>
      </w:pPr>
      <w:r w:rsidRPr="00452FD2">
        <w:rPr>
          <w:rFonts w:asciiTheme="minorHAnsi" w:hAnsiTheme="minorHAnsi" w:cstheme="minorHAnsi"/>
          <w:b/>
          <w:bCs/>
          <w:szCs w:val="24"/>
        </w:rPr>
        <w:t>Experience Study Requirements</w:t>
      </w:r>
      <w:r w:rsidR="00795234" w:rsidRPr="00452FD2">
        <w:rPr>
          <w:rFonts w:asciiTheme="minorHAnsi" w:hAnsiTheme="minorHAnsi" w:cstheme="minorHAnsi"/>
          <w:b/>
          <w:bCs/>
          <w:szCs w:val="24"/>
        </w:rPr>
        <w:t xml:space="preserve"> </w:t>
      </w:r>
    </w:p>
    <w:p w14:paraId="47DC8B4E" w14:textId="77777777" w:rsidR="00034AE4" w:rsidRPr="00452FD2" w:rsidRDefault="00034AE4" w:rsidP="002F49CC">
      <w:pPr>
        <w:rPr>
          <w:rFonts w:asciiTheme="minorHAnsi" w:hAnsiTheme="minorHAnsi" w:cstheme="minorHAnsi"/>
          <w:szCs w:val="24"/>
        </w:rPr>
      </w:pPr>
      <w:r w:rsidRPr="00452FD2">
        <w:rPr>
          <w:rFonts w:asciiTheme="minorHAnsi" w:hAnsiTheme="minorHAnsi" w:cstheme="minorHAnsi"/>
          <w:szCs w:val="24"/>
        </w:rPr>
        <w:t xml:space="preserve">All OPEB systems </w:t>
      </w:r>
      <w:r>
        <w:rPr>
          <w:rFonts w:asciiTheme="minorHAnsi" w:hAnsiTheme="minorHAnsi" w:cstheme="minorHAnsi"/>
          <w:szCs w:val="24"/>
        </w:rPr>
        <w:t>that are not exempt from these requirements</w:t>
      </w:r>
      <w:r w:rsidRPr="00452FD2">
        <w:rPr>
          <w:rFonts w:asciiTheme="minorHAnsi" w:hAnsiTheme="minorHAnsi" w:cstheme="minorHAnsi"/>
          <w:szCs w:val="24"/>
        </w:rPr>
        <w:t xml:space="preserve"> shall complete an experience study at least every 5 years. </w:t>
      </w:r>
      <w:r>
        <w:rPr>
          <w:rFonts w:asciiTheme="minorHAnsi" w:hAnsiTheme="minorHAnsi" w:cstheme="minorHAnsi"/>
          <w:szCs w:val="24"/>
        </w:rPr>
        <w:t>OPEB</w:t>
      </w:r>
      <w:r w:rsidRPr="00452FD2">
        <w:rPr>
          <w:rFonts w:asciiTheme="minorHAnsi" w:hAnsiTheme="minorHAnsi" w:cstheme="minorHAnsi"/>
          <w:szCs w:val="24"/>
        </w:rPr>
        <w:t xml:space="preserve"> systems with an experience study performed prior to this date will be required to have its next experience study no more than 5-years following the previous study or </w:t>
      </w:r>
      <w:r>
        <w:rPr>
          <w:rFonts w:asciiTheme="minorHAnsi" w:hAnsiTheme="minorHAnsi" w:cstheme="minorHAnsi"/>
          <w:szCs w:val="24"/>
        </w:rPr>
        <w:t xml:space="preserve">valuation measurement period ending </w:t>
      </w:r>
      <w:r w:rsidRPr="008B67DF">
        <w:rPr>
          <w:rFonts w:asciiTheme="minorHAnsi" w:hAnsiTheme="minorHAnsi" w:cstheme="minorHAnsi"/>
          <w:szCs w:val="24"/>
        </w:rPr>
        <w:t>December 31, 202</w:t>
      </w:r>
      <w:r>
        <w:rPr>
          <w:rFonts w:asciiTheme="minorHAnsi" w:hAnsiTheme="minorHAnsi" w:cstheme="minorHAnsi"/>
          <w:szCs w:val="24"/>
        </w:rPr>
        <w:t>3</w:t>
      </w:r>
      <w:r w:rsidRPr="00452FD2">
        <w:rPr>
          <w:rFonts w:asciiTheme="minorHAnsi" w:hAnsiTheme="minorHAnsi" w:cstheme="minorHAnsi"/>
          <w:szCs w:val="24"/>
        </w:rPr>
        <w:t>, whichever is later.</w:t>
      </w:r>
    </w:p>
    <w:p w14:paraId="14E24778" w14:textId="77777777" w:rsidR="00034AE4" w:rsidRDefault="00034AE4" w:rsidP="002F49CC">
      <w:pPr>
        <w:rPr>
          <w:rFonts w:asciiTheme="minorHAnsi" w:hAnsiTheme="minorHAnsi" w:cstheme="minorHAnsi"/>
          <w:b/>
          <w:bCs/>
          <w:szCs w:val="24"/>
        </w:rPr>
      </w:pPr>
    </w:p>
    <w:p w14:paraId="2DA85199" w14:textId="7FE525A6" w:rsidR="009C73C6" w:rsidRDefault="00795234" w:rsidP="002F49CC">
      <w:pPr>
        <w:rPr>
          <w:rFonts w:asciiTheme="minorHAnsi" w:hAnsiTheme="minorHAnsi" w:cstheme="minorHAnsi"/>
          <w:szCs w:val="24"/>
        </w:rPr>
      </w:pPr>
      <w:r w:rsidRPr="00452FD2">
        <w:rPr>
          <w:rFonts w:asciiTheme="minorHAnsi" w:hAnsiTheme="minorHAnsi" w:cstheme="minorHAnsi"/>
          <w:szCs w:val="24"/>
        </w:rPr>
        <w:t xml:space="preserve">An experience study looks back at the actual experience of the </w:t>
      </w:r>
      <w:r w:rsidR="005205ED">
        <w:rPr>
          <w:rFonts w:asciiTheme="minorHAnsi" w:hAnsiTheme="minorHAnsi" w:cstheme="minorHAnsi"/>
          <w:szCs w:val="24"/>
        </w:rPr>
        <w:t>OPEB</w:t>
      </w:r>
      <w:r w:rsidRPr="00452FD2">
        <w:rPr>
          <w:rFonts w:asciiTheme="minorHAnsi" w:hAnsiTheme="minorHAnsi" w:cstheme="minorHAnsi"/>
          <w:szCs w:val="24"/>
        </w:rPr>
        <w:t xml:space="preserve"> system compared to demographic, and economic assumptions, and recommends changes to current demographic,</w:t>
      </w:r>
      <w:r w:rsidR="00557809" w:rsidRPr="00452FD2">
        <w:rPr>
          <w:rFonts w:asciiTheme="minorHAnsi" w:hAnsiTheme="minorHAnsi" w:cstheme="minorHAnsi"/>
          <w:szCs w:val="24"/>
        </w:rPr>
        <w:t xml:space="preserve"> </w:t>
      </w:r>
      <w:r w:rsidRPr="00452FD2">
        <w:rPr>
          <w:rFonts w:asciiTheme="minorHAnsi" w:hAnsiTheme="minorHAnsi" w:cstheme="minorHAnsi"/>
          <w:szCs w:val="24"/>
        </w:rPr>
        <w:t>economic</w:t>
      </w:r>
      <w:r w:rsidR="00557809" w:rsidRPr="00452FD2">
        <w:rPr>
          <w:rFonts w:asciiTheme="minorHAnsi" w:hAnsiTheme="minorHAnsi" w:cstheme="minorHAnsi"/>
          <w:szCs w:val="24"/>
        </w:rPr>
        <w:t>, and capital market</w:t>
      </w:r>
      <w:r w:rsidRPr="00452FD2">
        <w:rPr>
          <w:rFonts w:asciiTheme="minorHAnsi" w:hAnsiTheme="minorHAnsi" w:cstheme="minorHAnsi"/>
          <w:szCs w:val="24"/>
        </w:rPr>
        <w:t xml:space="preserve"> assumptions.</w:t>
      </w:r>
      <w:r w:rsidR="00440A66">
        <w:rPr>
          <w:rFonts w:asciiTheme="minorHAnsi" w:hAnsiTheme="minorHAnsi" w:cstheme="minorHAnsi"/>
          <w:szCs w:val="24"/>
        </w:rPr>
        <w:t xml:space="preserve"> </w:t>
      </w:r>
    </w:p>
    <w:p w14:paraId="7E3556C5" w14:textId="5F4EAEF0" w:rsidR="00795234" w:rsidRPr="00452FD2" w:rsidRDefault="00795234" w:rsidP="002F49CC">
      <w:pPr>
        <w:rPr>
          <w:rFonts w:asciiTheme="minorHAnsi" w:hAnsiTheme="minorHAnsi" w:cstheme="minorHAnsi"/>
          <w:szCs w:val="24"/>
        </w:rPr>
      </w:pPr>
    </w:p>
    <w:p w14:paraId="689A1243" w14:textId="2A658451" w:rsidR="00795234" w:rsidRPr="00452FD2" w:rsidRDefault="008423C1" w:rsidP="002F49CC">
      <w:pPr>
        <w:spacing w:after="120"/>
        <w:rPr>
          <w:rFonts w:asciiTheme="minorHAnsi" w:hAnsiTheme="minorHAnsi" w:cstheme="minorHAnsi"/>
          <w:szCs w:val="24"/>
        </w:rPr>
      </w:pPr>
      <w:r w:rsidRPr="00452FD2">
        <w:rPr>
          <w:rFonts w:asciiTheme="minorHAnsi" w:hAnsiTheme="minorHAnsi" w:cstheme="minorHAnsi"/>
          <w:szCs w:val="24"/>
        </w:rPr>
        <w:t>In accordance with section 4(1)</w:t>
      </w:r>
      <w:r w:rsidR="00886DA7">
        <w:rPr>
          <w:rFonts w:asciiTheme="minorHAnsi" w:hAnsiTheme="minorHAnsi" w:cstheme="minorHAnsi"/>
          <w:szCs w:val="24"/>
        </w:rPr>
        <w:t>(c)</w:t>
      </w:r>
      <w:r w:rsidRPr="00452FD2">
        <w:rPr>
          <w:rFonts w:asciiTheme="minorHAnsi" w:hAnsiTheme="minorHAnsi" w:cstheme="minorHAnsi"/>
          <w:szCs w:val="24"/>
        </w:rPr>
        <w:t xml:space="preserve"> of the Act, each </w:t>
      </w:r>
      <w:r w:rsidR="00BD6D77">
        <w:rPr>
          <w:rFonts w:asciiTheme="minorHAnsi" w:hAnsiTheme="minorHAnsi" w:cstheme="minorHAnsi"/>
          <w:szCs w:val="24"/>
        </w:rPr>
        <w:t>local government</w:t>
      </w:r>
      <w:r w:rsidRPr="00452FD2">
        <w:rPr>
          <w:rFonts w:asciiTheme="minorHAnsi" w:hAnsiTheme="minorHAnsi" w:cstheme="minorHAnsi"/>
          <w:szCs w:val="24"/>
        </w:rPr>
        <w:t xml:space="preserve"> shall conduct an experience study for each eligible </w:t>
      </w:r>
      <w:r w:rsidR="008B67DF">
        <w:rPr>
          <w:rFonts w:asciiTheme="minorHAnsi" w:hAnsiTheme="minorHAnsi" w:cstheme="minorHAnsi"/>
          <w:szCs w:val="24"/>
        </w:rPr>
        <w:t>OPEB</w:t>
      </w:r>
      <w:r w:rsidRPr="00452FD2">
        <w:rPr>
          <w:rFonts w:asciiTheme="minorHAnsi" w:hAnsiTheme="minorHAnsi" w:cstheme="minorHAnsi"/>
          <w:szCs w:val="24"/>
        </w:rPr>
        <w:t xml:space="preserve"> system required to report under the Act that is not exempt from this requirement. A valid experience study should review the actual experience </w:t>
      </w:r>
      <w:r w:rsidR="00BD6D77">
        <w:rPr>
          <w:rFonts w:asciiTheme="minorHAnsi" w:hAnsiTheme="minorHAnsi" w:cstheme="minorHAnsi"/>
          <w:szCs w:val="24"/>
        </w:rPr>
        <w:t xml:space="preserve">of </w:t>
      </w:r>
      <w:r w:rsidRPr="00452FD2">
        <w:rPr>
          <w:rFonts w:asciiTheme="minorHAnsi" w:hAnsiTheme="minorHAnsi" w:cstheme="minorHAnsi"/>
          <w:szCs w:val="24"/>
        </w:rPr>
        <w:t>the assumptions listed below</w:t>
      </w:r>
      <w:r w:rsidR="00557809" w:rsidRPr="00452FD2">
        <w:rPr>
          <w:rFonts w:asciiTheme="minorHAnsi" w:hAnsiTheme="minorHAnsi" w:cstheme="minorHAnsi"/>
          <w:szCs w:val="24"/>
        </w:rPr>
        <w:t xml:space="preserve"> (where applicable</w:t>
      </w:r>
      <w:r w:rsidR="00364084">
        <w:rPr>
          <w:rFonts w:asciiTheme="minorHAnsi" w:hAnsiTheme="minorHAnsi" w:cstheme="minorHAnsi"/>
          <w:szCs w:val="24"/>
        </w:rPr>
        <w:t xml:space="preserve"> and as necessary</w:t>
      </w:r>
      <w:r w:rsidR="00557809" w:rsidRPr="00452FD2">
        <w:rPr>
          <w:rFonts w:asciiTheme="minorHAnsi" w:hAnsiTheme="minorHAnsi" w:cstheme="minorHAnsi"/>
          <w:szCs w:val="24"/>
        </w:rPr>
        <w:t>),</w:t>
      </w:r>
      <w:r w:rsidRPr="00452FD2">
        <w:rPr>
          <w:rFonts w:asciiTheme="minorHAnsi" w:hAnsiTheme="minorHAnsi" w:cstheme="minorHAnsi"/>
          <w:szCs w:val="24"/>
        </w:rPr>
        <w:t xml:space="preserve"> </w:t>
      </w:r>
      <w:r w:rsidR="00557809" w:rsidRPr="00452FD2">
        <w:rPr>
          <w:rFonts w:asciiTheme="minorHAnsi" w:hAnsiTheme="minorHAnsi" w:cstheme="minorHAnsi"/>
          <w:szCs w:val="24"/>
        </w:rPr>
        <w:t xml:space="preserve">consistent with guidance provided </w:t>
      </w:r>
      <w:r w:rsidR="00D37C40" w:rsidRPr="00452FD2">
        <w:rPr>
          <w:rFonts w:asciiTheme="minorHAnsi" w:hAnsiTheme="minorHAnsi" w:cstheme="minorHAnsi"/>
          <w:szCs w:val="24"/>
        </w:rPr>
        <w:t xml:space="preserve">by your </w:t>
      </w:r>
      <w:r w:rsidR="008B67DF">
        <w:rPr>
          <w:rFonts w:asciiTheme="minorHAnsi" w:hAnsiTheme="minorHAnsi" w:cstheme="minorHAnsi"/>
          <w:szCs w:val="24"/>
        </w:rPr>
        <w:t>OPEB</w:t>
      </w:r>
      <w:r w:rsidR="00D37C40" w:rsidRPr="00452FD2">
        <w:rPr>
          <w:rFonts w:asciiTheme="minorHAnsi" w:hAnsiTheme="minorHAnsi" w:cstheme="minorHAnsi"/>
          <w:szCs w:val="24"/>
        </w:rPr>
        <w:t xml:space="preserve"> system</w:t>
      </w:r>
      <w:r w:rsidR="008B67DF">
        <w:rPr>
          <w:rFonts w:asciiTheme="minorHAnsi" w:hAnsiTheme="minorHAnsi" w:cstheme="minorHAnsi"/>
          <w:szCs w:val="24"/>
        </w:rPr>
        <w:t xml:space="preserve"> board or actuaries</w:t>
      </w:r>
      <w:r w:rsidR="00BD6D77">
        <w:rPr>
          <w:rFonts w:asciiTheme="minorHAnsi" w:hAnsiTheme="minorHAnsi" w:cstheme="minorHAnsi"/>
          <w:szCs w:val="24"/>
        </w:rPr>
        <w:t>. E</w:t>
      </w:r>
      <w:r w:rsidR="00BD6D77" w:rsidRPr="00BD6D77">
        <w:rPr>
          <w:rFonts w:asciiTheme="minorHAnsi" w:hAnsiTheme="minorHAnsi" w:cstheme="minorHAnsi"/>
          <w:szCs w:val="24"/>
        </w:rPr>
        <w:t>xperience that is not credible by itself can be supplemented by appropriate industry studies and similar information</w:t>
      </w:r>
      <w:r w:rsidRPr="00452FD2">
        <w:rPr>
          <w:rFonts w:asciiTheme="minorHAnsi" w:hAnsiTheme="minorHAnsi" w:cstheme="minorHAnsi"/>
          <w:szCs w:val="24"/>
        </w:rPr>
        <w:t>:</w:t>
      </w:r>
    </w:p>
    <w:p w14:paraId="3210811D" w14:textId="6B4DB57E" w:rsidR="00F37D4D" w:rsidRPr="00D0328F" w:rsidRDefault="00F37D4D" w:rsidP="002F49CC">
      <w:pPr>
        <w:pStyle w:val="ListParagraph"/>
        <w:numPr>
          <w:ilvl w:val="0"/>
          <w:numId w:val="20"/>
        </w:numPr>
        <w:rPr>
          <w:rFonts w:asciiTheme="minorHAnsi" w:hAnsiTheme="minorHAnsi" w:cstheme="minorHAnsi"/>
          <w:szCs w:val="24"/>
        </w:rPr>
      </w:pPr>
      <w:r w:rsidRPr="00D0328F">
        <w:rPr>
          <w:rFonts w:asciiTheme="minorHAnsi" w:hAnsiTheme="minorHAnsi" w:cstheme="minorHAnsi"/>
          <w:szCs w:val="24"/>
        </w:rPr>
        <w:t>Healthcare inflation</w:t>
      </w:r>
      <w:r w:rsidR="006769FD" w:rsidRPr="00D0328F">
        <w:rPr>
          <w:rFonts w:asciiTheme="minorHAnsi" w:hAnsiTheme="minorHAnsi" w:cstheme="minorHAnsi"/>
          <w:szCs w:val="24"/>
        </w:rPr>
        <w:t xml:space="preserve"> – initial and ultimate trend rates</w:t>
      </w:r>
      <w:r w:rsidR="00E40638" w:rsidRPr="00D0328F">
        <w:rPr>
          <w:rFonts w:asciiTheme="minorHAnsi" w:hAnsiTheme="minorHAnsi" w:cstheme="minorHAnsi"/>
          <w:szCs w:val="24"/>
        </w:rPr>
        <w:t xml:space="preserve"> (review for both Medicare and pre-Medicare</w:t>
      </w:r>
      <w:r w:rsidR="00DA0A0E">
        <w:rPr>
          <w:rFonts w:asciiTheme="minorHAnsi" w:hAnsiTheme="minorHAnsi" w:cstheme="minorHAnsi"/>
          <w:szCs w:val="24"/>
        </w:rPr>
        <w:t xml:space="preserve">, as well as medical and prescription </w:t>
      </w:r>
      <w:r w:rsidR="00E40638" w:rsidRPr="00D0328F">
        <w:rPr>
          <w:rFonts w:asciiTheme="minorHAnsi" w:hAnsiTheme="minorHAnsi" w:cstheme="minorHAnsi"/>
          <w:szCs w:val="24"/>
        </w:rPr>
        <w:t>where applicable)</w:t>
      </w:r>
    </w:p>
    <w:p w14:paraId="0C053BF6" w14:textId="18A28710" w:rsidR="00293CB4" w:rsidRPr="00D0328F" w:rsidRDefault="005A0B43" w:rsidP="002F49CC">
      <w:pPr>
        <w:pStyle w:val="ListParagraph"/>
        <w:numPr>
          <w:ilvl w:val="0"/>
          <w:numId w:val="20"/>
        </w:numPr>
        <w:rPr>
          <w:rFonts w:asciiTheme="minorHAnsi" w:hAnsiTheme="minorHAnsi" w:cstheme="minorHAnsi"/>
          <w:szCs w:val="24"/>
        </w:rPr>
      </w:pPr>
      <w:r w:rsidRPr="00D0328F">
        <w:rPr>
          <w:rFonts w:asciiTheme="minorHAnsi" w:hAnsiTheme="minorHAnsi" w:cstheme="minorHAnsi"/>
          <w:szCs w:val="24"/>
        </w:rPr>
        <w:t>Interest rate of return and discount rate (if applicable and to the extent it is not performed during annual/biannual valuations)</w:t>
      </w:r>
    </w:p>
    <w:p w14:paraId="1B58B2F0" w14:textId="275DB7DF" w:rsidR="005327D1" w:rsidRPr="00D0328F" w:rsidRDefault="00F37D4D" w:rsidP="002F49CC">
      <w:pPr>
        <w:pStyle w:val="ListParagraph"/>
        <w:numPr>
          <w:ilvl w:val="0"/>
          <w:numId w:val="20"/>
        </w:numPr>
        <w:rPr>
          <w:rFonts w:asciiTheme="minorHAnsi" w:hAnsiTheme="minorHAnsi" w:cstheme="minorHAnsi"/>
          <w:szCs w:val="24"/>
        </w:rPr>
      </w:pPr>
      <w:r w:rsidRPr="00D0328F">
        <w:rPr>
          <w:rFonts w:asciiTheme="minorHAnsi" w:hAnsiTheme="minorHAnsi" w:cstheme="minorHAnsi"/>
          <w:szCs w:val="24"/>
        </w:rPr>
        <w:t>Age Curve</w:t>
      </w:r>
    </w:p>
    <w:p w14:paraId="5163B2AA" w14:textId="4D50F780" w:rsidR="006769FD" w:rsidRPr="00D0328F" w:rsidRDefault="006769FD" w:rsidP="002F49CC">
      <w:pPr>
        <w:pStyle w:val="ListParagraph"/>
        <w:numPr>
          <w:ilvl w:val="0"/>
          <w:numId w:val="20"/>
        </w:numPr>
        <w:rPr>
          <w:rFonts w:asciiTheme="minorHAnsi" w:hAnsiTheme="minorHAnsi" w:cstheme="minorHAnsi"/>
          <w:szCs w:val="24"/>
        </w:rPr>
      </w:pPr>
      <w:r w:rsidRPr="00D0328F">
        <w:rPr>
          <w:rFonts w:asciiTheme="minorHAnsi" w:hAnsiTheme="minorHAnsi" w:cstheme="minorHAnsi"/>
          <w:szCs w:val="24"/>
        </w:rPr>
        <w:t>Mortality</w:t>
      </w:r>
      <w:r w:rsidR="004A4605" w:rsidRPr="00D0328F">
        <w:rPr>
          <w:rFonts w:asciiTheme="minorHAnsi" w:hAnsiTheme="minorHAnsi" w:cstheme="minorHAnsi"/>
          <w:szCs w:val="24"/>
        </w:rPr>
        <w:t xml:space="preserve"> rates</w:t>
      </w:r>
    </w:p>
    <w:p w14:paraId="112619B8" w14:textId="0676133A" w:rsidR="008E3113" w:rsidRDefault="008E3113" w:rsidP="002F49CC">
      <w:pPr>
        <w:pStyle w:val="ListParagraph"/>
        <w:numPr>
          <w:ilvl w:val="0"/>
          <w:numId w:val="20"/>
        </w:numPr>
        <w:spacing w:after="120"/>
        <w:rPr>
          <w:rFonts w:asciiTheme="minorHAnsi" w:hAnsiTheme="minorHAnsi" w:cstheme="minorHAnsi"/>
          <w:szCs w:val="24"/>
        </w:rPr>
      </w:pPr>
      <w:r w:rsidRPr="00D0328F">
        <w:rPr>
          <w:rFonts w:asciiTheme="minorHAnsi" w:hAnsiTheme="minorHAnsi" w:cstheme="minorHAnsi"/>
          <w:szCs w:val="24"/>
        </w:rPr>
        <w:t>Disability</w:t>
      </w:r>
      <w:r w:rsidR="00793A18" w:rsidRPr="00D0328F">
        <w:rPr>
          <w:rFonts w:asciiTheme="minorHAnsi" w:hAnsiTheme="minorHAnsi" w:cstheme="minorHAnsi"/>
          <w:szCs w:val="24"/>
        </w:rPr>
        <w:t xml:space="preserve"> rates</w:t>
      </w:r>
    </w:p>
    <w:p w14:paraId="0FE6EDFB" w14:textId="1AF6BEDC" w:rsidR="00030B1A" w:rsidRDefault="00030B1A" w:rsidP="002F49CC">
      <w:pPr>
        <w:pStyle w:val="ListParagraph"/>
        <w:numPr>
          <w:ilvl w:val="0"/>
          <w:numId w:val="20"/>
        </w:numPr>
        <w:spacing w:after="120"/>
        <w:rPr>
          <w:rFonts w:asciiTheme="minorHAnsi" w:hAnsiTheme="minorHAnsi" w:cstheme="minorHAnsi"/>
          <w:szCs w:val="24"/>
        </w:rPr>
      </w:pPr>
      <w:r>
        <w:rPr>
          <w:rFonts w:asciiTheme="minorHAnsi" w:hAnsiTheme="minorHAnsi" w:cstheme="minorHAnsi"/>
          <w:szCs w:val="24"/>
        </w:rPr>
        <w:t>Retirement Rates</w:t>
      </w:r>
    </w:p>
    <w:p w14:paraId="74797096" w14:textId="5FDEDEAA" w:rsidR="00030B1A" w:rsidRDefault="00030B1A" w:rsidP="002F49CC">
      <w:pPr>
        <w:pStyle w:val="ListParagraph"/>
        <w:numPr>
          <w:ilvl w:val="0"/>
          <w:numId w:val="20"/>
        </w:numPr>
        <w:spacing w:after="120"/>
        <w:rPr>
          <w:rFonts w:asciiTheme="minorHAnsi" w:hAnsiTheme="minorHAnsi" w:cstheme="minorHAnsi"/>
          <w:szCs w:val="24"/>
        </w:rPr>
      </w:pPr>
      <w:r>
        <w:rPr>
          <w:rFonts w:asciiTheme="minorHAnsi" w:hAnsiTheme="minorHAnsi" w:cstheme="minorHAnsi"/>
          <w:szCs w:val="24"/>
        </w:rPr>
        <w:t>Termination/withdrawal rates</w:t>
      </w:r>
    </w:p>
    <w:p w14:paraId="01361849" w14:textId="3A9B7547" w:rsidR="00030B1A" w:rsidRPr="00DA0A0E" w:rsidRDefault="00BD6D77" w:rsidP="002F49CC">
      <w:pPr>
        <w:pStyle w:val="ListParagraph"/>
        <w:numPr>
          <w:ilvl w:val="0"/>
          <w:numId w:val="20"/>
        </w:numPr>
        <w:spacing w:after="120"/>
        <w:rPr>
          <w:rFonts w:asciiTheme="minorHAnsi" w:hAnsiTheme="minorHAnsi" w:cstheme="minorHAnsi"/>
          <w:szCs w:val="24"/>
        </w:rPr>
      </w:pPr>
      <w:r w:rsidRPr="00DA0A0E">
        <w:rPr>
          <w:rFonts w:asciiTheme="minorHAnsi" w:hAnsiTheme="minorHAnsi" w:cstheme="minorHAnsi"/>
          <w:szCs w:val="24"/>
        </w:rPr>
        <w:t>Coverage election rates</w:t>
      </w:r>
    </w:p>
    <w:p w14:paraId="52DC96E1" w14:textId="388FB37A" w:rsidR="00B90B60" w:rsidRDefault="00B90B60" w:rsidP="002F49CC">
      <w:pPr>
        <w:rPr>
          <w:rFonts w:asciiTheme="minorHAnsi" w:hAnsiTheme="minorHAnsi" w:cstheme="minorHAnsi"/>
          <w:szCs w:val="24"/>
        </w:rPr>
      </w:pPr>
      <w:r w:rsidRPr="00452FD2">
        <w:rPr>
          <w:rFonts w:asciiTheme="minorHAnsi" w:hAnsiTheme="minorHAnsi" w:cstheme="minorHAnsi"/>
          <w:szCs w:val="24"/>
        </w:rPr>
        <w:t xml:space="preserve">Experience studies should be </w:t>
      </w:r>
      <w:r w:rsidR="00D0328F">
        <w:rPr>
          <w:rFonts w:asciiTheme="minorHAnsi" w:hAnsiTheme="minorHAnsi" w:cstheme="minorHAnsi"/>
          <w:szCs w:val="24"/>
        </w:rPr>
        <w:t>used</w:t>
      </w:r>
      <w:r w:rsidRPr="00452FD2">
        <w:rPr>
          <w:rFonts w:asciiTheme="minorHAnsi" w:hAnsiTheme="minorHAnsi" w:cstheme="minorHAnsi"/>
          <w:szCs w:val="24"/>
        </w:rPr>
        <w:t xml:space="preserve"> to determine necessary changes</w:t>
      </w:r>
      <w:r w:rsidR="00DE1306" w:rsidRPr="00452FD2">
        <w:rPr>
          <w:rFonts w:asciiTheme="minorHAnsi" w:hAnsiTheme="minorHAnsi" w:cstheme="minorHAnsi"/>
          <w:szCs w:val="24"/>
        </w:rPr>
        <w:t xml:space="preserve"> to demographic,</w:t>
      </w:r>
      <w:r w:rsidR="008E3113" w:rsidRPr="00452FD2">
        <w:rPr>
          <w:rFonts w:asciiTheme="minorHAnsi" w:hAnsiTheme="minorHAnsi" w:cstheme="minorHAnsi"/>
          <w:szCs w:val="24"/>
        </w:rPr>
        <w:t xml:space="preserve"> and</w:t>
      </w:r>
      <w:r w:rsidR="00DE1306" w:rsidRPr="00452FD2">
        <w:rPr>
          <w:rFonts w:asciiTheme="minorHAnsi" w:hAnsiTheme="minorHAnsi" w:cstheme="minorHAnsi"/>
          <w:szCs w:val="24"/>
        </w:rPr>
        <w:t xml:space="preserve"> economic </w:t>
      </w:r>
      <w:r w:rsidR="008E3113" w:rsidRPr="00452FD2">
        <w:rPr>
          <w:rFonts w:asciiTheme="minorHAnsi" w:hAnsiTheme="minorHAnsi" w:cstheme="minorHAnsi"/>
          <w:szCs w:val="24"/>
        </w:rPr>
        <w:t xml:space="preserve">actuarial </w:t>
      </w:r>
      <w:r w:rsidR="00DE1306" w:rsidRPr="00452FD2">
        <w:rPr>
          <w:rFonts w:asciiTheme="minorHAnsi" w:hAnsiTheme="minorHAnsi" w:cstheme="minorHAnsi"/>
          <w:szCs w:val="24"/>
        </w:rPr>
        <w:t>assumptions</w:t>
      </w:r>
      <w:r w:rsidR="008E3113" w:rsidRPr="00452FD2">
        <w:rPr>
          <w:rFonts w:asciiTheme="minorHAnsi" w:hAnsiTheme="minorHAnsi" w:cstheme="minorHAnsi"/>
          <w:szCs w:val="24"/>
        </w:rPr>
        <w:t xml:space="preserve"> used to accurately project </w:t>
      </w:r>
      <w:r w:rsidR="00465986" w:rsidRPr="00452FD2">
        <w:rPr>
          <w:rFonts w:asciiTheme="minorHAnsi" w:hAnsiTheme="minorHAnsi" w:cstheme="minorHAnsi"/>
          <w:szCs w:val="24"/>
        </w:rPr>
        <w:t xml:space="preserve">liabilities and annual payments. </w:t>
      </w:r>
      <w:r w:rsidR="00465986" w:rsidRPr="00452FD2">
        <w:rPr>
          <w:rFonts w:asciiTheme="minorHAnsi" w:hAnsiTheme="minorHAnsi" w:cstheme="minorHAnsi"/>
          <w:szCs w:val="24"/>
        </w:rPr>
        <w:lastRenderedPageBreak/>
        <w:t xml:space="preserve">Experience studies </w:t>
      </w:r>
      <w:r w:rsidR="00DA0A0E">
        <w:rPr>
          <w:rFonts w:asciiTheme="minorHAnsi" w:hAnsiTheme="minorHAnsi" w:cstheme="minorHAnsi"/>
          <w:szCs w:val="24"/>
        </w:rPr>
        <w:t>are recommended to</w:t>
      </w:r>
      <w:r w:rsidR="00DE1306" w:rsidRPr="00452FD2">
        <w:rPr>
          <w:rFonts w:asciiTheme="minorHAnsi" w:hAnsiTheme="minorHAnsi" w:cstheme="minorHAnsi"/>
          <w:szCs w:val="24"/>
        </w:rPr>
        <w:t xml:space="preserve"> cover an experience study period of a minimum of </w:t>
      </w:r>
      <w:r w:rsidR="002F12A5">
        <w:rPr>
          <w:rFonts w:asciiTheme="minorHAnsi" w:hAnsiTheme="minorHAnsi" w:cstheme="minorHAnsi"/>
          <w:szCs w:val="24"/>
        </w:rPr>
        <w:t>five</w:t>
      </w:r>
      <w:r w:rsidR="00DE1306" w:rsidRPr="00452FD2">
        <w:rPr>
          <w:rFonts w:asciiTheme="minorHAnsi" w:hAnsiTheme="minorHAnsi" w:cstheme="minorHAnsi"/>
          <w:szCs w:val="24"/>
        </w:rPr>
        <w:t xml:space="preserve"> (</w:t>
      </w:r>
      <w:r w:rsidR="002F12A5">
        <w:rPr>
          <w:rFonts w:asciiTheme="minorHAnsi" w:hAnsiTheme="minorHAnsi" w:cstheme="minorHAnsi"/>
          <w:szCs w:val="24"/>
        </w:rPr>
        <w:t>5</w:t>
      </w:r>
      <w:r w:rsidR="00DE1306" w:rsidRPr="00452FD2">
        <w:rPr>
          <w:rFonts w:asciiTheme="minorHAnsi" w:hAnsiTheme="minorHAnsi" w:cstheme="minorHAnsi"/>
          <w:szCs w:val="24"/>
        </w:rPr>
        <w:t xml:space="preserve">) </w:t>
      </w:r>
      <w:r w:rsidR="00DA0A0E" w:rsidRPr="00452FD2">
        <w:rPr>
          <w:rFonts w:asciiTheme="minorHAnsi" w:hAnsiTheme="minorHAnsi" w:cstheme="minorHAnsi"/>
          <w:szCs w:val="24"/>
        </w:rPr>
        <w:t>year</w:t>
      </w:r>
      <w:r w:rsidR="00DA0A0E">
        <w:rPr>
          <w:rFonts w:asciiTheme="minorHAnsi" w:hAnsiTheme="minorHAnsi" w:cstheme="minorHAnsi"/>
          <w:szCs w:val="24"/>
        </w:rPr>
        <w:t>s; h</w:t>
      </w:r>
      <w:r w:rsidR="002F12A5" w:rsidRPr="002F12A5">
        <w:rPr>
          <w:rFonts w:asciiTheme="minorHAnsi" w:hAnsiTheme="minorHAnsi" w:cstheme="minorHAnsi"/>
          <w:szCs w:val="24"/>
        </w:rPr>
        <w:t xml:space="preserve">owever, a longer or shorter period can be used if the actuary </w:t>
      </w:r>
      <w:r w:rsidR="00DA0A0E">
        <w:rPr>
          <w:rFonts w:asciiTheme="minorHAnsi" w:hAnsiTheme="minorHAnsi" w:cstheme="minorHAnsi"/>
          <w:szCs w:val="24"/>
        </w:rPr>
        <w:t>determined</w:t>
      </w:r>
      <w:r w:rsidR="002F12A5" w:rsidRPr="002F12A5">
        <w:rPr>
          <w:rFonts w:asciiTheme="minorHAnsi" w:hAnsiTheme="minorHAnsi" w:cstheme="minorHAnsi"/>
          <w:szCs w:val="24"/>
        </w:rPr>
        <w:t xml:space="preserve"> it would produce a more appropriate data set for setting a particular assumption.</w:t>
      </w:r>
      <w:r w:rsidR="002F12A5">
        <w:rPr>
          <w:rFonts w:asciiTheme="minorHAnsi" w:hAnsiTheme="minorHAnsi" w:cstheme="minorHAnsi"/>
          <w:szCs w:val="24"/>
        </w:rPr>
        <w:t xml:space="preserve"> </w:t>
      </w:r>
      <w:r w:rsidRPr="00452FD2">
        <w:rPr>
          <w:rFonts w:asciiTheme="minorHAnsi" w:hAnsiTheme="minorHAnsi" w:cstheme="minorHAnsi"/>
          <w:szCs w:val="24"/>
        </w:rPr>
        <w:t xml:space="preserve"> </w:t>
      </w:r>
    </w:p>
    <w:p w14:paraId="6CDC7A5D" w14:textId="77777777" w:rsidR="002F49CC" w:rsidRDefault="002F49CC" w:rsidP="002F49CC">
      <w:pPr>
        <w:rPr>
          <w:rFonts w:asciiTheme="minorHAnsi" w:hAnsiTheme="minorHAnsi" w:cstheme="minorHAnsi"/>
          <w:szCs w:val="24"/>
        </w:rPr>
      </w:pPr>
    </w:p>
    <w:p w14:paraId="3502CE7B" w14:textId="486BB33D" w:rsidR="006C15BD" w:rsidRPr="00452FD2" w:rsidRDefault="009C73C6" w:rsidP="002F49CC">
      <w:pPr>
        <w:rPr>
          <w:rFonts w:asciiTheme="minorHAnsi" w:hAnsiTheme="minorHAnsi" w:cstheme="minorHAnsi"/>
          <w:b/>
          <w:bCs/>
          <w:szCs w:val="24"/>
        </w:rPr>
      </w:pPr>
      <w:r w:rsidRPr="00452FD2">
        <w:rPr>
          <w:rFonts w:asciiTheme="minorHAnsi" w:hAnsiTheme="minorHAnsi" w:cstheme="minorHAnsi"/>
          <w:b/>
          <w:bCs/>
          <w:szCs w:val="24"/>
        </w:rPr>
        <w:t>Peer Actuarial Audit Requirements</w:t>
      </w:r>
      <w:r w:rsidR="00757770" w:rsidRPr="00452FD2">
        <w:rPr>
          <w:rFonts w:asciiTheme="minorHAnsi" w:hAnsiTheme="minorHAnsi" w:cstheme="minorHAnsi"/>
          <w:b/>
          <w:bCs/>
          <w:szCs w:val="24"/>
        </w:rPr>
        <w:t xml:space="preserve"> </w:t>
      </w:r>
    </w:p>
    <w:p w14:paraId="099EB66A" w14:textId="21AFEDB2" w:rsidR="00034AE4" w:rsidRDefault="00034AE4" w:rsidP="002F49CC">
      <w:pPr>
        <w:rPr>
          <w:rFonts w:asciiTheme="minorHAnsi" w:hAnsiTheme="minorHAnsi" w:cstheme="minorHAnsi"/>
          <w:szCs w:val="24"/>
        </w:rPr>
      </w:pPr>
      <w:r w:rsidRPr="00452FD2">
        <w:rPr>
          <w:rFonts w:asciiTheme="minorHAnsi" w:hAnsiTheme="minorHAnsi" w:cstheme="minorHAnsi"/>
          <w:szCs w:val="24"/>
        </w:rPr>
        <w:t xml:space="preserve">All </w:t>
      </w:r>
      <w:r>
        <w:rPr>
          <w:rFonts w:asciiTheme="minorHAnsi" w:hAnsiTheme="minorHAnsi" w:cstheme="minorHAnsi"/>
          <w:szCs w:val="24"/>
        </w:rPr>
        <w:t xml:space="preserve">OPEB systems that are not exempt from these </w:t>
      </w:r>
      <w:r w:rsidRPr="00452FD2">
        <w:rPr>
          <w:rFonts w:asciiTheme="minorHAnsi" w:hAnsiTheme="minorHAnsi" w:cstheme="minorHAnsi"/>
          <w:szCs w:val="24"/>
        </w:rPr>
        <w:t xml:space="preserve">requirements shall have a peer actuarial audit or replace the </w:t>
      </w:r>
      <w:r w:rsidR="00C7233A">
        <w:rPr>
          <w:rFonts w:asciiTheme="minorHAnsi" w:hAnsiTheme="minorHAnsi" w:cstheme="minorHAnsi"/>
          <w:szCs w:val="24"/>
        </w:rPr>
        <w:t xml:space="preserve">plan </w:t>
      </w:r>
      <w:r w:rsidRPr="00452FD2">
        <w:rPr>
          <w:rFonts w:asciiTheme="minorHAnsi" w:hAnsiTheme="minorHAnsi" w:cstheme="minorHAnsi"/>
          <w:szCs w:val="24"/>
        </w:rPr>
        <w:t>actuary at least every 8 years, beginning with the most recent valuation</w:t>
      </w:r>
      <w:r>
        <w:rPr>
          <w:rFonts w:asciiTheme="minorHAnsi" w:hAnsiTheme="minorHAnsi" w:cstheme="minorHAnsi"/>
          <w:szCs w:val="24"/>
        </w:rPr>
        <w:t xml:space="preserve"> measurement period</w:t>
      </w:r>
      <w:r w:rsidRPr="00452FD2">
        <w:rPr>
          <w:rFonts w:asciiTheme="minorHAnsi" w:hAnsiTheme="minorHAnsi" w:cstheme="minorHAnsi"/>
          <w:szCs w:val="24"/>
        </w:rPr>
        <w:t xml:space="preserve"> ending after December 31, 202</w:t>
      </w:r>
      <w:r>
        <w:rPr>
          <w:rFonts w:asciiTheme="minorHAnsi" w:hAnsiTheme="minorHAnsi" w:cstheme="minorHAnsi"/>
          <w:szCs w:val="24"/>
        </w:rPr>
        <w:t>6</w:t>
      </w:r>
      <w:r w:rsidRPr="00452FD2">
        <w:rPr>
          <w:rFonts w:asciiTheme="minorHAnsi" w:hAnsiTheme="minorHAnsi" w:cstheme="minorHAnsi"/>
          <w:szCs w:val="24"/>
        </w:rPr>
        <w:t>. Retirement systems having replaced its plan actuary or having a peer actuarial audit performed more recently will be required to have its next peer actuarial audit or replace its plan actuary no more than 8-years from the valuation year end of the last peer actuarial audit or replacement of plan actuary</w:t>
      </w:r>
      <w:r>
        <w:rPr>
          <w:rFonts w:asciiTheme="minorHAnsi" w:hAnsiTheme="minorHAnsi" w:cstheme="minorHAnsi"/>
          <w:szCs w:val="24"/>
        </w:rPr>
        <w:t>,</w:t>
      </w:r>
      <w:r w:rsidRPr="00452FD2">
        <w:rPr>
          <w:rFonts w:asciiTheme="minorHAnsi" w:hAnsiTheme="minorHAnsi" w:cstheme="minorHAnsi"/>
          <w:szCs w:val="24"/>
        </w:rPr>
        <w:t xml:space="preserve"> or </w:t>
      </w:r>
      <w:r>
        <w:rPr>
          <w:rFonts w:asciiTheme="minorHAnsi" w:hAnsiTheme="minorHAnsi" w:cstheme="minorHAnsi"/>
          <w:szCs w:val="24"/>
        </w:rPr>
        <w:t xml:space="preserve">for the </w:t>
      </w:r>
      <w:r w:rsidRPr="00452FD2">
        <w:rPr>
          <w:rFonts w:asciiTheme="minorHAnsi" w:hAnsiTheme="minorHAnsi" w:cstheme="minorHAnsi"/>
          <w:szCs w:val="24"/>
        </w:rPr>
        <w:t xml:space="preserve">most recent valuation </w:t>
      </w:r>
      <w:r>
        <w:rPr>
          <w:rFonts w:asciiTheme="minorHAnsi" w:hAnsiTheme="minorHAnsi" w:cstheme="minorHAnsi"/>
          <w:szCs w:val="24"/>
        </w:rPr>
        <w:t>issued for the valuation measurement period</w:t>
      </w:r>
      <w:r w:rsidRPr="00452FD2">
        <w:rPr>
          <w:rFonts w:asciiTheme="minorHAnsi" w:hAnsiTheme="minorHAnsi" w:cstheme="minorHAnsi"/>
          <w:szCs w:val="24"/>
        </w:rPr>
        <w:t xml:space="preserve"> ending after </w:t>
      </w:r>
      <w:r w:rsidRPr="00B7064D">
        <w:rPr>
          <w:rFonts w:asciiTheme="minorHAnsi" w:hAnsiTheme="minorHAnsi" w:cstheme="minorHAnsi"/>
          <w:szCs w:val="24"/>
        </w:rPr>
        <w:t>December 31, 202</w:t>
      </w:r>
      <w:r>
        <w:rPr>
          <w:rFonts w:asciiTheme="minorHAnsi" w:hAnsiTheme="minorHAnsi" w:cstheme="minorHAnsi"/>
          <w:szCs w:val="24"/>
        </w:rPr>
        <w:t>6</w:t>
      </w:r>
      <w:r w:rsidRPr="00452FD2">
        <w:rPr>
          <w:rFonts w:asciiTheme="minorHAnsi" w:hAnsiTheme="minorHAnsi" w:cstheme="minorHAnsi"/>
          <w:szCs w:val="24"/>
        </w:rPr>
        <w:t>, whichever is later.</w:t>
      </w:r>
    </w:p>
    <w:p w14:paraId="7B0D30FA" w14:textId="77777777" w:rsidR="00C7233A" w:rsidRDefault="00C7233A" w:rsidP="002F49CC">
      <w:pPr>
        <w:rPr>
          <w:rFonts w:asciiTheme="minorHAnsi" w:hAnsiTheme="minorHAnsi" w:cstheme="minorHAnsi"/>
          <w:szCs w:val="24"/>
        </w:rPr>
      </w:pPr>
    </w:p>
    <w:p w14:paraId="226D7339" w14:textId="7FDBBBD4" w:rsidR="00C7233A" w:rsidRDefault="00C7233A" w:rsidP="002F49CC">
      <w:pPr>
        <w:rPr>
          <w:rFonts w:asciiTheme="minorHAnsi" w:hAnsiTheme="minorHAnsi" w:cstheme="minorHAnsi"/>
          <w:szCs w:val="24"/>
        </w:rPr>
      </w:pPr>
      <w:r>
        <w:rPr>
          <w:rFonts w:asciiTheme="minorHAnsi" w:hAnsiTheme="minorHAnsi" w:cstheme="minorHAnsi"/>
          <w:szCs w:val="24"/>
        </w:rPr>
        <w:t>Replacement of the plan actuary</w:t>
      </w:r>
      <w:r w:rsidR="005A2647" w:rsidRPr="005A2647">
        <w:rPr>
          <w:rFonts w:asciiTheme="minorHAnsi" w:hAnsiTheme="minorHAnsi" w:cstheme="minorHAnsi"/>
          <w:szCs w:val="24"/>
        </w:rPr>
        <w:t xml:space="preserve"> </w:t>
      </w:r>
      <w:r w:rsidR="005A2647">
        <w:rPr>
          <w:rFonts w:asciiTheme="minorHAnsi" w:hAnsiTheme="minorHAnsi" w:cstheme="minorHAnsi"/>
          <w:szCs w:val="24"/>
        </w:rPr>
        <w:t>for local government’s OPEB system(s)</w:t>
      </w:r>
      <w:r>
        <w:rPr>
          <w:rFonts w:asciiTheme="minorHAnsi" w:hAnsiTheme="minorHAnsi" w:cstheme="minorHAnsi"/>
          <w:szCs w:val="24"/>
        </w:rPr>
        <w:t xml:space="preserve"> would involve </w:t>
      </w:r>
      <w:r w:rsidR="005A2647">
        <w:rPr>
          <w:rFonts w:asciiTheme="minorHAnsi" w:hAnsiTheme="minorHAnsi" w:cstheme="minorHAnsi"/>
          <w:szCs w:val="24"/>
        </w:rPr>
        <w:t>selecting</w:t>
      </w:r>
      <w:r>
        <w:rPr>
          <w:rFonts w:asciiTheme="minorHAnsi" w:hAnsiTheme="minorHAnsi" w:cstheme="minorHAnsi"/>
          <w:szCs w:val="24"/>
        </w:rPr>
        <w:t xml:space="preserve"> </w:t>
      </w:r>
      <w:r w:rsidR="005A2647">
        <w:rPr>
          <w:rFonts w:asciiTheme="minorHAnsi" w:hAnsiTheme="minorHAnsi" w:cstheme="minorHAnsi"/>
          <w:szCs w:val="24"/>
        </w:rPr>
        <w:t xml:space="preserve">a primary consulting actuary or actuarial firm </w:t>
      </w:r>
      <w:r>
        <w:rPr>
          <w:rFonts w:asciiTheme="minorHAnsi" w:hAnsiTheme="minorHAnsi" w:cstheme="minorHAnsi"/>
          <w:szCs w:val="24"/>
        </w:rPr>
        <w:t>that is independent of the plan’s current consulting actuary and actuarial firm.</w:t>
      </w:r>
    </w:p>
    <w:p w14:paraId="35322D4A" w14:textId="77777777" w:rsidR="00034AE4" w:rsidRPr="00452FD2" w:rsidRDefault="00034AE4" w:rsidP="002F49CC">
      <w:pPr>
        <w:rPr>
          <w:rFonts w:asciiTheme="minorHAnsi" w:hAnsiTheme="minorHAnsi" w:cstheme="minorHAnsi"/>
          <w:szCs w:val="24"/>
        </w:rPr>
      </w:pPr>
    </w:p>
    <w:p w14:paraId="59722690" w14:textId="1F8590E1" w:rsidR="00CD43AA" w:rsidRPr="00452FD2" w:rsidRDefault="00293CB4" w:rsidP="002F49CC">
      <w:pPr>
        <w:spacing w:after="120"/>
        <w:rPr>
          <w:rFonts w:asciiTheme="minorHAnsi" w:hAnsiTheme="minorHAnsi" w:cstheme="minorHAnsi"/>
          <w:szCs w:val="24"/>
        </w:rPr>
      </w:pPr>
      <w:r w:rsidRPr="00452FD2">
        <w:rPr>
          <w:rFonts w:asciiTheme="minorHAnsi" w:hAnsiTheme="minorHAnsi" w:cstheme="minorHAnsi"/>
          <w:szCs w:val="24"/>
        </w:rPr>
        <w:t>A</w:t>
      </w:r>
      <w:r w:rsidR="00DB782A" w:rsidRPr="00452FD2">
        <w:rPr>
          <w:rFonts w:asciiTheme="minorHAnsi" w:hAnsiTheme="minorHAnsi" w:cstheme="minorHAnsi"/>
          <w:szCs w:val="24"/>
        </w:rPr>
        <w:t xml:space="preserve"> </w:t>
      </w:r>
      <w:r w:rsidR="005A2647" w:rsidRPr="00452FD2">
        <w:rPr>
          <w:rFonts w:asciiTheme="minorHAnsi" w:hAnsiTheme="minorHAnsi" w:cstheme="minorHAnsi"/>
          <w:szCs w:val="24"/>
        </w:rPr>
        <w:t xml:space="preserve">peer actuarial audit </w:t>
      </w:r>
      <w:r w:rsidR="00DB782A" w:rsidRPr="00452FD2">
        <w:rPr>
          <w:rFonts w:asciiTheme="minorHAnsi" w:hAnsiTheme="minorHAnsi" w:cstheme="minorHAnsi"/>
          <w:szCs w:val="24"/>
        </w:rPr>
        <w:t>involves engaging the services of an outside actuary (</w:t>
      </w:r>
      <w:r w:rsidR="00DB782A" w:rsidRPr="00DA0A0E">
        <w:rPr>
          <w:rFonts w:asciiTheme="minorHAnsi" w:hAnsiTheme="minorHAnsi" w:cstheme="minorHAnsi"/>
          <w:szCs w:val="24"/>
        </w:rPr>
        <w:t>reviewing actuary</w:t>
      </w:r>
      <w:r w:rsidR="00DB782A" w:rsidRPr="00452FD2">
        <w:rPr>
          <w:rFonts w:asciiTheme="minorHAnsi" w:hAnsiTheme="minorHAnsi" w:cstheme="minorHAnsi"/>
          <w:szCs w:val="24"/>
        </w:rPr>
        <w:t>) to scrutinize the work of the plan’s consulting actuary.</w:t>
      </w:r>
      <w:r w:rsidR="00D938CF">
        <w:rPr>
          <w:rFonts w:asciiTheme="minorHAnsi" w:hAnsiTheme="minorHAnsi" w:cstheme="minorHAnsi"/>
          <w:szCs w:val="24"/>
        </w:rPr>
        <w:t xml:space="preserve"> A reviewing actuary should be independent of the plan’s consulting actuary</w:t>
      </w:r>
      <w:r w:rsidR="002F12A5">
        <w:rPr>
          <w:rFonts w:asciiTheme="minorHAnsi" w:hAnsiTheme="minorHAnsi" w:cstheme="minorHAnsi"/>
          <w:szCs w:val="24"/>
        </w:rPr>
        <w:t xml:space="preserve"> </w:t>
      </w:r>
      <w:r w:rsidR="00C7233A">
        <w:rPr>
          <w:rFonts w:asciiTheme="minorHAnsi" w:hAnsiTheme="minorHAnsi" w:cstheme="minorHAnsi"/>
          <w:szCs w:val="24"/>
        </w:rPr>
        <w:t>and</w:t>
      </w:r>
      <w:r w:rsidR="002F12A5">
        <w:rPr>
          <w:rFonts w:asciiTheme="minorHAnsi" w:hAnsiTheme="minorHAnsi" w:cstheme="minorHAnsi"/>
          <w:szCs w:val="24"/>
        </w:rPr>
        <w:t xml:space="preserve"> actuarial firm.</w:t>
      </w:r>
      <w:r w:rsidR="00DB782A" w:rsidRPr="00452FD2">
        <w:rPr>
          <w:rFonts w:asciiTheme="minorHAnsi" w:hAnsiTheme="minorHAnsi" w:cstheme="minorHAnsi"/>
          <w:szCs w:val="24"/>
        </w:rPr>
        <w:t xml:space="preserve"> Peer audits are helpful for several reasons</w:t>
      </w:r>
      <w:r w:rsidR="008B67DF">
        <w:rPr>
          <w:rFonts w:asciiTheme="minorHAnsi" w:hAnsiTheme="minorHAnsi" w:cstheme="minorHAnsi"/>
          <w:szCs w:val="24"/>
        </w:rPr>
        <w:t>:</w:t>
      </w:r>
    </w:p>
    <w:p w14:paraId="5DC6666A" w14:textId="4152AE1F" w:rsidR="00DB782A" w:rsidRPr="00452FD2" w:rsidRDefault="00DB782A" w:rsidP="002F49CC">
      <w:pPr>
        <w:pStyle w:val="ListParagraph"/>
        <w:numPr>
          <w:ilvl w:val="0"/>
          <w:numId w:val="24"/>
        </w:numPr>
        <w:rPr>
          <w:rFonts w:asciiTheme="minorHAnsi" w:hAnsiTheme="minorHAnsi" w:cstheme="minorHAnsi"/>
          <w:szCs w:val="24"/>
        </w:rPr>
      </w:pPr>
      <w:r w:rsidRPr="00452FD2">
        <w:rPr>
          <w:rFonts w:asciiTheme="minorHAnsi" w:hAnsiTheme="minorHAnsi" w:cstheme="minorHAnsi"/>
          <w:szCs w:val="24"/>
        </w:rPr>
        <w:t>They enhance the credibility of the actuarial valuation process by providing independent assurance that it was performed in accordance with actuarial standards of practice.</w:t>
      </w:r>
    </w:p>
    <w:p w14:paraId="1BEEB960" w14:textId="3EBC27B1" w:rsidR="00DB782A" w:rsidRPr="00452FD2" w:rsidRDefault="00DB782A" w:rsidP="002F49CC">
      <w:pPr>
        <w:pStyle w:val="ListParagraph"/>
        <w:numPr>
          <w:ilvl w:val="0"/>
          <w:numId w:val="24"/>
        </w:numPr>
        <w:rPr>
          <w:rFonts w:asciiTheme="minorHAnsi" w:hAnsiTheme="minorHAnsi" w:cstheme="minorHAnsi"/>
          <w:szCs w:val="24"/>
        </w:rPr>
      </w:pPr>
      <w:r w:rsidRPr="00452FD2">
        <w:rPr>
          <w:rFonts w:asciiTheme="minorHAnsi" w:hAnsiTheme="minorHAnsi" w:cstheme="minorHAnsi"/>
          <w:szCs w:val="24"/>
        </w:rPr>
        <w:t xml:space="preserve">They increase public trust in how the </w:t>
      </w:r>
      <w:r w:rsidR="00293CB4" w:rsidRPr="00452FD2">
        <w:rPr>
          <w:rFonts w:asciiTheme="minorHAnsi" w:hAnsiTheme="minorHAnsi" w:cstheme="minorHAnsi"/>
          <w:szCs w:val="24"/>
        </w:rPr>
        <w:t>retirement</w:t>
      </w:r>
      <w:r w:rsidRPr="00452FD2">
        <w:rPr>
          <w:rFonts w:asciiTheme="minorHAnsi" w:hAnsiTheme="minorHAnsi" w:cstheme="minorHAnsi"/>
          <w:szCs w:val="24"/>
        </w:rPr>
        <w:t xml:space="preserve"> plan is being </w:t>
      </w:r>
      <w:r w:rsidR="00CD43AA" w:rsidRPr="00452FD2">
        <w:rPr>
          <w:rFonts w:asciiTheme="minorHAnsi" w:hAnsiTheme="minorHAnsi" w:cstheme="minorHAnsi"/>
          <w:szCs w:val="24"/>
        </w:rPr>
        <w:t>governed.</w:t>
      </w:r>
    </w:p>
    <w:p w14:paraId="61096D38" w14:textId="73EFFC16" w:rsidR="003D6511" w:rsidRPr="00452FD2" w:rsidRDefault="003D6511" w:rsidP="002F49CC">
      <w:pPr>
        <w:pStyle w:val="ListParagraph"/>
        <w:numPr>
          <w:ilvl w:val="0"/>
          <w:numId w:val="24"/>
        </w:numPr>
        <w:rPr>
          <w:rFonts w:asciiTheme="minorHAnsi" w:hAnsiTheme="minorHAnsi" w:cstheme="minorHAnsi"/>
          <w:szCs w:val="24"/>
        </w:rPr>
      </w:pPr>
      <w:r w:rsidRPr="00452FD2">
        <w:rPr>
          <w:rFonts w:asciiTheme="minorHAnsi" w:hAnsiTheme="minorHAnsi" w:cstheme="minorHAnsi"/>
          <w:szCs w:val="24"/>
        </w:rPr>
        <w:t xml:space="preserve">They help plan fiduciaries to assess whether the </w:t>
      </w:r>
      <w:r w:rsidR="00F4430B">
        <w:rPr>
          <w:rFonts w:asciiTheme="minorHAnsi" w:hAnsiTheme="minorHAnsi" w:cstheme="minorHAnsi"/>
          <w:szCs w:val="24"/>
        </w:rPr>
        <w:t>retirement</w:t>
      </w:r>
      <w:r w:rsidRPr="00452FD2">
        <w:rPr>
          <w:rFonts w:asciiTheme="minorHAnsi" w:hAnsiTheme="minorHAnsi" w:cstheme="minorHAnsi"/>
          <w:szCs w:val="24"/>
        </w:rPr>
        <w:t xml:space="preserve"> plan is meeting its funding </w:t>
      </w:r>
      <w:r w:rsidR="00CD43AA" w:rsidRPr="00452FD2">
        <w:rPr>
          <w:rFonts w:asciiTheme="minorHAnsi" w:hAnsiTheme="minorHAnsi" w:cstheme="minorHAnsi"/>
          <w:szCs w:val="24"/>
        </w:rPr>
        <w:t>objectives.</w:t>
      </w:r>
    </w:p>
    <w:p w14:paraId="43E0F7C8" w14:textId="74188E32" w:rsidR="003D6511" w:rsidRPr="00452FD2" w:rsidRDefault="003D6511" w:rsidP="002F49CC">
      <w:pPr>
        <w:pStyle w:val="ListParagraph"/>
        <w:numPr>
          <w:ilvl w:val="0"/>
          <w:numId w:val="24"/>
        </w:numPr>
        <w:rPr>
          <w:rFonts w:asciiTheme="minorHAnsi" w:hAnsiTheme="minorHAnsi" w:cstheme="minorHAnsi"/>
          <w:szCs w:val="24"/>
        </w:rPr>
      </w:pPr>
      <w:r w:rsidRPr="00452FD2">
        <w:rPr>
          <w:rFonts w:asciiTheme="minorHAnsi" w:hAnsiTheme="minorHAnsi" w:cstheme="minorHAnsi"/>
          <w:szCs w:val="24"/>
        </w:rPr>
        <w:t>They can lead to the remediation of errors that might otherwise go undiscovered; and</w:t>
      </w:r>
    </w:p>
    <w:p w14:paraId="08F90F96" w14:textId="15DA9C54" w:rsidR="003D6511" w:rsidRPr="00452FD2" w:rsidRDefault="003D6511" w:rsidP="002F49CC">
      <w:pPr>
        <w:pStyle w:val="ListParagraph"/>
        <w:numPr>
          <w:ilvl w:val="0"/>
          <w:numId w:val="24"/>
        </w:numPr>
        <w:rPr>
          <w:rFonts w:asciiTheme="minorHAnsi" w:hAnsiTheme="minorHAnsi" w:cstheme="minorHAnsi"/>
          <w:szCs w:val="24"/>
        </w:rPr>
      </w:pPr>
      <w:r w:rsidRPr="00452FD2">
        <w:rPr>
          <w:rFonts w:asciiTheme="minorHAnsi" w:hAnsiTheme="minorHAnsi" w:cstheme="minorHAnsi"/>
          <w:szCs w:val="24"/>
        </w:rPr>
        <w:t>They can provide recommendations for improving the actuarial valuation process, including how information is presented in the actuarial valuation report and other communications.</w:t>
      </w:r>
    </w:p>
    <w:p w14:paraId="7EABF2B1" w14:textId="77777777" w:rsidR="00793A18" w:rsidRPr="00452FD2" w:rsidRDefault="00793A18" w:rsidP="002F49CC">
      <w:pPr>
        <w:pStyle w:val="ListParagraph"/>
        <w:rPr>
          <w:rFonts w:asciiTheme="minorHAnsi" w:hAnsiTheme="minorHAnsi" w:cstheme="minorHAnsi"/>
          <w:szCs w:val="24"/>
        </w:rPr>
      </w:pPr>
    </w:p>
    <w:p w14:paraId="67E75596" w14:textId="2DFAF1C6" w:rsidR="00793A18" w:rsidRDefault="00793A18" w:rsidP="002F49CC">
      <w:pPr>
        <w:rPr>
          <w:rFonts w:asciiTheme="minorHAnsi" w:hAnsiTheme="minorHAnsi" w:cstheme="minorHAnsi"/>
          <w:szCs w:val="24"/>
        </w:rPr>
      </w:pPr>
      <w:r w:rsidRPr="00452FD2">
        <w:rPr>
          <w:rFonts w:asciiTheme="minorHAnsi" w:hAnsiTheme="minorHAnsi" w:cstheme="minorHAnsi"/>
          <w:szCs w:val="24"/>
        </w:rPr>
        <w:t xml:space="preserve">This </w:t>
      </w:r>
      <w:r w:rsidR="00435810">
        <w:rPr>
          <w:rFonts w:asciiTheme="minorHAnsi" w:hAnsiTheme="minorHAnsi" w:cstheme="minorHAnsi"/>
          <w:szCs w:val="24"/>
        </w:rPr>
        <w:t>directive</w:t>
      </w:r>
      <w:r w:rsidRPr="00452FD2">
        <w:rPr>
          <w:rFonts w:asciiTheme="minorHAnsi" w:hAnsiTheme="minorHAnsi" w:cstheme="minorHAnsi"/>
          <w:szCs w:val="24"/>
        </w:rPr>
        <w:t xml:space="preserve"> is designed to ensure that more than one actuary has performed or validated the actuarial valuation or it’s methods during an eight-year period. Therefore, a peer audit would not be necessary if the consulting actuary had changed during that timeframe.</w:t>
      </w:r>
    </w:p>
    <w:p w14:paraId="01856CB9" w14:textId="77777777" w:rsidR="00704072" w:rsidRDefault="00704072" w:rsidP="002F49CC">
      <w:pPr>
        <w:rPr>
          <w:rFonts w:asciiTheme="minorHAnsi" w:hAnsiTheme="minorHAnsi" w:cstheme="minorHAnsi"/>
          <w:szCs w:val="24"/>
        </w:rPr>
      </w:pPr>
    </w:p>
    <w:p w14:paraId="151BF2E2" w14:textId="293920B5" w:rsidR="006F5900" w:rsidRPr="00452FD2" w:rsidRDefault="006F5900" w:rsidP="002F49CC">
      <w:pPr>
        <w:rPr>
          <w:rFonts w:asciiTheme="minorHAnsi" w:hAnsiTheme="minorHAnsi" w:cstheme="minorHAnsi"/>
          <w:szCs w:val="24"/>
        </w:rPr>
      </w:pPr>
      <w:r w:rsidRPr="00452FD2">
        <w:rPr>
          <w:rFonts w:asciiTheme="minorHAnsi" w:hAnsiTheme="minorHAnsi" w:cstheme="minorHAnsi"/>
          <w:szCs w:val="24"/>
        </w:rPr>
        <w:t>Peer</w:t>
      </w:r>
      <w:r w:rsidR="00C50561">
        <w:rPr>
          <w:rFonts w:asciiTheme="minorHAnsi" w:hAnsiTheme="minorHAnsi" w:cstheme="minorHAnsi"/>
          <w:szCs w:val="24"/>
        </w:rPr>
        <w:t xml:space="preserve"> actuarial</w:t>
      </w:r>
      <w:r w:rsidRPr="00452FD2">
        <w:rPr>
          <w:rFonts w:asciiTheme="minorHAnsi" w:hAnsiTheme="minorHAnsi" w:cstheme="minorHAnsi"/>
          <w:szCs w:val="24"/>
        </w:rPr>
        <w:t xml:space="preserve"> audits are distinguished </w:t>
      </w:r>
      <w:r w:rsidR="00952E00" w:rsidRPr="00452FD2">
        <w:rPr>
          <w:rFonts w:asciiTheme="minorHAnsi" w:hAnsiTheme="minorHAnsi" w:cstheme="minorHAnsi"/>
          <w:szCs w:val="24"/>
        </w:rPr>
        <w:t>by the types of services performed by the reviewing actuary</w:t>
      </w:r>
      <w:r w:rsidR="005A0B43" w:rsidRPr="00452FD2">
        <w:rPr>
          <w:rStyle w:val="FootnoteReference"/>
          <w:rFonts w:asciiTheme="minorHAnsi" w:hAnsiTheme="minorHAnsi" w:cstheme="minorHAnsi"/>
          <w:szCs w:val="24"/>
        </w:rPr>
        <w:footnoteReference w:id="1"/>
      </w:r>
      <w:r w:rsidR="00952E00" w:rsidRPr="00452FD2">
        <w:rPr>
          <w:rFonts w:asciiTheme="minorHAnsi" w:hAnsiTheme="minorHAnsi" w:cstheme="minorHAnsi"/>
          <w:szCs w:val="24"/>
        </w:rPr>
        <w:t>:</w:t>
      </w:r>
    </w:p>
    <w:p w14:paraId="4CD11C04" w14:textId="02F69D8C" w:rsidR="006C15BD" w:rsidRPr="00452FD2" w:rsidRDefault="006C15BD" w:rsidP="002F49CC">
      <w:pPr>
        <w:rPr>
          <w:rFonts w:asciiTheme="minorHAnsi" w:hAnsiTheme="minorHAnsi" w:cstheme="minorHAnsi"/>
          <w:szCs w:val="24"/>
        </w:rPr>
      </w:pPr>
    </w:p>
    <w:p w14:paraId="7C253EA7" w14:textId="26B5418F" w:rsidR="00793A18" w:rsidRPr="00452FD2" w:rsidRDefault="00793A18" w:rsidP="002F49CC">
      <w:pPr>
        <w:pStyle w:val="ListParagraph"/>
        <w:numPr>
          <w:ilvl w:val="0"/>
          <w:numId w:val="23"/>
        </w:numPr>
        <w:rPr>
          <w:rFonts w:asciiTheme="minorHAnsi" w:hAnsiTheme="minorHAnsi" w:cstheme="minorHAnsi"/>
          <w:b/>
          <w:bCs/>
        </w:rPr>
      </w:pPr>
      <w:r w:rsidRPr="00452FD2">
        <w:rPr>
          <w:rFonts w:asciiTheme="minorHAnsi" w:hAnsiTheme="minorHAnsi" w:cstheme="minorHAnsi"/>
          <w:szCs w:val="24"/>
        </w:rPr>
        <w:lastRenderedPageBreak/>
        <w:t xml:space="preserve">Level one or full scope audit – </w:t>
      </w:r>
      <w:r w:rsidR="004165A6">
        <w:rPr>
          <w:rFonts w:asciiTheme="minorHAnsi" w:hAnsiTheme="minorHAnsi" w:cstheme="minorHAnsi"/>
          <w:szCs w:val="24"/>
        </w:rPr>
        <w:t>T</w:t>
      </w:r>
      <w:r w:rsidRPr="00452FD2">
        <w:rPr>
          <w:rFonts w:asciiTheme="minorHAnsi" w:hAnsiTheme="minorHAnsi" w:cstheme="minorHAnsi"/>
          <w:szCs w:val="24"/>
        </w:rPr>
        <w:t>he auditing actuary fully replicates the original actuarial valuation, based on the same census data, assumptions, and actuarial methods used by the plan’s consulting actuary. In addition, the reviewing actuary examines the consulting actuary’s methods and assumptions for reasonableness and internal consistency.</w:t>
      </w:r>
    </w:p>
    <w:p w14:paraId="703B4E09" w14:textId="41503CBF" w:rsidR="00793A18" w:rsidRPr="00452FD2" w:rsidRDefault="00793A18" w:rsidP="002F49CC">
      <w:pPr>
        <w:pStyle w:val="ListParagraph"/>
        <w:numPr>
          <w:ilvl w:val="0"/>
          <w:numId w:val="23"/>
        </w:numPr>
        <w:rPr>
          <w:rFonts w:asciiTheme="minorHAnsi" w:hAnsiTheme="minorHAnsi" w:cstheme="minorHAnsi"/>
          <w:b/>
          <w:bCs/>
        </w:rPr>
      </w:pPr>
      <w:r w:rsidRPr="00452FD2">
        <w:rPr>
          <w:rFonts w:asciiTheme="minorHAnsi" w:hAnsiTheme="minorHAnsi" w:cstheme="minorHAnsi"/>
          <w:szCs w:val="24"/>
        </w:rPr>
        <w:t xml:space="preserve">Level two actuarial audit – </w:t>
      </w:r>
      <w:r w:rsidR="004165A6">
        <w:rPr>
          <w:rFonts w:asciiTheme="minorHAnsi" w:hAnsiTheme="minorHAnsi" w:cstheme="minorHAnsi"/>
          <w:szCs w:val="24"/>
        </w:rPr>
        <w:t>T</w:t>
      </w:r>
      <w:r w:rsidRPr="00452FD2">
        <w:rPr>
          <w:rFonts w:asciiTheme="minorHAnsi" w:hAnsiTheme="minorHAnsi" w:cstheme="minorHAnsi"/>
          <w:szCs w:val="24"/>
        </w:rPr>
        <w:t xml:space="preserve">he auditing actuary does </w:t>
      </w:r>
      <w:r w:rsidRPr="00452FD2">
        <w:rPr>
          <w:rFonts w:asciiTheme="minorHAnsi" w:hAnsiTheme="minorHAnsi" w:cstheme="minorHAnsi"/>
          <w:i/>
          <w:iCs/>
          <w:szCs w:val="24"/>
        </w:rPr>
        <w:t>not</w:t>
      </w:r>
      <w:r w:rsidRPr="00452FD2">
        <w:rPr>
          <w:rFonts w:asciiTheme="minorHAnsi" w:hAnsiTheme="minorHAnsi" w:cstheme="minorHAnsi"/>
          <w:szCs w:val="24"/>
        </w:rPr>
        <w:t xml:space="preserve"> fully replicate the consulting actuary’s </w:t>
      </w:r>
      <w:r w:rsidR="00704072" w:rsidRPr="00452FD2">
        <w:rPr>
          <w:rFonts w:asciiTheme="minorHAnsi" w:hAnsiTheme="minorHAnsi" w:cstheme="minorHAnsi"/>
          <w:szCs w:val="24"/>
        </w:rPr>
        <w:t>valuation but</w:t>
      </w:r>
      <w:r w:rsidRPr="00452FD2">
        <w:rPr>
          <w:rFonts w:asciiTheme="minorHAnsi" w:hAnsiTheme="minorHAnsi" w:cstheme="minorHAnsi"/>
          <w:szCs w:val="24"/>
        </w:rPr>
        <w:t xml:space="preserve"> instead uses a sampling of the plan’s participant data to test the results of the valuation. The reviewing actuary also examines the consulting actuary’s methods and assumptions for reasonableness and internal consistency.</w:t>
      </w:r>
    </w:p>
    <w:p w14:paraId="4D45FE0C" w14:textId="174816A8" w:rsidR="00793A18" w:rsidRPr="00452FD2" w:rsidRDefault="00E5561C" w:rsidP="002F49CC">
      <w:pPr>
        <w:pStyle w:val="ListParagraph"/>
        <w:numPr>
          <w:ilvl w:val="0"/>
          <w:numId w:val="23"/>
        </w:numPr>
        <w:rPr>
          <w:rFonts w:asciiTheme="minorHAnsi" w:hAnsiTheme="minorHAnsi" w:cstheme="minorHAnsi"/>
          <w:szCs w:val="24"/>
        </w:rPr>
      </w:pPr>
      <w:r w:rsidRPr="00452FD2">
        <w:rPr>
          <w:rFonts w:asciiTheme="minorHAnsi" w:hAnsiTheme="minorHAnsi" w:cstheme="minorHAnsi"/>
          <w:szCs w:val="24"/>
        </w:rPr>
        <w:t xml:space="preserve">Level three actuarial audit - </w:t>
      </w:r>
      <w:r w:rsidR="004165A6">
        <w:rPr>
          <w:rFonts w:asciiTheme="minorHAnsi" w:hAnsiTheme="minorHAnsi" w:cstheme="minorHAnsi"/>
          <w:szCs w:val="24"/>
        </w:rPr>
        <w:t>T</w:t>
      </w:r>
      <w:r w:rsidRPr="00452FD2">
        <w:rPr>
          <w:rFonts w:asciiTheme="minorHAnsi" w:hAnsiTheme="minorHAnsi" w:cstheme="minorHAnsi"/>
          <w:szCs w:val="24"/>
        </w:rPr>
        <w:t xml:space="preserve">he </w:t>
      </w:r>
      <w:r w:rsidR="00793A18" w:rsidRPr="00452FD2">
        <w:rPr>
          <w:rFonts w:asciiTheme="minorHAnsi" w:hAnsiTheme="minorHAnsi" w:cstheme="minorHAnsi"/>
          <w:szCs w:val="24"/>
        </w:rPr>
        <w:t xml:space="preserve">auditing </w:t>
      </w:r>
      <w:r w:rsidRPr="00452FD2">
        <w:rPr>
          <w:rFonts w:asciiTheme="minorHAnsi" w:hAnsiTheme="minorHAnsi" w:cstheme="minorHAnsi"/>
          <w:szCs w:val="24"/>
        </w:rPr>
        <w:t xml:space="preserve">actuary examines the consulting actuary’s methods and assumptions for reasonableness and internal </w:t>
      </w:r>
      <w:r w:rsidR="00904488" w:rsidRPr="00452FD2">
        <w:rPr>
          <w:rFonts w:asciiTheme="minorHAnsi" w:hAnsiTheme="minorHAnsi" w:cstheme="minorHAnsi"/>
          <w:szCs w:val="24"/>
        </w:rPr>
        <w:t>consistency but</w:t>
      </w:r>
      <w:r w:rsidRPr="00452FD2">
        <w:rPr>
          <w:rFonts w:asciiTheme="minorHAnsi" w:hAnsiTheme="minorHAnsi" w:cstheme="minorHAnsi"/>
          <w:szCs w:val="24"/>
        </w:rPr>
        <w:t xml:space="preserve"> does not perform actuarial calculations.</w:t>
      </w:r>
    </w:p>
    <w:p w14:paraId="7946FA9F" w14:textId="77777777" w:rsidR="00793A18" w:rsidRPr="00452FD2" w:rsidRDefault="00793A18" w:rsidP="002F49CC">
      <w:pPr>
        <w:pStyle w:val="ListParagraph"/>
        <w:rPr>
          <w:rFonts w:asciiTheme="minorHAnsi" w:hAnsiTheme="minorHAnsi" w:cstheme="minorHAnsi"/>
          <w:szCs w:val="24"/>
        </w:rPr>
      </w:pPr>
    </w:p>
    <w:p w14:paraId="2248B47A" w14:textId="0D9825E3" w:rsidR="00B47E47" w:rsidRPr="00452FD2" w:rsidRDefault="00B47E47" w:rsidP="002F49CC">
      <w:pPr>
        <w:rPr>
          <w:rFonts w:asciiTheme="minorHAnsi" w:hAnsiTheme="minorHAnsi" w:cstheme="minorHAnsi"/>
        </w:rPr>
      </w:pPr>
      <w:r w:rsidRPr="00452FD2">
        <w:rPr>
          <w:rFonts w:asciiTheme="minorHAnsi" w:hAnsiTheme="minorHAnsi" w:cstheme="minorHAnsi"/>
          <w:szCs w:val="24"/>
          <w:lang w:bidi="en-US"/>
        </w:rPr>
        <w:t xml:space="preserve">Local governments that </w:t>
      </w:r>
      <w:r w:rsidR="003D3A28">
        <w:rPr>
          <w:rFonts w:asciiTheme="minorHAnsi" w:hAnsiTheme="minorHAnsi" w:cstheme="minorHAnsi"/>
          <w:szCs w:val="24"/>
          <w:lang w:bidi="en-US"/>
        </w:rPr>
        <w:t>administer</w:t>
      </w:r>
      <w:r w:rsidRPr="00452FD2">
        <w:rPr>
          <w:rFonts w:asciiTheme="minorHAnsi" w:hAnsiTheme="minorHAnsi" w:cstheme="minorHAnsi"/>
          <w:szCs w:val="24"/>
          <w:lang w:bidi="en-US"/>
        </w:rPr>
        <w:t xml:space="preserve"> </w:t>
      </w:r>
      <w:r w:rsidR="00456719">
        <w:rPr>
          <w:rFonts w:asciiTheme="minorHAnsi" w:hAnsiTheme="minorHAnsi" w:cstheme="minorHAnsi"/>
          <w:szCs w:val="24"/>
          <w:lang w:bidi="en-US"/>
        </w:rPr>
        <w:t xml:space="preserve">plans </w:t>
      </w:r>
      <w:r w:rsidR="003D3A28">
        <w:rPr>
          <w:rFonts w:asciiTheme="minorHAnsi" w:hAnsiTheme="minorHAnsi" w:cstheme="minorHAnsi"/>
          <w:szCs w:val="24"/>
          <w:lang w:bidi="en-US"/>
        </w:rPr>
        <w:t>offering</w:t>
      </w:r>
      <w:r w:rsidRPr="00452FD2">
        <w:rPr>
          <w:rFonts w:asciiTheme="minorHAnsi" w:hAnsiTheme="minorHAnsi" w:cstheme="minorHAnsi"/>
          <w:szCs w:val="24"/>
          <w:lang w:bidi="en-US"/>
        </w:rPr>
        <w:t xml:space="preserve"> </w:t>
      </w:r>
      <w:r w:rsidR="00B7064D">
        <w:rPr>
          <w:rFonts w:asciiTheme="minorHAnsi" w:hAnsiTheme="minorHAnsi" w:cstheme="minorHAnsi"/>
          <w:szCs w:val="24"/>
          <w:lang w:bidi="en-US"/>
        </w:rPr>
        <w:t>OPEB</w:t>
      </w:r>
      <w:r w:rsidRPr="00452FD2">
        <w:rPr>
          <w:rFonts w:asciiTheme="minorHAnsi" w:hAnsiTheme="minorHAnsi" w:cstheme="minorHAnsi"/>
          <w:szCs w:val="24"/>
          <w:lang w:bidi="en-US"/>
        </w:rPr>
        <w:t xml:space="preserve"> benefit</w:t>
      </w:r>
      <w:r w:rsidR="003D3A28">
        <w:rPr>
          <w:rFonts w:asciiTheme="minorHAnsi" w:hAnsiTheme="minorHAnsi" w:cstheme="minorHAnsi"/>
          <w:szCs w:val="24"/>
          <w:lang w:bidi="en-US"/>
        </w:rPr>
        <w:t>s</w:t>
      </w:r>
      <w:r w:rsidRPr="00452FD2">
        <w:rPr>
          <w:rFonts w:asciiTheme="minorHAnsi" w:hAnsiTheme="minorHAnsi" w:cstheme="minorHAnsi"/>
          <w:szCs w:val="24"/>
          <w:lang w:bidi="en-US"/>
        </w:rPr>
        <w:t xml:space="preserve"> </w:t>
      </w:r>
      <w:r w:rsidR="00FC719C">
        <w:rPr>
          <w:rFonts w:asciiTheme="minorHAnsi" w:hAnsiTheme="minorHAnsi" w:cstheme="minorHAnsi"/>
          <w:szCs w:val="24"/>
          <w:lang w:bidi="en-US"/>
        </w:rPr>
        <w:t>that</w:t>
      </w:r>
      <w:r w:rsidRPr="00452FD2">
        <w:rPr>
          <w:rFonts w:asciiTheme="minorHAnsi" w:hAnsiTheme="minorHAnsi" w:cstheme="minorHAnsi"/>
          <w:szCs w:val="24"/>
          <w:lang w:bidi="en-US"/>
        </w:rPr>
        <w:t xml:space="preserve"> are not </w:t>
      </w:r>
      <w:r w:rsidR="003D3A28">
        <w:rPr>
          <w:rFonts w:asciiTheme="minorHAnsi" w:hAnsiTheme="minorHAnsi" w:cstheme="minorHAnsi"/>
          <w:szCs w:val="24"/>
          <w:lang w:bidi="en-US"/>
        </w:rPr>
        <w:t>exempted</w:t>
      </w:r>
      <w:r w:rsidR="004F4993" w:rsidRPr="00452FD2">
        <w:rPr>
          <w:rFonts w:asciiTheme="minorHAnsi" w:hAnsiTheme="minorHAnsi" w:cstheme="minorHAnsi"/>
          <w:szCs w:val="24"/>
          <w:lang w:bidi="en-US"/>
        </w:rPr>
        <w:t>, will determine which peer audit will best suit their system’s needs.</w:t>
      </w:r>
    </w:p>
    <w:p w14:paraId="4B7405E8" w14:textId="3D8B40FB" w:rsidR="00743C96" w:rsidRPr="00452FD2" w:rsidRDefault="00737903" w:rsidP="002F49CC">
      <w:pPr>
        <w:rPr>
          <w:rFonts w:asciiTheme="minorHAnsi" w:hAnsiTheme="minorHAnsi" w:cstheme="minorHAnsi"/>
        </w:rPr>
      </w:pPr>
      <w:r w:rsidRPr="00452FD2">
        <w:rPr>
          <w:rFonts w:asciiTheme="minorHAnsi" w:hAnsiTheme="minorHAnsi" w:cstheme="minorHAnsi"/>
        </w:rPr>
        <w:tab/>
      </w:r>
    </w:p>
    <w:p w14:paraId="2FD1C93E" w14:textId="468A3822" w:rsidR="00C61BEA" w:rsidRPr="00452FD2" w:rsidRDefault="00823B50" w:rsidP="002F49CC">
      <w:pPr>
        <w:rPr>
          <w:rFonts w:asciiTheme="minorHAnsi" w:hAnsiTheme="minorHAnsi" w:cstheme="minorHAnsi"/>
          <w:szCs w:val="24"/>
        </w:rPr>
      </w:pPr>
      <w:r w:rsidRPr="00452FD2">
        <w:rPr>
          <w:rFonts w:asciiTheme="minorHAnsi" w:hAnsiTheme="minorHAnsi" w:cstheme="minorHAnsi"/>
          <w:szCs w:val="24"/>
        </w:rPr>
        <w:t>When procuring services for a reviewing actuary, plan fiduciaries</w:t>
      </w:r>
      <w:r w:rsidR="00C7233A">
        <w:rPr>
          <w:rFonts w:asciiTheme="minorHAnsi" w:hAnsiTheme="minorHAnsi" w:cstheme="minorHAnsi"/>
          <w:szCs w:val="24"/>
        </w:rPr>
        <w:t>,</w:t>
      </w:r>
      <w:r w:rsidRPr="00452FD2">
        <w:rPr>
          <w:rFonts w:asciiTheme="minorHAnsi" w:hAnsiTheme="minorHAnsi" w:cstheme="minorHAnsi"/>
          <w:szCs w:val="24"/>
        </w:rPr>
        <w:t xml:space="preserve"> and plan sponsors are encouraged to use the same RFP process</w:t>
      </w:r>
      <w:r w:rsidR="00793A18" w:rsidRPr="00452FD2">
        <w:rPr>
          <w:rStyle w:val="FootnoteReference"/>
          <w:rFonts w:asciiTheme="minorHAnsi" w:hAnsiTheme="minorHAnsi" w:cstheme="minorHAnsi"/>
          <w:szCs w:val="24"/>
        </w:rPr>
        <w:footnoteReference w:id="2"/>
      </w:r>
      <w:r w:rsidRPr="00452FD2">
        <w:rPr>
          <w:rFonts w:asciiTheme="minorHAnsi" w:hAnsiTheme="minorHAnsi" w:cstheme="minorHAnsi"/>
          <w:szCs w:val="24"/>
        </w:rPr>
        <w:t xml:space="preserve"> as for a consulting actuary. </w:t>
      </w:r>
    </w:p>
    <w:bookmarkEnd w:id="0"/>
    <w:sectPr w:rsidR="00C61BEA" w:rsidRPr="00452FD2">
      <w:headerReference w:type="even" r:id="rId14"/>
      <w:headerReference w:type="default" r:id="rId15"/>
      <w:headerReference w:type="first" r:id="rId16"/>
      <w:type w:val="continuous"/>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21157" w14:textId="77777777" w:rsidR="00B0253B" w:rsidRDefault="00B0253B">
      <w:r>
        <w:separator/>
      </w:r>
    </w:p>
  </w:endnote>
  <w:endnote w:type="continuationSeparator" w:id="0">
    <w:p w14:paraId="2CDF5187" w14:textId="77777777" w:rsidR="00B0253B" w:rsidRDefault="00B02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96A9" w14:textId="2FA8E56E" w:rsidR="002F49CC" w:rsidRPr="007B03FA" w:rsidRDefault="002F49CC" w:rsidP="002F49CC">
    <w:pPr>
      <w:pStyle w:val="Header"/>
      <w:spacing w:after="120"/>
      <w:jc w:val="right"/>
      <w:rPr>
        <w:rStyle w:val="PageNumber"/>
        <w:rFonts w:asciiTheme="minorHAnsi" w:hAnsiTheme="minorHAnsi" w:cstheme="minorHAnsi"/>
      </w:rPr>
    </w:pPr>
    <w:r w:rsidRPr="00CD43AA">
      <w:rPr>
        <w:rFonts w:asciiTheme="minorHAnsi" w:hAnsiTheme="minorHAnsi" w:cstheme="minorHAnsi"/>
      </w:rPr>
      <w:t xml:space="preserve">Page </w:t>
    </w:r>
    <w:r w:rsidRPr="00CD43AA">
      <w:rPr>
        <w:rStyle w:val="PageNumber"/>
        <w:rFonts w:asciiTheme="minorHAnsi" w:hAnsiTheme="minorHAnsi" w:cstheme="minorHAnsi"/>
      </w:rPr>
      <w:fldChar w:fldCharType="begin"/>
    </w:r>
    <w:r w:rsidRPr="00CD43AA">
      <w:rPr>
        <w:rStyle w:val="PageNumber"/>
        <w:rFonts w:asciiTheme="minorHAnsi" w:hAnsiTheme="minorHAnsi" w:cstheme="minorHAnsi"/>
      </w:rPr>
      <w:instrText xml:space="preserve"> PAGE </w:instrText>
    </w:r>
    <w:r w:rsidRPr="00CD43AA">
      <w:rPr>
        <w:rStyle w:val="PageNumber"/>
        <w:rFonts w:asciiTheme="minorHAnsi" w:hAnsiTheme="minorHAnsi" w:cstheme="minorHAnsi"/>
      </w:rPr>
      <w:fldChar w:fldCharType="separate"/>
    </w:r>
    <w:r>
      <w:rPr>
        <w:rStyle w:val="PageNumber"/>
        <w:rFonts w:asciiTheme="minorHAnsi" w:hAnsiTheme="minorHAnsi" w:cstheme="minorHAnsi"/>
      </w:rPr>
      <w:t>3</w:t>
    </w:r>
    <w:r w:rsidRPr="00CD43AA">
      <w:rPr>
        <w:rStyle w:val="PageNumber"/>
        <w:rFonts w:asciiTheme="minorHAnsi" w:hAnsiTheme="minorHAnsi" w:cstheme="minorHAnsi"/>
      </w:rPr>
      <w:fldChar w:fldCharType="end"/>
    </w:r>
  </w:p>
  <w:p w14:paraId="4495BE73" w14:textId="77777777" w:rsidR="002F49CC" w:rsidRDefault="002F49CC" w:rsidP="002F49C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A563" w14:textId="376807BD" w:rsidR="004B696D" w:rsidRPr="004B696D" w:rsidRDefault="004B696D" w:rsidP="004B696D">
    <w:pPr>
      <w:pStyle w:val="Footer"/>
      <w:ind w:right="810"/>
      <w:jc w:val="right"/>
      <w:rPr>
        <w:rFonts w:asciiTheme="minorHAnsi" w:hAnsiTheme="minorHAnsi" w:cstheme="minorHAnsi"/>
      </w:rPr>
    </w:pPr>
    <w:r w:rsidRPr="004B696D">
      <w:rPr>
        <w:rFonts w:asciiTheme="minorHAnsi" w:hAnsiTheme="minorHAnsi" w:cstheme="minorHAnsi"/>
      </w:rPr>
      <w:t xml:space="preserve">Page </w:t>
    </w:r>
    <w:sdt>
      <w:sdtPr>
        <w:rPr>
          <w:rFonts w:asciiTheme="minorHAnsi" w:hAnsiTheme="minorHAnsi" w:cstheme="minorHAnsi"/>
        </w:rPr>
        <w:id w:val="-1850632574"/>
        <w:docPartObj>
          <w:docPartGallery w:val="Page Numbers (Bottom of Page)"/>
          <w:docPartUnique/>
        </w:docPartObj>
      </w:sdtPr>
      <w:sdtEndPr>
        <w:rPr>
          <w:noProof/>
        </w:rPr>
      </w:sdtEndPr>
      <w:sdtContent>
        <w:r w:rsidRPr="004B696D">
          <w:rPr>
            <w:rFonts w:asciiTheme="minorHAnsi" w:hAnsiTheme="minorHAnsi" w:cstheme="minorHAnsi"/>
          </w:rPr>
          <w:fldChar w:fldCharType="begin"/>
        </w:r>
        <w:r w:rsidRPr="004B696D">
          <w:rPr>
            <w:rFonts w:asciiTheme="minorHAnsi" w:hAnsiTheme="minorHAnsi" w:cstheme="minorHAnsi"/>
          </w:rPr>
          <w:instrText xml:space="preserve"> PAGE   \* MERGEFORMAT </w:instrText>
        </w:r>
        <w:r w:rsidRPr="004B696D">
          <w:rPr>
            <w:rFonts w:asciiTheme="minorHAnsi" w:hAnsiTheme="minorHAnsi" w:cstheme="minorHAnsi"/>
          </w:rPr>
          <w:fldChar w:fldCharType="separate"/>
        </w:r>
        <w:r w:rsidRPr="004B696D">
          <w:rPr>
            <w:rFonts w:asciiTheme="minorHAnsi" w:hAnsiTheme="minorHAnsi" w:cstheme="minorHAnsi"/>
            <w:noProof/>
          </w:rPr>
          <w:t>2</w:t>
        </w:r>
        <w:r w:rsidRPr="004B696D">
          <w:rPr>
            <w:rFonts w:asciiTheme="minorHAnsi" w:hAnsiTheme="minorHAnsi" w:cstheme="minorHAnsi"/>
            <w:noProof/>
          </w:rPr>
          <w:fldChar w:fldCharType="end"/>
        </w:r>
      </w:sdtContent>
    </w:sdt>
  </w:p>
  <w:p w14:paraId="130C412F" w14:textId="52851EC7" w:rsidR="001405EA" w:rsidRPr="00ED1650" w:rsidRDefault="001405EA" w:rsidP="00ED1650">
    <w:pPr>
      <w:pStyle w:val="Footer"/>
      <w:jc w:val="center"/>
      <w:rPr>
        <w:w w:val="1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DAE9C" w14:textId="77777777" w:rsidR="00B0253B" w:rsidRDefault="00B0253B">
      <w:r>
        <w:separator/>
      </w:r>
    </w:p>
  </w:footnote>
  <w:footnote w:type="continuationSeparator" w:id="0">
    <w:p w14:paraId="41B6B9B2" w14:textId="77777777" w:rsidR="00B0253B" w:rsidRDefault="00B0253B">
      <w:r>
        <w:continuationSeparator/>
      </w:r>
    </w:p>
  </w:footnote>
  <w:footnote w:id="1">
    <w:p w14:paraId="39863AA0" w14:textId="103E9BEC" w:rsidR="005A0B43" w:rsidRPr="00185CC3" w:rsidRDefault="005A0B43" w:rsidP="005A0B43">
      <w:pPr>
        <w:spacing w:line="264" w:lineRule="auto"/>
        <w:ind w:left="720" w:hanging="720"/>
        <w:jc w:val="both"/>
        <w:rPr>
          <w:rFonts w:ascii="Arial" w:hAnsi="Arial" w:cs="Arial"/>
          <w:sz w:val="20"/>
        </w:rPr>
      </w:pPr>
      <w:r w:rsidRPr="005A0B43">
        <w:rPr>
          <w:rStyle w:val="FootnoteReference"/>
        </w:rPr>
        <w:footnoteRef/>
      </w:r>
      <w:r w:rsidRPr="005A0B43">
        <w:t xml:space="preserve"> </w:t>
      </w:r>
      <w:hyperlink r:id="rId1" w:history="1">
        <w:r w:rsidRPr="00185CC3">
          <w:rPr>
            <w:rStyle w:val="Hyperlink"/>
            <w:rFonts w:ascii="Arial" w:hAnsi="Arial" w:cs="Arial"/>
            <w:sz w:val="20"/>
          </w:rPr>
          <w:t>https://www.gfoa.org/materials/actuarial-audits</w:t>
        </w:r>
      </w:hyperlink>
      <w:r>
        <w:rPr>
          <w:rFonts w:ascii="Arial" w:hAnsi="Arial" w:cs="Arial"/>
          <w:sz w:val="20"/>
        </w:rPr>
        <w:t xml:space="preserve"> </w:t>
      </w:r>
    </w:p>
    <w:p w14:paraId="5DF8F63D" w14:textId="6D83D51A" w:rsidR="005A0B43" w:rsidRDefault="005A0B43">
      <w:pPr>
        <w:pStyle w:val="FootnoteText"/>
      </w:pPr>
    </w:p>
  </w:footnote>
  <w:footnote w:id="2">
    <w:p w14:paraId="4B781456" w14:textId="0997E922" w:rsidR="00793A18" w:rsidRDefault="00793A18">
      <w:pPr>
        <w:pStyle w:val="FootnoteText"/>
      </w:pPr>
      <w:r>
        <w:rPr>
          <w:rStyle w:val="FootnoteReference"/>
        </w:rPr>
        <w:footnoteRef/>
      </w:r>
      <w:r>
        <w:t xml:space="preserve"> </w:t>
      </w:r>
      <w:hyperlink r:id="rId2" w:history="1">
        <w:r w:rsidRPr="00452FD2">
          <w:rPr>
            <w:rStyle w:val="Hyperlink"/>
            <w:rFonts w:asciiTheme="minorHAnsi" w:hAnsiTheme="minorHAnsi" w:cstheme="minorHAnsi"/>
          </w:rPr>
          <w:t>https://www.gfoa.org/materials/procuring-actuarial-services</w:t>
        </w:r>
      </w:hyperlink>
      <w:r w:rsidRPr="00452FD2">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AE99" w14:textId="1E40DC60" w:rsidR="001405EA" w:rsidRDefault="001A1BB1">
    <w:pPr>
      <w:pStyle w:val="Header"/>
    </w:pPr>
    <w:r>
      <w:rPr>
        <w:rFonts w:ascii="Arial" w:hAnsi="Arial"/>
        <w:noProof/>
        <w:sz w:val="14"/>
      </w:rPr>
      <mc:AlternateContent>
        <mc:Choice Requires="wps">
          <w:drawing>
            <wp:anchor distT="0" distB="0" distL="114300" distR="114300" simplePos="0" relativeHeight="251657216" behindDoc="0" locked="0" layoutInCell="0" allowOverlap="1" wp14:anchorId="7C6635CE" wp14:editId="65C09BCE">
              <wp:simplePos x="0" y="0"/>
              <wp:positionH relativeFrom="column">
                <wp:posOffset>-182880</wp:posOffset>
              </wp:positionH>
              <wp:positionV relativeFrom="paragraph">
                <wp:posOffset>457200</wp:posOffset>
              </wp:positionV>
              <wp:extent cx="914400" cy="2743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B16AB" w14:textId="77777777" w:rsidR="001405EA" w:rsidRDefault="00AC2883">
                          <w:pPr>
                            <w:rPr>
                              <w:rFonts w:ascii="Arial" w:hAnsi="Arial"/>
                              <w:sz w:val="14"/>
                            </w:rPr>
                          </w:pPr>
                          <w:r>
                            <w:rPr>
                              <w:rFonts w:ascii="Arial" w:hAnsi="Arial"/>
                              <w:sz w:val="14"/>
                            </w:rPr>
                            <w:t>4425</w:t>
                          </w:r>
                          <w:r w:rsidR="0052799B">
                            <w:rPr>
                              <w:rFonts w:ascii="Arial" w:hAnsi="Arial"/>
                              <w:sz w:val="14"/>
                            </w:rPr>
                            <w:t xml:space="preserve"> (Rev. </w:t>
                          </w:r>
                          <w:r w:rsidR="00F87BCB">
                            <w:rPr>
                              <w:rFonts w:ascii="Arial" w:hAnsi="Arial"/>
                              <w:sz w:val="14"/>
                            </w:rPr>
                            <w:t>0</w:t>
                          </w:r>
                          <w:r w:rsidR="00A27B3F">
                            <w:rPr>
                              <w:rFonts w:ascii="Arial" w:hAnsi="Arial"/>
                              <w:sz w:val="14"/>
                            </w:rPr>
                            <w:t>1</w:t>
                          </w:r>
                          <w:r w:rsidR="00F87BCB">
                            <w:rPr>
                              <w:rFonts w:ascii="Arial" w:hAnsi="Arial"/>
                              <w:sz w:val="14"/>
                            </w:rPr>
                            <w:t>-1</w:t>
                          </w:r>
                          <w:r w:rsidR="00A27B3F">
                            <w:rPr>
                              <w:rFonts w:ascii="Arial" w:hAnsi="Arial"/>
                              <w:sz w:val="14"/>
                            </w:rPr>
                            <w:t>9</w:t>
                          </w:r>
                          <w:r w:rsidR="001405EA">
                            <w:rPr>
                              <w:rFonts w:ascii="Arial" w:hAnsi="Arial"/>
                              <w:sz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635CE" id="_x0000_t202" coordsize="21600,21600" o:spt="202" path="m,l,21600r21600,l21600,xe">
              <v:stroke joinstyle="miter"/>
              <v:path gradientshapeok="t" o:connecttype="rect"/>
            </v:shapetype>
            <v:shape id="Text Box 1" o:spid="_x0000_s1026" type="#_x0000_t202" style="position:absolute;margin-left:-14.4pt;margin-top:36pt;width:1in;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" o:allowincell="f" filled="f" stroked="f">
              <v:textbox>
                <w:txbxContent>
                  <w:p w14:paraId="782B16AB" w14:textId="77777777" w:rsidR="001405EA" w:rsidRDefault="00AC2883">
                    <w:pPr>
                      <w:rPr>
                        <w:rFonts w:ascii="Arial" w:hAnsi="Arial"/>
                        <w:sz w:val="14"/>
                      </w:rPr>
                    </w:pPr>
                    <w:r>
                      <w:rPr>
                        <w:rFonts w:ascii="Arial" w:hAnsi="Arial"/>
                        <w:sz w:val="14"/>
                      </w:rPr>
                      <w:t>4425</w:t>
                    </w:r>
                    <w:r w:rsidR="0052799B">
                      <w:rPr>
                        <w:rFonts w:ascii="Arial" w:hAnsi="Arial"/>
                        <w:sz w:val="14"/>
                      </w:rPr>
                      <w:t xml:space="preserve"> (Rev. </w:t>
                    </w:r>
                    <w:r w:rsidR="00F87BCB">
                      <w:rPr>
                        <w:rFonts w:ascii="Arial" w:hAnsi="Arial"/>
                        <w:sz w:val="14"/>
                      </w:rPr>
                      <w:t>0</w:t>
                    </w:r>
                    <w:r w:rsidR="00A27B3F">
                      <w:rPr>
                        <w:rFonts w:ascii="Arial" w:hAnsi="Arial"/>
                        <w:sz w:val="14"/>
                      </w:rPr>
                      <w:t>1</w:t>
                    </w:r>
                    <w:r w:rsidR="00F87BCB">
                      <w:rPr>
                        <w:rFonts w:ascii="Arial" w:hAnsi="Arial"/>
                        <w:sz w:val="14"/>
                      </w:rPr>
                      <w:t>-1</w:t>
                    </w:r>
                    <w:r w:rsidR="00A27B3F">
                      <w:rPr>
                        <w:rFonts w:ascii="Arial" w:hAnsi="Arial"/>
                        <w:sz w:val="14"/>
                      </w:rPr>
                      <w:t>9</w:t>
                    </w:r>
                    <w:r w:rsidR="001405EA">
                      <w:rPr>
                        <w:rFonts w:ascii="Arial" w:hAnsi="Arial"/>
                        <w:sz w:val="14"/>
                      </w:rP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09F" w14:textId="6FE185A0" w:rsidR="00B63B2D" w:rsidRDefault="00B63B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6F1C1" w14:textId="322D1F8E" w:rsidR="007B03FA" w:rsidRDefault="004B696D" w:rsidP="007B03FA">
    <w:pPr>
      <w:rPr>
        <w:rFonts w:asciiTheme="minorHAnsi" w:hAnsiTheme="minorHAnsi" w:cstheme="minorHAnsi"/>
        <w:bCs/>
        <w:szCs w:val="24"/>
      </w:rPr>
    </w:pPr>
    <w:r>
      <w:rPr>
        <w:rFonts w:asciiTheme="minorHAnsi" w:hAnsiTheme="minorHAnsi" w:cstheme="minorHAnsi"/>
        <w:bCs/>
        <w:szCs w:val="24"/>
      </w:rPr>
      <w:t>Numbered Letter 2025-1</w:t>
    </w:r>
  </w:p>
  <w:p w14:paraId="596F6CAC" w14:textId="2DB204B9" w:rsidR="004B696D" w:rsidRPr="00452FD2" w:rsidRDefault="004B696D" w:rsidP="007B03FA">
    <w:pPr>
      <w:rPr>
        <w:rFonts w:asciiTheme="minorHAnsi" w:hAnsiTheme="minorHAnsi" w:cstheme="minorHAnsi"/>
        <w:bCs/>
        <w:szCs w:val="24"/>
      </w:rPr>
    </w:pPr>
    <w:r w:rsidRPr="00452FD2">
      <w:rPr>
        <w:rFonts w:asciiTheme="minorHAnsi" w:hAnsiTheme="minorHAnsi" w:cstheme="minorHAnsi"/>
        <w:bCs/>
        <w:szCs w:val="24"/>
      </w:rPr>
      <w:t>Peer Actuarial Audit and Actuarial Experience Study Requirements</w:t>
    </w:r>
    <w:r>
      <w:rPr>
        <w:rFonts w:asciiTheme="minorHAnsi" w:hAnsiTheme="minorHAnsi" w:cstheme="minorHAnsi"/>
        <w:bCs/>
        <w:szCs w:val="24"/>
      </w:rPr>
      <w:t xml:space="preserve"> </w:t>
    </w:r>
  </w:p>
  <w:p w14:paraId="33540AF6" w14:textId="6D7C7716" w:rsidR="00D0328F" w:rsidRDefault="00D0328F">
    <w:pPr>
      <w:pStyle w:val="Header"/>
      <w:rPr>
        <w:rFonts w:asciiTheme="minorHAnsi" w:hAnsiTheme="minorHAnsi" w:cstheme="minorHAnsi"/>
        <w:bCs/>
        <w:szCs w:val="24"/>
      </w:rPr>
    </w:pPr>
    <w:r>
      <w:rPr>
        <w:rFonts w:asciiTheme="minorHAnsi" w:hAnsiTheme="minorHAnsi" w:cstheme="minorHAnsi"/>
        <w:bCs/>
        <w:szCs w:val="24"/>
      </w:rPr>
      <w:t>DRAFT DATE</w:t>
    </w:r>
  </w:p>
  <w:p w14:paraId="3F6BE599" w14:textId="77777777" w:rsidR="0096126E" w:rsidRDefault="0096126E">
    <w:pPr>
      <w:pStyle w:val="Header"/>
      <w:rPr>
        <w:rFonts w:asciiTheme="minorHAnsi" w:hAnsiTheme="minorHAnsi" w:cstheme="minorHAns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50C4" w14:textId="6A0F8155" w:rsidR="00B63B2D" w:rsidRDefault="00B63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4C22"/>
    <w:multiLevelType w:val="hybridMultilevel"/>
    <w:tmpl w:val="16423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01FD4"/>
    <w:multiLevelType w:val="hybridMultilevel"/>
    <w:tmpl w:val="3052012E"/>
    <w:lvl w:ilvl="0" w:tplc="CF441576">
      <w:start w:val="1"/>
      <w:numFmt w:val="upperRoman"/>
      <w:lvlText w:val="%1."/>
      <w:lvlJc w:val="right"/>
      <w:pPr>
        <w:ind w:left="1080" w:hanging="360"/>
      </w:pPr>
      <w:rPr>
        <w:b/>
      </w:rPr>
    </w:lvl>
    <w:lvl w:ilvl="1" w:tplc="F0FA4C4C">
      <w:start w:val="1"/>
      <w:numFmt w:val="upperLetter"/>
      <w:lvlText w:val="%2."/>
      <w:lvlJc w:val="left"/>
      <w:pPr>
        <w:ind w:left="1800" w:hanging="360"/>
      </w:pPr>
      <w:rPr>
        <w:rFonts w:hint="default"/>
        <w:b w:val="0"/>
        <w:color w:val="auto"/>
      </w:rPr>
    </w:lvl>
    <w:lvl w:ilvl="2" w:tplc="C3203BC4">
      <w:start w:val="1"/>
      <w:numFmt w:val="lowerRoman"/>
      <w:lvlText w:val="%3."/>
      <w:lvlJc w:val="right"/>
      <w:pPr>
        <w:ind w:left="2520" w:hanging="180"/>
      </w:pPr>
      <w:rPr>
        <w:color w:val="auto"/>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4948AD"/>
    <w:multiLevelType w:val="hybridMultilevel"/>
    <w:tmpl w:val="D80CD91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629AA"/>
    <w:multiLevelType w:val="hybridMultilevel"/>
    <w:tmpl w:val="2046A1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F6991"/>
    <w:multiLevelType w:val="hybridMultilevel"/>
    <w:tmpl w:val="27962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40761"/>
    <w:multiLevelType w:val="hybridMultilevel"/>
    <w:tmpl w:val="9B7C6A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01BD8"/>
    <w:multiLevelType w:val="hybridMultilevel"/>
    <w:tmpl w:val="B3F65EB0"/>
    <w:lvl w:ilvl="0" w:tplc="04090001">
      <w:start w:val="1"/>
      <w:numFmt w:val="bullet"/>
      <w:lvlText w:val=""/>
      <w:lvlJc w:val="left"/>
      <w:pPr>
        <w:ind w:left="8227" w:hanging="360"/>
      </w:pPr>
      <w:rPr>
        <w:rFonts w:ascii="Symbol" w:hAnsi="Symbol" w:hint="default"/>
      </w:rPr>
    </w:lvl>
    <w:lvl w:ilvl="1" w:tplc="04090003" w:tentative="1">
      <w:start w:val="1"/>
      <w:numFmt w:val="bullet"/>
      <w:lvlText w:val="o"/>
      <w:lvlJc w:val="left"/>
      <w:pPr>
        <w:ind w:left="8947" w:hanging="360"/>
      </w:pPr>
      <w:rPr>
        <w:rFonts w:ascii="Courier New" w:hAnsi="Courier New" w:cs="Courier New" w:hint="default"/>
      </w:rPr>
    </w:lvl>
    <w:lvl w:ilvl="2" w:tplc="04090005" w:tentative="1">
      <w:start w:val="1"/>
      <w:numFmt w:val="bullet"/>
      <w:lvlText w:val=""/>
      <w:lvlJc w:val="left"/>
      <w:pPr>
        <w:ind w:left="9667" w:hanging="360"/>
      </w:pPr>
      <w:rPr>
        <w:rFonts w:ascii="Wingdings" w:hAnsi="Wingdings" w:hint="default"/>
      </w:rPr>
    </w:lvl>
    <w:lvl w:ilvl="3" w:tplc="04090001" w:tentative="1">
      <w:start w:val="1"/>
      <w:numFmt w:val="bullet"/>
      <w:lvlText w:val=""/>
      <w:lvlJc w:val="left"/>
      <w:pPr>
        <w:ind w:left="10387" w:hanging="360"/>
      </w:pPr>
      <w:rPr>
        <w:rFonts w:ascii="Symbol" w:hAnsi="Symbol" w:hint="default"/>
      </w:rPr>
    </w:lvl>
    <w:lvl w:ilvl="4" w:tplc="04090003" w:tentative="1">
      <w:start w:val="1"/>
      <w:numFmt w:val="bullet"/>
      <w:lvlText w:val="o"/>
      <w:lvlJc w:val="left"/>
      <w:pPr>
        <w:ind w:left="11107" w:hanging="360"/>
      </w:pPr>
      <w:rPr>
        <w:rFonts w:ascii="Courier New" w:hAnsi="Courier New" w:cs="Courier New" w:hint="default"/>
      </w:rPr>
    </w:lvl>
    <w:lvl w:ilvl="5" w:tplc="04090005" w:tentative="1">
      <w:start w:val="1"/>
      <w:numFmt w:val="bullet"/>
      <w:lvlText w:val=""/>
      <w:lvlJc w:val="left"/>
      <w:pPr>
        <w:ind w:left="11827" w:hanging="360"/>
      </w:pPr>
      <w:rPr>
        <w:rFonts w:ascii="Wingdings" w:hAnsi="Wingdings" w:hint="default"/>
      </w:rPr>
    </w:lvl>
    <w:lvl w:ilvl="6" w:tplc="04090001" w:tentative="1">
      <w:start w:val="1"/>
      <w:numFmt w:val="bullet"/>
      <w:lvlText w:val=""/>
      <w:lvlJc w:val="left"/>
      <w:pPr>
        <w:ind w:left="12547" w:hanging="360"/>
      </w:pPr>
      <w:rPr>
        <w:rFonts w:ascii="Symbol" w:hAnsi="Symbol" w:hint="default"/>
      </w:rPr>
    </w:lvl>
    <w:lvl w:ilvl="7" w:tplc="04090003" w:tentative="1">
      <w:start w:val="1"/>
      <w:numFmt w:val="bullet"/>
      <w:lvlText w:val="o"/>
      <w:lvlJc w:val="left"/>
      <w:pPr>
        <w:ind w:left="13267" w:hanging="360"/>
      </w:pPr>
      <w:rPr>
        <w:rFonts w:ascii="Courier New" w:hAnsi="Courier New" w:cs="Courier New" w:hint="default"/>
      </w:rPr>
    </w:lvl>
    <w:lvl w:ilvl="8" w:tplc="04090005" w:tentative="1">
      <w:start w:val="1"/>
      <w:numFmt w:val="bullet"/>
      <w:lvlText w:val=""/>
      <w:lvlJc w:val="left"/>
      <w:pPr>
        <w:ind w:left="13987" w:hanging="360"/>
      </w:pPr>
      <w:rPr>
        <w:rFonts w:ascii="Wingdings" w:hAnsi="Wingdings" w:hint="default"/>
      </w:rPr>
    </w:lvl>
  </w:abstractNum>
  <w:abstractNum w:abstractNumId="7" w15:restartNumberingAfterBreak="0">
    <w:nsid w:val="113F4C51"/>
    <w:multiLevelType w:val="hybridMultilevel"/>
    <w:tmpl w:val="3052012E"/>
    <w:lvl w:ilvl="0" w:tplc="CF441576">
      <w:start w:val="1"/>
      <w:numFmt w:val="upperRoman"/>
      <w:lvlText w:val="%1."/>
      <w:lvlJc w:val="right"/>
      <w:pPr>
        <w:ind w:left="1080" w:hanging="360"/>
      </w:pPr>
      <w:rPr>
        <w:b/>
      </w:rPr>
    </w:lvl>
    <w:lvl w:ilvl="1" w:tplc="F0FA4C4C">
      <w:start w:val="1"/>
      <w:numFmt w:val="upperLetter"/>
      <w:lvlText w:val="%2."/>
      <w:lvlJc w:val="left"/>
      <w:pPr>
        <w:ind w:left="1800" w:hanging="360"/>
      </w:pPr>
      <w:rPr>
        <w:rFonts w:hint="default"/>
        <w:b w:val="0"/>
        <w:color w:val="auto"/>
      </w:rPr>
    </w:lvl>
    <w:lvl w:ilvl="2" w:tplc="C3203BC4">
      <w:start w:val="1"/>
      <w:numFmt w:val="lowerRoman"/>
      <w:lvlText w:val="%3."/>
      <w:lvlJc w:val="right"/>
      <w:pPr>
        <w:ind w:left="2520" w:hanging="180"/>
      </w:pPr>
      <w:rPr>
        <w:color w:val="auto"/>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FB7A58"/>
    <w:multiLevelType w:val="hybridMultilevel"/>
    <w:tmpl w:val="8CC8782E"/>
    <w:lvl w:ilvl="0" w:tplc="401620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DB26C3"/>
    <w:multiLevelType w:val="hybridMultilevel"/>
    <w:tmpl w:val="6EE4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77A86"/>
    <w:multiLevelType w:val="hybridMultilevel"/>
    <w:tmpl w:val="53068B7E"/>
    <w:lvl w:ilvl="0" w:tplc="C3309DC2">
      <w:start w:val="1"/>
      <w:numFmt w:val="bullet"/>
      <w:lvlText w:val=""/>
      <w:lvlJc w:val="left"/>
      <w:pPr>
        <w:ind w:left="1440" w:hanging="360"/>
      </w:pPr>
      <w:rPr>
        <w:rFonts w:ascii="Symbol" w:hAnsi="Symbol"/>
      </w:rPr>
    </w:lvl>
    <w:lvl w:ilvl="1" w:tplc="B180ECFA">
      <w:start w:val="1"/>
      <w:numFmt w:val="bullet"/>
      <w:lvlText w:val=""/>
      <w:lvlJc w:val="left"/>
      <w:pPr>
        <w:ind w:left="1440" w:hanging="360"/>
      </w:pPr>
      <w:rPr>
        <w:rFonts w:ascii="Symbol" w:hAnsi="Symbol"/>
      </w:rPr>
    </w:lvl>
    <w:lvl w:ilvl="2" w:tplc="F9443FA2">
      <w:start w:val="1"/>
      <w:numFmt w:val="bullet"/>
      <w:lvlText w:val=""/>
      <w:lvlJc w:val="left"/>
      <w:pPr>
        <w:ind w:left="1440" w:hanging="360"/>
      </w:pPr>
      <w:rPr>
        <w:rFonts w:ascii="Symbol" w:hAnsi="Symbol"/>
      </w:rPr>
    </w:lvl>
    <w:lvl w:ilvl="3" w:tplc="ACEA188C">
      <w:start w:val="1"/>
      <w:numFmt w:val="bullet"/>
      <w:lvlText w:val=""/>
      <w:lvlJc w:val="left"/>
      <w:pPr>
        <w:ind w:left="1440" w:hanging="360"/>
      </w:pPr>
      <w:rPr>
        <w:rFonts w:ascii="Symbol" w:hAnsi="Symbol"/>
      </w:rPr>
    </w:lvl>
    <w:lvl w:ilvl="4" w:tplc="087E2996">
      <w:start w:val="1"/>
      <w:numFmt w:val="bullet"/>
      <w:lvlText w:val=""/>
      <w:lvlJc w:val="left"/>
      <w:pPr>
        <w:ind w:left="1440" w:hanging="360"/>
      </w:pPr>
      <w:rPr>
        <w:rFonts w:ascii="Symbol" w:hAnsi="Symbol"/>
      </w:rPr>
    </w:lvl>
    <w:lvl w:ilvl="5" w:tplc="D3888BA4">
      <w:start w:val="1"/>
      <w:numFmt w:val="bullet"/>
      <w:lvlText w:val=""/>
      <w:lvlJc w:val="left"/>
      <w:pPr>
        <w:ind w:left="1440" w:hanging="360"/>
      </w:pPr>
      <w:rPr>
        <w:rFonts w:ascii="Symbol" w:hAnsi="Symbol"/>
      </w:rPr>
    </w:lvl>
    <w:lvl w:ilvl="6" w:tplc="A3B86E44">
      <w:start w:val="1"/>
      <w:numFmt w:val="bullet"/>
      <w:lvlText w:val=""/>
      <w:lvlJc w:val="left"/>
      <w:pPr>
        <w:ind w:left="1440" w:hanging="360"/>
      </w:pPr>
      <w:rPr>
        <w:rFonts w:ascii="Symbol" w:hAnsi="Symbol"/>
      </w:rPr>
    </w:lvl>
    <w:lvl w:ilvl="7" w:tplc="9E9AE7E0">
      <w:start w:val="1"/>
      <w:numFmt w:val="bullet"/>
      <w:lvlText w:val=""/>
      <w:lvlJc w:val="left"/>
      <w:pPr>
        <w:ind w:left="1440" w:hanging="360"/>
      </w:pPr>
      <w:rPr>
        <w:rFonts w:ascii="Symbol" w:hAnsi="Symbol"/>
      </w:rPr>
    </w:lvl>
    <w:lvl w:ilvl="8" w:tplc="276A9B6C">
      <w:start w:val="1"/>
      <w:numFmt w:val="bullet"/>
      <w:lvlText w:val=""/>
      <w:lvlJc w:val="left"/>
      <w:pPr>
        <w:ind w:left="1440" w:hanging="360"/>
      </w:pPr>
      <w:rPr>
        <w:rFonts w:ascii="Symbol" w:hAnsi="Symbol"/>
      </w:rPr>
    </w:lvl>
  </w:abstractNum>
  <w:abstractNum w:abstractNumId="11" w15:restartNumberingAfterBreak="0">
    <w:nsid w:val="26430508"/>
    <w:multiLevelType w:val="hybridMultilevel"/>
    <w:tmpl w:val="6C28B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040364"/>
    <w:multiLevelType w:val="hybridMultilevel"/>
    <w:tmpl w:val="74FC8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75688"/>
    <w:multiLevelType w:val="hybridMultilevel"/>
    <w:tmpl w:val="B88AFC9E"/>
    <w:lvl w:ilvl="0" w:tplc="04090011">
      <w:start w:val="1"/>
      <w:numFmt w:val="decimal"/>
      <w:lvlText w:val="%1)"/>
      <w:lvlJc w:val="left"/>
      <w:pPr>
        <w:ind w:left="720" w:hanging="360"/>
      </w:pPr>
    </w:lvl>
    <w:lvl w:ilvl="1" w:tplc="0EBA66C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62B45"/>
    <w:multiLevelType w:val="hybridMultilevel"/>
    <w:tmpl w:val="E58E03CA"/>
    <w:lvl w:ilvl="0" w:tplc="2496FE0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1B741A5"/>
    <w:multiLevelType w:val="hybridMultilevel"/>
    <w:tmpl w:val="3052012E"/>
    <w:lvl w:ilvl="0" w:tplc="CF441576">
      <w:start w:val="1"/>
      <w:numFmt w:val="upperRoman"/>
      <w:lvlText w:val="%1."/>
      <w:lvlJc w:val="right"/>
      <w:pPr>
        <w:ind w:left="1080" w:hanging="360"/>
      </w:pPr>
      <w:rPr>
        <w:b/>
      </w:rPr>
    </w:lvl>
    <w:lvl w:ilvl="1" w:tplc="F0FA4C4C">
      <w:start w:val="1"/>
      <w:numFmt w:val="upperLetter"/>
      <w:lvlText w:val="%2."/>
      <w:lvlJc w:val="left"/>
      <w:pPr>
        <w:ind w:left="1800" w:hanging="360"/>
      </w:pPr>
      <w:rPr>
        <w:rFonts w:hint="default"/>
        <w:b w:val="0"/>
        <w:color w:val="auto"/>
      </w:rPr>
    </w:lvl>
    <w:lvl w:ilvl="2" w:tplc="C3203BC4">
      <w:start w:val="1"/>
      <w:numFmt w:val="lowerRoman"/>
      <w:lvlText w:val="%3."/>
      <w:lvlJc w:val="right"/>
      <w:pPr>
        <w:ind w:left="2520" w:hanging="180"/>
      </w:pPr>
      <w:rPr>
        <w:color w:val="auto"/>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AB555D"/>
    <w:multiLevelType w:val="multilevel"/>
    <w:tmpl w:val="2A1CEA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lowerLetter"/>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EB6FBC"/>
    <w:multiLevelType w:val="multilevel"/>
    <w:tmpl w:val="D0223C5C"/>
    <w:lvl w:ilvl="0">
      <w:start w:val="1"/>
      <w:numFmt w:val="upperRoman"/>
      <w:pStyle w:val="Heading1"/>
      <w:lvlText w:val="%1."/>
      <w:lvlJc w:val="left"/>
      <w:pPr>
        <w:ind w:left="720" w:firstLine="0"/>
      </w:pPr>
    </w:lvl>
    <w:lvl w:ilvl="1">
      <w:start w:val="1"/>
      <w:numFmt w:val="upperRoman"/>
      <w:pStyle w:val="Heading2"/>
      <w:lvlText w:val="%2."/>
      <w:lvlJc w:val="right"/>
      <w:pPr>
        <w:ind w:left="1440" w:firstLine="0"/>
      </w:pPr>
    </w:lvl>
    <w:lvl w:ilvl="2">
      <w:start w:val="1"/>
      <w:numFmt w:val="decimal"/>
      <w:pStyle w:val="Heading3"/>
      <w:lvlText w:val="%3."/>
      <w:lvlJc w:val="left"/>
      <w:pPr>
        <w:ind w:left="2160" w:firstLine="0"/>
      </w:pPr>
    </w:lvl>
    <w:lvl w:ilvl="3">
      <w:start w:val="1"/>
      <w:numFmt w:val="lowerLetter"/>
      <w:pStyle w:val="Heading4"/>
      <w:lvlText w:val="%4)"/>
      <w:lvlJc w:val="left"/>
      <w:pPr>
        <w:ind w:left="2880" w:firstLine="0"/>
      </w:pPr>
    </w:lvl>
    <w:lvl w:ilvl="4">
      <w:start w:val="1"/>
      <w:numFmt w:val="decimal"/>
      <w:pStyle w:val="Heading5"/>
      <w:lvlText w:val="(%5)"/>
      <w:lvlJc w:val="left"/>
      <w:pPr>
        <w:ind w:left="3600" w:firstLine="0"/>
      </w:pPr>
    </w:lvl>
    <w:lvl w:ilvl="5">
      <w:start w:val="1"/>
      <w:numFmt w:val="lowerLetter"/>
      <w:pStyle w:val="Heading6"/>
      <w:lvlText w:val="(%6)"/>
      <w:lvlJc w:val="left"/>
      <w:pPr>
        <w:ind w:left="4320" w:firstLine="0"/>
      </w:pPr>
    </w:lvl>
    <w:lvl w:ilvl="6">
      <w:start w:val="1"/>
      <w:numFmt w:val="lowerRoman"/>
      <w:pStyle w:val="Heading7"/>
      <w:lvlText w:val="(%7)"/>
      <w:lvlJc w:val="left"/>
      <w:pPr>
        <w:ind w:left="5040" w:firstLine="0"/>
      </w:pPr>
    </w:lvl>
    <w:lvl w:ilvl="7">
      <w:start w:val="1"/>
      <w:numFmt w:val="lowerLetter"/>
      <w:pStyle w:val="Heading8"/>
      <w:lvlText w:val="(%8)"/>
      <w:lvlJc w:val="left"/>
      <w:pPr>
        <w:ind w:left="5760" w:firstLine="0"/>
      </w:pPr>
    </w:lvl>
    <w:lvl w:ilvl="8">
      <w:start w:val="1"/>
      <w:numFmt w:val="lowerRoman"/>
      <w:pStyle w:val="Heading9"/>
      <w:lvlText w:val="(%9)"/>
      <w:lvlJc w:val="left"/>
      <w:pPr>
        <w:ind w:left="6480" w:firstLine="0"/>
      </w:pPr>
    </w:lvl>
  </w:abstractNum>
  <w:abstractNum w:abstractNumId="18" w15:restartNumberingAfterBreak="0">
    <w:nsid w:val="5C377681"/>
    <w:multiLevelType w:val="multilevel"/>
    <w:tmpl w:val="2A1CEA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2"/>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876E33"/>
    <w:multiLevelType w:val="multilevel"/>
    <w:tmpl w:val="B120B46C"/>
    <w:lvl w:ilvl="0">
      <w:start w:val="1"/>
      <w:numFmt w:val="decimal"/>
      <w:lvlText w:val="%1."/>
      <w:lvlJc w:val="left"/>
      <w:pPr>
        <w:ind w:left="720" w:firstLine="0"/>
      </w:pPr>
    </w:lvl>
    <w:lvl w:ilvl="1">
      <w:start w:val="1"/>
      <w:numFmt w:val="upperRoman"/>
      <w:lvlText w:val="%2."/>
      <w:lvlJc w:val="right"/>
      <w:pPr>
        <w:ind w:left="1440" w:firstLine="0"/>
      </w:pPr>
    </w:lvl>
    <w:lvl w:ilvl="2">
      <w:start w:val="1"/>
      <w:numFmt w:val="decimal"/>
      <w:lvlText w:val="%3."/>
      <w:lvlJc w:val="left"/>
      <w:pPr>
        <w:ind w:left="2160" w:firstLine="0"/>
      </w:pPr>
    </w:lvl>
    <w:lvl w:ilvl="3">
      <w:start w:val="1"/>
      <w:numFmt w:val="lowerLetter"/>
      <w:lvlText w:val="%4)"/>
      <w:lvlJc w:val="left"/>
      <w:pPr>
        <w:ind w:left="2880" w:firstLine="0"/>
      </w:p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0" w15:restartNumberingAfterBreak="0">
    <w:nsid w:val="5CCE117D"/>
    <w:multiLevelType w:val="hybridMultilevel"/>
    <w:tmpl w:val="463CE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82600F"/>
    <w:multiLevelType w:val="hybridMultilevel"/>
    <w:tmpl w:val="B04275DE"/>
    <w:lvl w:ilvl="0" w:tplc="04090013">
      <w:start w:val="1"/>
      <w:numFmt w:val="upperRoman"/>
      <w:lvlText w:val="%1."/>
      <w:lvlJc w:val="righ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2" w15:restartNumberingAfterBreak="0">
    <w:nsid w:val="6B3824BA"/>
    <w:multiLevelType w:val="hybridMultilevel"/>
    <w:tmpl w:val="009A6D60"/>
    <w:lvl w:ilvl="0" w:tplc="0EBA66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0C56F2"/>
    <w:multiLevelType w:val="hybridMultilevel"/>
    <w:tmpl w:val="7BD03F2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0A0BAB"/>
    <w:multiLevelType w:val="multilevel"/>
    <w:tmpl w:val="B120B46C"/>
    <w:lvl w:ilvl="0">
      <w:start w:val="1"/>
      <w:numFmt w:val="decimal"/>
      <w:lvlText w:val="%1."/>
      <w:lvlJc w:val="left"/>
      <w:pPr>
        <w:ind w:left="720" w:firstLine="0"/>
      </w:pPr>
    </w:lvl>
    <w:lvl w:ilvl="1">
      <w:start w:val="1"/>
      <w:numFmt w:val="upperRoman"/>
      <w:lvlText w:val="%2."/>
      <w:lvlJc w:val="right"/>
      <w:pPr>
        <w:ind w:left="1440" w:firstLine="0"/>
      </w:pPr>
    </w:lvl>
    <w:lvl w:ilvl="2">
      <w:start w:val="1"/>
      <w:numFmt w:val="decimal"/>
      <w:lvlText w:val="%3."/>
      <w:lvlJc w:val="left"/>
      <w:pPr>
        <w:ind w:left="2160" w:firstLine="0"/>
      </w:pPr>
    </w:lvl>
    <w:lvl w:ilvl="3">
      <w:start w:val="1"/>
      <w:numFmt w:val="lowerLetter"/>
      <w:lvlText w:val="%4)"/>
      <w:lvlJc w:val="left"/>
      <w:pPr>
        <w:ind w:left="2880" w:firstLine="0"/>
      </w:p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num w:numId="1" w16cid:durableId="512568561">
    <w:abstractNumId w:val="0"/>
  </w:num>
  <w:num w:numId="2" w16cid:durableId="1937866537">
    <w:abstractNumId w:val="5"/>
  </w:num>
  <w:num w:numId="3" w16cid:durableId="665087129">
    <w:abstractNumId w:val="22"/>
  </w:num>
  <w:num w:numId="4" w16cid:durableId="518861016">
    <w:abstractNumId w:val="14"/>
  </w:num>
  <w:num w:numId="5" w16cid:durableId="2104375637">
    <w:abstractNumId w:val="12"/>
  </w:num>
  <w:num w:numId="6" w16cid:durableId="1639991105">
    <w:abstractNumId w:val="11"/>
  </w:num>
  <w:num w:numId="7" w16cid:durableId="63259293">
    <w:abstractNumId w:val="17"/>
  </w:num>
  <w:num w:numId="8" w16cid:durableId="1764253789">
    <w:abstractNumId w:val="19"/>
  </w:num>
  <w:num w:numId="9" w16cid:durableId="2135129356">
    <w:abstractNumId w:val="24"/>
  </w:num>
  <w:num w:numId="10" w16cid:durableId="1802645820">
    <w:abstractNumId w:val="2"/>
  </w:num>
  <w:num w:numId="11" w16cid:durableId="265161702">
    <w:abstractNumId w:val="7"/>
  </w:num>
  <w:num w:numId="12" w16cid:durableId="1804886365">
    <w:abstractNumId w:val="15"/>
  </w:num>
  <w:num w:numId="13" w16cid:durableId="111554928">
    <w:abstractNumId w:val="1"/>
  </w:num>
  <w:num w:numId="14" w16cid:durableId="517699168">
    <w:abstractNumId w:val="3"/>
  </w:num>
  <w:num w:numId="15" w16cid:durableId="2127308228">
    <w:abstractNumId w:val="16"/>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6" w16cid:durableId="1105661151">
    <w:abstractNumId w:val="16"/>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7" w16cid:durableId="1511336550">
    <w:abstractNumId w:val="18"/>
    <w:lvlOverride w:ilvl="0"/>
    <w:lvlOverride w:ilvl="1">
      <w:startOverride w:val="1"/>
    </w:lvlOverride>
    <w:lvlOverride w:ilvl="2">
      <w:startOverride w:val="1"/>
    </w:lvlOverride>
    <w:lvlOverride w:ilvl="3">
      <w:startOverride w:val="2"/>
    </w:lvlOverride>
    <w:lvlOverride w:ilvl="4"/>
    <w:lvlOverride w:ilvl="5"/>
    <w:lvlOverride w:ilvl="6"/>
    <w:lvlOverride w:ilvl="7"/>
    <w:lvlOverride w:ilvl="8"/>
  </w:num>
  <w:num w:numId="18" w16cid:durableId="1463496280">
    <w:abstractNumId w:val="16"/>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 w16cid:durableId="560209733">
    <w:abstractNumId w:val="21"/>
  </w:num>
  <w:num w:numId="20" w16cid:durableId="437063376">
    <w:abstractNumId w:val="23"/>
  </w:num>
  <w:num w:numId="21" w16cid:durableId="262499298">
    <w:abstractNumId w:val="6"/>
  </w:num>
  <w:num w:numId="22" w16cid:durableId="468210846">
    <w:abstractNumId w:val="4"/>
  </w:num>
  <w:num w:numId="23" w16cid:durableId="880019346">
    <w:abstractNumId w:val="9"/>
  </w:num>
  <w:num w:numId="24" w16cid:durableId="713045117">
    <w:abstractNumId w:val="20"/>
  </w:num>
  <w:num w:numId="25" w16cid:durableId="131018734">
    <w:abstractNumId w:val="10"/>
  </w:num>
  <w:num w:numId="26" w16cid:durableId="1172182144">
    <w:abstractNumId w:val="13"/>
  </w:num>
  <w:num w:numId="27" w16cid:durableId="19763718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GwMDE3NjG0NDUzNDZR0lEKTi0uzszPAykwrQUAiN+STCwAAAA="/>
  </w:docVars>
  <w:rsids>
    <w:rsidRoot w:val="005B3E3D"/>
    <w:rsid w:val="0000085D"/>
    <w:rsid w:val="0000100E"/>
    <w:rsid w:val="0000291F"/>
    <w:rsid w:val="00003264"/>
    <w:rsid w:val="0000727B"/>
    <w:rsid w:val="000136E3"/>
    <w:rsid w:val="00015FAB"/>
    <w:rsid w:val="000160F9"/>
    <w:rsid w:val="00017FAE"/>
    <w:rsid w:val="00021965"/>
    <w:rsid w:val="00025D9F"/>
    <w:rsid w:val="00030B1A"/>
    <w:rsid w:val="00031E29"/>
    <w:rsid w:val="00034AE4"/>
    <w:rsid w:val="00040F87"/>
    <w:rsid w:val="00044991"/>
    <w:rsid w:val="000458A0"/>
    <w:rsid w:val="00045C01"/>
    <w:rsid w:val="00050110"/>
    <w:rsid w:val="00051C15"/>
    <w:rsid w:val="00053AAF"/>
    <w:rsid w:val="00055777"/>
    <w:rsid w:val="0006522E"/>
    <w:rsid w:val="000801F7"/>
    <w:rsid w:val="00080DAB"/>
    <w:rsid w:val="00082685"/>
    <w:rsid w:val="0008536D"/>
    <w:rsid w:val="000A17FA"/>
    <w:rsid w:val="000A447B"/>
    <w:rsid w:val="000A45E8"/>
    <w:rsid w:val="000C347B"/>
    <w:rsid w:val="000D7A3B"/>
    <w:rsid w:val="000F0E41"/>
    <w:rsid w:val="0011318A"/>
    <w:rsid w:val="00115A5D"/>
    <w:rsid w:val="00122E14"/>
    <w:rsid w:val="00126D35"/>
    <w:rsid w:val="00131D83"/>
    <w:rsid w:val="00133C9A"/>
    <w:rsid w:val="00137E2C"/>
    <w:rsid w:val="001405EA"/>
    <w:rsid w:val="0015560F"/>
    <w:rsid w:val="001718D7"/>
    <w:rsid w:val="00185CC3"/>
    <w:rsid w:val="00187FF2"/>
    <w:rsid w:val="0019039B"/>
    <w:rsid w:val="00194BD9"/>
    <w:rsid w:val="001969FA"/>
    <w:rsid w:val="0019783B"/>
    <w:rsid w:val="001A1BB1"/>
    <w:rsid w:val="001A7A6E"/>
    <w:rsid w:val="001B4D01"/>
    <w:rsid w:val="001B697D"/>
    <w:rsid w:val="001C345D"/>
    <w:rsid w:val="001C7CE7"/>
    <w:rsid w:val="001D6C88"/>
    <w:rsid w:val="001D78E7"/>
    <w:rsid w:val="001E4009"/>
    <w:rsid w:val="001F1698"/>
    <w:rsid w:val="00201F25"/>
    <w:rsid w:val="00201F45"/>
    <w:rsid w:val="00202860"/>
    <w:rsid w:val="0020607F"/>
    <w:rsid w:val="002073F3"/>
    <w:rsid w:val="00207747"/>
    <w:rsid w:val="00237404"/>
    <w:rsid w:val="002413B5"/>
    <w:rsid w:val="0025049D"/>
    <w:rsid w:val="0026432B"/>
    <w:rsid w:val="00276076"/>
    <w:rsid w:val="00277E44"/>
    <w:rsid w:val="0028690C"/>
    <w:rsid w:val="002935FB"/>
    <w:rsid w:val="00293CB4"/>
    <w:rsid w:val="00297366"/>
    <w:rsid w:val="002A050F"/>
    <w:rsid w:val="002A0B9D"/>
    <w:rsid w:val="002E36BF"/>
    <w:rsid w:val="002F12A5"/>
    <w:rsid w:val="002F49CC"/>
    <w:rsid w:val="003075AB"/>
    <w:rsid w:val="0031197B"/>
    <w:rsid w:val="00314754"/>
    <w:rsid w:val="003154D0"/>
    <w:rsid w:val="0033104E"/>
    <w:rsid w:val="003371C0"/>
    <w:rsid w:val="00347428"/>
    <w:rsid w:val="003475C4"/>
    <w:rsid w:val="003525DB"/>
    <w:rsid w:val="00352D36"/>
    <w:rsid w:val="003627BF"/>
    <w:rsid w:val="00364084"/>
    <w:rsid w:val="00371B92"/>
    <w:rsid w:val="00373DE4"/>
    <w:rsid w:val="00375032"/>
    <w:rsid w:val="00381C99"/>
    <w:rsid w:val="0038785D"/>
    <w:rsid w:val="003965C6"/>
    <w:rsid w:val="00397B72"/>
    <w:rsid w:val="003B64BA"/>
    <w:rsid w:val="003C0EA4"/>
    <w:rsid w:val="003D1D78"/>
    <w:rsid w:val="003D3A28"/>
    <w:rsid w:val="003D6511"/>
    <w:rsid w:val="003E2DD2"/>
    <w:rsid w:val="003E46DA"/>
    <w:rsid w:val="003E5420"/>
    <w:rsid w:val="0040277A"/>
    <w:rsid w:val="00403EAE"/>
    <w:rsid w:val="00407238"/>
    <w:rsid w:val="00410CC3"/>
    <w:rsid w:val="00413E31"/>
    <w:rsid w:val="004165A6"/>
    <w:rsid w:val="00421322"/>
    <w:rsid w:val="00424119"/>
    <w:rsid w:val="004264F4"/>
    <w:rsid w:val="00427AF6"/>
    <w:rsid w:val="004304D9"/>
    <w:rsid w:val="00435810"/>
    <w:rsid w:val="00440A66"/>
    <w:rsid w:val="00440E69"/>
    <w:rsid w:val="0045176C"/>
    <w:rsid w:val="004517A8"/>
    <w:rsid w:val="00452FD2"/>
    <w:rsid w:val="00456719"/>
    <w:rsid w:val="00462692"/>
    <w:rsid w:val="00465640"/>
    <w:rsid w:val="00465986"/>
    <w:rsid w:val="004710A4"/>
    <w:rsid w:val="004A4605"/>
    <w:rsid w:val="004A6224"/>
    <w:rsid w:val="004A7C9D"/>
    <w:rsid w:val="004B696D"/>
    <w:rsid w:val="004B6DA7"/>
    <w:rsid w:val="004D36BA"/>
    <w:rsid w:val="004D7D3D"/>
    <w:rsid w:val="004E007D"/>
    <w:rsid w:val="004E058A"/>
    <w:rsid w:val="004E5C8A"/>
    <w:rsid w:val="004E7AC1"/>
    <w:rsid w:val="004F0357"/>
    <w:rsid w:val="004F4993"/>
    <w:rsid w:val="004F78B5"/>
    <w:rsid w:val="005122F1"/>
    <w:rsid w:val="00516EB9"/>
    <w:rsid w:val="005205ED"/>
    <w:rsid w:val="0052736F"/>
    <w:rsid w:val="0052799B"/>
    <w:rsid w:val="005326BA"/>
    <w:rsid w:val="005327D1"/>
    <w:rsid w:val="00537E35"/>
    <w:rsid w:val="00541705"/>
    <w:rsid w:val="00541F8A"/>
    <w:rsid w:val="00543D86"/>
    <w:rsid w:val="00552E46"/>
    <w:rsid w:val="00553C52"/>
    <w:rsid w:val="00557809"/>
    <w:rsid w:val="00564CA9"/>
    <w:rsid w:val="00566C53"/>
    <w:rsid w:val="00575288"/>
    <w:rsid w:val="00575667"/>
    <w:rsid w:val="0057602E"/>
    <w:rsid w:val="005A0B43"/>
    <w:rsid w:val="005A2647"/>
    <w:rsid w:val="005A407B"/>
    <w:rsid w:val="005B03FF"/>
    <w:rsid w:val="005B11BA"/>
    <w:rsid w:val="005B3E3D"/>
    <w:rsid w:val="005C2021"/>
    <w:rsid w:val="006016E1"/>
    <w:rsid w:val="006021FE"/>
    <w:rsid w:val="00610DC8"/>
    <w:rsid w:val="00612D11"/>
    <w:rsid w:val="00626156"/>
    <w:rsid w:val="00644C0F"/>
    <w:rsid w:val="006454A7"/>
    <w:rsid w:val="00647C59"/>
    <w:rsid w:val="00657823"/>
    <w:rsid w:val="00660D99"/>
    <w:rsid w:val="00661919"/>
    <w:rsid w:val="00663C01"/>
    <w:rsid w:val="00667563"/>
    <w:rsid w:val="006769FD"/>
    <w:rsid w:val="0068643B"/>
    <w:rsid w:val="006928C9"/>
    <w:rsid w:val="006939A9"/>
    <w:rsid w:val="006956C6"/>
    <w:rsid w:val="006A61E3"/>
    <w:rsid w:val="006A67D9"/>
    <w:rsid w:val="006B18DA"/>
    <w:rsid w:val="006C15BD"/>
    <w:rsid w:val="006C4DED"/>
    <w:rsid w:val="006C5B6C"/>
    <w:rsid w:val="006D3863"/>
    <w:rsid w:val="006D3FE2"/>
    <w:rsid w:val="006D7D07"/>
    <w:rsid w:val="006E1BE0"/>
    <w:rsid w:val="006E3679"/>
    <w:rsid w:val="006F5900"/>
    <w:rsid w:val="006F5E03"/>
    <w:rsid w:val="00704072"/>
    <w:rsid w:val="00711E3A"/>
    <w:rsid w:val="007143F0"/>
    <w:rsid w:val="0072300F"/>
    <w:rsid w:val="007243D3"/>
    <w:rsid w:val="007372CF"/>
    <w:rsid w:val="00737903"/>
    <w:rsid w:val="00743C96"/>
    <w:rsid w:val="00756EB9"/>
    <w:rsid w:val="007576DD"/>
    <w:rsid w:val="00757770"/>
    <w:rsid w:val="007656F0"/>
    <w:rsid w:val="007747E0"/>
    <w:rsid w:val="00782B4C"/>
    <w:rsid w:val="00793A18"/>
    <w:rsid w:val="00795234"/>
    <w:rsid w:val="007A0689"/>
    <w:rsid w:val="007A20E2"/>
    <w:rsid w:val="007A47E2"/>
    <w:rsid w:val="007A5589"/>
    <w:rsid w:val="007B03FA"/>
    <w:rsid w:val="007B3CFE"/>
    <w:rsid w:val="007B5A91"/>
    <w:rsid w:val="007C2AD6"/>
    <w:rsid w:val="007D5EE9"/>
    <w:rsid w:val="007D6378"/>
    <w:rsid w:val="007E1D45"/>
    <w:rsid w:val="007F052D"/>
    <w:rsid w:val="007F2A43"/>
    <w:rsid w:val="00804E7E"/>
    <w:rsid w:val="00806DB8"/>
    <w:rsid w:val="00811C7E"/>
    <w:rsid w:val="0081353B"/>
    <w:rsid w:val="00823B50"/>
    <w:rsid w:val="00827E3F"/>
    <w:rsid w:val="00836867"/>
    <w:rsid w:val="008423C1"/>
    <w:rsid w:val="00851257"/>
    <w:rsid w:val="00852599"/>
    <w:rsid w:val="00863DB6"/>
    <w:rsid w:val="00864EA2"/>
    <w:rsid w:val="0086799D"/>
    <w:rsid w:val="0087012A"/>
    <w:rsid w:val="008813C0"/>
    <w:rsid w:val="0088396B"/>
    <w:rsid w:val="00886DA7"/>
    <w:rsid w:val="00894D82"/>
    <w:rsid w:val="008A294C"/>
    <w:rsid w:val="008B0FFD"/>
    <w:rsid w:val="008B2E05"/>
    <w:rsid w:val="008B67DF"/>
    <w:rsid w:val="008D7EA3"/>
    <w:rsid w:val="008E10B4"/>
    <w:rsid w:val="008E3113"/>
    <w:rsid w:val="008F752F"/>
    <w:rsid w:val="00904488"/>
    <w:rsid w:val="00911110"/>
    <w:rsid w:val="00913DDD"/>
    <w:rsid w:val="009214E0"/>
    <w:rsid w:val="0092457A"/>
    <w:rsid w:val="00926705"/>
    <w:rsid w:val="00933B0A"/>
    <w:rsid w:val="00946CDC"/>
    <w:rsid w:val="009476CA"/>
    <w:rsid w:val="00952B62"/>
    <w:rsid w:val="00952E00"/>
    <w:rsid w:val="00957E13"/>
    <w:rsid w:val="0096126E"/>
    <w:rsid w:val="00975F4C"/>
    <w:rsid w:val="00981D73"/>
    <w:rsid w:val="00987969"/>
    <w:rsid w:val="009A5C2F"/>
    <w:rsid w:val="009A6886"/>
    <w:rsid w:val="009A7A8D"/>
    <w:rsid w:val="009B14D7"/>
    <w:rsid w:val="009B2B77"/>
    <w:rsid w:val="009C0C7F"/>
    <w:rsid w:val="009C1D8B"/>
    <w:rsid w:val="009C6579"/>
    <w:rsid w:val="009C73C6"/>
    <w:rsid w:val="009D25E6"/>
    <w:rsid w:val="009D2DE5"/>
    <w:rsid w:val="009D311A"/>
    <w:rsid w:val="009E297E"/>
    <w:rsid w:val="009E726D"/>
    <w:rsid w:val="009F10C4"/>
    <w:rsid w:val="009F32D9"/>
    <w:rsid w:val="009F43DD"/>
    <w:rsid w:val="009F455B"/>
    <w:rsid w:val="009F6289"/>
    <w:rsid w:val="009F7D84"/>
    <w:rsid w:val="00A109D2"/>
    <w:rsid w:val="00A13574"/>
    <w:rsid w:val="00A27B3F"/>
    <w:rsid w:val="00A31BE6"/>
    <w:rsid w:val="00A365D9"/>
    <w:rsid w:val="00A50266"/>
    <w:rsid w:val="00A5029E"/>
    <w:rsid w:val="00A5152A"/>
    <w:rsid w:val="00A522AE"/>
    <w:rsid w:val="00A56827"/>
    <w:rsid w:val="00A6692B"/>
    <w:rsid w:val="00A77B97"/>
    <w:rsid w:val="00A80FD7"/>
    <w:rsid w:val="00A811A9"/>
    <w:rsid w:val="00A877BB"/>
    <w:rsid w:val="00A909AC"/>
    <w:rsid w:val="00A967A3"/>
    <w:rsid w:val="00A96B1B"/>
    <w:rsid w:val="00AB6440"/>
    <w:rsid w:val="00AC2883"/>
    <w:rsid w:val="00AE7C2D"/>
    <w:rsid w:val="00AF29CA"/>
    <w:rsid w:val="00AF7A1B"/>
    <w:rsid w:val="00B01672"/>
    <w:rsid w:val="00B01694"/>
    <w:rsid w:val="00B0253B"/>
    <w:rsid w:val="00B06D6C"/>
    <w:rsid w:val="00B10D51"/>
    <w:rsid w:val="00B115BC"/>
    <w:rsid w:val="00B13235"/>
    <w:rsid w:val="00B13E6A"/>
    <w:rsid w:val="00B15E9A"/>
    <w:rsid w:val="00B2666D"/>
    <w:rsid w:val="00B31D62"/>
    <w:rsid w:val="00B321A4"/>
    <w:rsid w:val="00B3716F"/>
    <w:rsid w:val="00B3727F"/>
    <w:rsid w:val="00B4334B"/>
    <w:rsid w:val="00B44E09"/>
    <w:rsid w:val="00B470C0"/>
    <w:rsid w:val="00B47E47"/>
    <w:rsid w:val="00B545B8"/>
    <w:rsid w:val="00B600BD"/>
    <w:rsid w:val="00B6311C"/>
    <w:rsid w:val="00B63B2D"/>
    <w:rsid w:val="00B7064D"/>
    <w:rsid w:val="00B74BEF"/>
    <w:rsid w:val="00B832AE"/>
    <w:rsid w:val="00B86677"/>
    <w:rsid w:val="00B90B60"/>
    <w:rsid w:val="00B92CD3"/>
    <w:rsid w:val="00BA0C56"/>
    <w:rsid w:val="00BB1027"/>
    <w:rsid w:val="00BB294D"/>
    <w:rsid w:val="00BB378D"/>
    <w:rsid w:val="00BB49A5"/>
    <w:rsid w:val="00BD1996"/>
    <w:rsid w:val="00BD6D77"/>
    <w:rsid w:val="00BF2BC6"/>
    <w:rsid w:val="00C05CFF"/>
    <w:rsid w:val="00C118DD"/>
    <w:rsid w:val="00C12D86"/>
    <w:rsid w:val="00C17AF6"/>
    <w:rsid w:val="00C236A6"/>
    <w:rsid w:val="00C24BC9"/>
    <w:rsid w:val="00C366CE"/>
    <w:rsid w:val="00C414BC"/>
    <w:rsid w:val="00C41657"/>
    <w:rsid w:val="00C41E91"/>
    <w:rsid w:val="00C43048"/>
    <w:rsid w:val="00C46370"/>
    <w:rsid w:val="00C46A5F"/>
    <w:rsid w:val="00C50561"/>
    <w:rsid w:val="00C5156D"/>
    <w:rsid w:val="00C54880"/>
    <w:rsid w:val="00C55D5A"/>
    <w:rsid w:val="00C60AEA"/>
    <w:rsid w:val="00C61BEA"/>
    <w:rsid w:val="00C6506E"/>
    <w:rsid w:val="00C71E1F"/>
    <w:rsid w:val="00C7233A"/>
    <w:rsid w:val="00C7271F"/>
    <w:rsid w:val="00C76B10"/>
    <w:rsid w:val="00C83F86"/>
    <w:rsid w:val="00C933F8"/>
    <w:rsid w:val="00C9390F"/>
    <w:rsid w:val="00C946D2"/>
    <w:rsid w:val="00C96FF5"/>
    <w:rsid w:val="00CA6F40"/>
    <w:rsid w:val="00CA720B"/>
    <w:rsid w:val="00CB4F31"/>
    <w:rsid w:val="00CD43AA"/>
    <w:rsid w:val="00CD5E2F"/>
    <w:rsid w:val="00CE37E1"/>
    <w:rsid w:val="00CE5EF8"/>
    <w:rsid w:val="00CF497C"/>
    <w:rsid w:val="00CF52E8"/>
    <w:rsid w:val="00CF7AE4"/>
    <w:rsid w:val="00D00868"/>
    <w:rsid w:val="00D0224A"/>
    <w:rsid w:val="00D0328F"/>
    <w:rsid w:val="00D04C69"/>
    <w:rsid w:val="00D04F1C"/>
    <w:rsid w:val="00D064EC"/>
    <w:rsid w:val="00D144F9"/>
    <w:rsid w:val="00D155C7"/>
    <w:rsid w:val="00D16511"/>
    <w:rsid w:val="00D20FBF"/>
    <w:rsid w:val="00D216BA"/>
    <w:rsid w:val="00D22CA4"/>
    <w:rsid w:val="00D3423D"/>
    <w:rsid w:val="00D37C40"/>
    <w:rsid w:val="00D401C8"/>
    <w:rsid w:val="00D42094"/>
    <w:rsid w:val="00D43106"/>
    <w:rsid w:val="00D46581"/>
    <w:rsid w:val="00D54F23"/>
    <w:rsid w:val="00D6746D"/>
    <w:rsid w:val="00D710BB"/>
    <w:rsid w:val="00D754A8"/>
    <w:rsid w:val="00D83D21"/>
    <w:rsid w:val="00D84F98"/>
    <w:rsid w:val="00D91900"/>
    <w:rsid w:val="00D938CF"/>
    <w:rsid w:val="00D95054"/>
    <w:rsid w:val="00DA0A0E"/>
    <w:rsid w:val="00DB4035"/>
    <w:rsid w:val="00DB503F"/>
    <w:rsid w:val="00DB782A"/>
    <w:rsid w:val="00DE1306"/>
    <w:rsid w:val="00DE6E0B"/>
    <w:rsid w:val="00DF4F49"/>
    <w:rsid w:val="00DF57C9"/>
    <w:rsid w:val="00DF60F8"/>
    <w:rsid w:val="00DF6C4E"/>
    <w:rsid w:val="00E16741"/>
    <w:rsid w:val="00E40638"/>
    <w:rsid w:val="00E41C2D"/>
    <w:rsid w:val="00E436B5"/>
    <w:rsid w:val="00E438E3"/>
    <w:rsid w:val="00E459DD"/>
    <w:rsid w:val="00E46CE2"/>
    <w:rsid w:val="00E5561C"/>
    <w:rsid w:val="00E641AE"/>
    <w:rsid w:val="00E73B61"/>
    <w:rsid w:val="00E74133"/>
    <w:rsid w:val="00E747D8"/>
    <w:rsid w:val="00E7651B"/>
    <w:rsid w:val="00E92D30"/>
    <w:rsid w:val="00E96383"/>
    <w:rsid w:val="00EC0B5D"/>
    <w:rsid w:val="00ED1650"/>
    <w:rsid w:val="00ED2197"/>
    <w:rsid w:val="00ED4BB5"/>
    <w:rsid w:val="00F056A7"/>
    <w:rsid w:val="00F208E5"/>
    <w:rsid w:val="00F335A3"/>
    <w:rsid w:val="00F37D4D"/>
    <w:rsid w:val="00F4430B"/>
    <w:rsid w:val="00F628CB"/>
    <w:rsid w:val="00F63B1F"/>
    <w:rsid w:val="00F66894"/>
    <w:rsid w:val="00F70B81"/>
    <w:rsid w:val="00F73820"/>
    <w:rsid w:val="00F8277B"/>
    <w:rsid w:val="00F85741"/>
    <w:rsid w:val="00F87BCB"/>
    <w:rsid w:val="00F90982"/>
    <w:rsid w:val="00F92182"/>
    <w:rsid w:val="00F94110"/>
    <w:rsid w:val="00FA237C"/>
    <w:rsid w:val="00FC0023"/>
    <w:rsid w:val="00FC0E09"/>
    <w:rsid w:val="00FC11F7"/>
    <w:rsid w:val="00FC30CF"/>
    <w:rsid w:val="00FC719C"/>
    <w:rsid w:val="00FE6706"/>
    <w:rsid w:val="00FF15A5"/>
    <w:rsid w:val="00FF2281"/>
    <w:rsid w:val="00FF4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44035E09"/>
  <w15:chartTrackingRefBased/>
  <w15:docId w15:val="{7F6598CD-4623-46B1-9349-C8A51103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987969"/>
    <w:pPr>
      <w:keepNext/>
      <w:numPr>
        <w:numId w:val="7"/>
      </w:numPr>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rsid w:val="00987969"/>
    <w:pPr>
      <w:keepNext/>
      <w:numPr>
        <w:ilvl w:val="1"/>
        <w:numId w:val="7"/>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987969"/>
    <w:pPr>
      <w:keepNext/>
      <w:numPr>
        <w:ilvl w:val="2"/>
        <w:numId w:val="7"/>
      </w:numPr>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987969"/>
    <w:pPr>
      <w:keepNext/>
      <w:numPr>
        <w:ilvl w:val="3"/>
        <w:numId w:val="7"/>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987969"/>
    <w:pPr>
      <w:numPr>
        <w:ilvl w:val="4"/>
        <w:numId w:val="7"/>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987969"/>
    <w:pPr>
      <w:numPr>
        <w:ilvl w:val="5"/>
        <w:numId w:val="7"/>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987969"/>
    <w:pPr>
      <w:numPr>
        <w:ilvl w:val="6"/>
        <w:numId w:val="7"/>
      </w:numPr>
      <w:spacing w:before="240" w:after="60"/>
      <w:outlineLvl w:val="6"/>
    </w:pPr>
    <w:rPr>
      <w:rFonts w:ascii="Calibri" w:hAnsi="Calibri"/>
      <w:szCs w:val="24"/>
    </w:rPr>
  </w:style>
  <w:style w:type="paragraph" w:styleId="Heading8">
    <w:name w:val="heading 8"/>
    <w:basedOn w:val="Normal"/>
    <w:next w:val="Normal"/>
    <w:link w:val="Heading8Char"/>
    <w:semiHidden/>
    <w:unhideWhenUsed/>
    <w:qFormat/>
    <w:rsid w:val="00987969"/>
    <w:pPr>
      <w:numPr>
        <w:ilvl w:val="7"/>
        <w:numId w:val="7"/>
      </w:numPr>
      <w:spacing w:before="240" w:after="60"/>
      <w:outlineLvl w:val="7"/>
    </w:pPr>
    <w:rPr>
      <w:rFonts w:ascii="Calibri" w:hAnsi="Calibri"/>
      <w:i/>
      <w:iCs/>
      <w:szCs w:val="24"/>
    </w:rPr>
  </w:style>
  <w:style w:type="paragraph" w:styleId="Heading9">
    <w:name w:val="heading 9"/>
    <w:basedOn w:val="Normal"/>
    <w:next w:val="Normal"/>
    <w:link w:val="Heading9Char"/>
    <w:semiHidden/>
    <w:unhideWhenUsed/>
    <w:qFormat/>
    <w:rsid w:val="00987969"/>
    <w:pPr>
      <w:numPr>
        <w:ilvl w:val="8"/>
        <w:numId w:val="7"/>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paragraph" w:styleId="BalloonText">
    <w:name w:val="Balloon Text"/>
    <w:basedOn w:val="Normal"/>
    <w:link w:val="BalloonTextChar"/>
    <w:rsid w:val="001D78E7"/>
    <w:rPr>
      <w:rFonts w:ascii="Segoe UI" w:hAnsi="Segoe UI" w:cs="Segoe UI"/>
      <w:sz w:val="18"/>
      <w:szCs w:val="18"/>
    </w:rPr>
  </w:style>
  <w:style w:type="character" w:customStyle="1" w:styleId="BalloonTextChar">
    <w:name w:val="Balloon Text Char"/>
    <w:link w:val="BalloonText"/>
    <w:rsid w:val="001D78E7"/>
    <w:rPr>
      <w:rFonts w:ascii="Segoe UI" w:hAnsi="Segoe UI" w:cs="Segoe UI"/>
      <w:sz w:val="18"/>
      <w:szCs w:val="18"/>
    </w:rPr>
  </w:style>
  <w:style w:type="character" w:styleId="CommentReference">
    <w:name w:val="annotation reference"/>
    <w:rsid w:val="00E747D8"/>
    <w:rPr>
      <w:sz w:val="16"/>
      <w:szCs w:val="16"/>
    </w:rPr>
  </w:style>
  <w:style w:type="paragraph" w:styleId="CommentText">
    <w:name w:val="annotation text"/>
    <w:basedOn w:val="Normal"/>
    <w:link w:val="CommentTextChar"/>
    <w:rsid w:val="00E747D8"/>
    <w:rPr>
      <w:sz w:val="20"/>
    </w:rPr>
  </w:style>
  <w:style w:type="character" w:customStyle="1" w:styleId="CommentTextChar">
    <w:name w:val="Comment Text Char"/>
    <w:basedOn w:val="DefaultParagraphFont"/>
    <w:link w:val="CommentText"/>
    <w:rsid w:val="00E747D8"/>
  </w:style>
  <w:style w:type="paragraph" w:styleId="CommentSubject">
    <w:name w:val="annotation subject"/>
    <w:basedOn w:val="CommentText"/>
    <w:next w:val="CommentText"/>
    <w:link w:val="CommentSubjectChar"/>
    <w:rsid w:val="00E747D8"/>
    <w:rPr>
      <w:b/>
      <w:bCs/>
    </w:rPr>
  </w:style>
  <w:style w:type="character" w:customStyle="1" w:styleId="CommentSubjectChar">
    <w:name w:val="Comment Subject Char"/>
    <w:link w:val="CommentSubject"/>
    <w:rsid w:val="00E747D8"/>
    <w:rPr>
      <w:b/>
      <w:bCs/>
    </w:rPr>
  </w:style>
  <w:style w:type="character" w:customStyle="1" w:styleId="Heading1Char">
    <w:name w:val="Heading 1 Char"/>
    <w:link w:val="Heading1"/>
    <w:rsid w:val="00987969"/>
    <w:rPr>
      <w:rFonts w:ascii="Calibri Light" w:eastAsia="Times New Roman" w:hAnsi="Calibri Light" w:cs="Times New Roman"/>
      <w:b/>
      <w:bCs/>
      <w:kern w:val="32"/>
      <w:sz w:val="32"/>
      <w:szCs w:val="32"/>
    </w:rPr>
  </w:style>
  <w:style w:type="character" w:customStyle="1" w:styleId="Heading2Char">
    <w:name w:val="Heading 2 Char"/>
    <w:link w:val="Heading2"/>
    <w:rsid w:val="00987969"/>
    <w:rPr>
      <w:rFonts w:ascii="Calibri Light" w:eastAsia="Times New Roman" w:hAnsi="Calibri Light" w:cs="Times New Roman"/>
      <w:b/>
      <w:bCs/>
      <w:i/>
      <w:iCs/>
      <w:sz w:val="28"/>
      <w:szCs w:val="28"/>
    </w:rPr>
  </w:style>
  <w:style w:type="character" w:customStyle="1" w:styleId="Heading3Char">
    <w:name w:val="Heading 3 Char"/>
    <w:link w:val="Heading3"/>
    <w:semiHidden/>
    <w:rsid w:val="00987969"/>
    <w:rPr>
      <w:rFonts w:ascii="Calibri Light" w:eastAsia="Times New Roman" w:hAnsi="Calibri Light" w:cs="Times New Roman"/>
      <w:b/>
      <w:bCs/>
      <w:sz w:val="26"/>
      <w:szCs w:val="26"/>
    </w:rPr>
  </w:style>
  <w:style w:type="character" w:customStyle="1" w:styleId="Heading4Char">
    <w:name w:val="Heading 4 Char"/>
    <w:link w:val="Heading4"/>
    <w:semiHidden/>
    <w:rsid w:val="00987969"/>
    <w:rPr>
      <w:rFonts w:ascii="Calibri" w:eastAsia="Times New Roman" w:hAnsi="Calibri" w:cs="Times New Roman"/>
      <w:b/>
      <w:bCs/>
      <w:sz w:val="28"/>
      <w:szCs w:val="28"/>
    </w:rPr>
  </w:style>
  <w:style w:type="character" w:customStyle="1" w:styleId="Heading5Char">
    <w:name w:val="Heading 5 Char"/>
    <w:link w:val="Heading5"/>
    <w:semiHidden/>
    <w:rsid w:val="00987969"/>
    <w:rPr>
      <w:rFonts w:ascii="Calibri" w:eastAsia="Times New Roman" w:hAnsi="Calibri" w:cs="Times New Roman"/>
      <w:b/>
      <w:bCs/>
      <w:i/>
      <w:iCs/>
      <w:sz w:val="26"/>
      <w:szCs w:val="26"/>
    </w:rPr>
  </w:style>
  <w:style w:type="character" w:customStyle="1" w:styleId="Heading6Char">
    <w:name w:val="Heading 6 Char"/>
    <w:link w:val="Heading6"/>
    <w:semiHidden/>
    <w:rsid w:val="00987969"/>
    <w:rPr>
      <w:rFonts w:ascii="Calibri" w:eastAsia="Times New Roman" w:hAnsi="Calibri" w:cs="Times New Roman"/>
      <w:b/>
      <w:bCs/>
      <w:sz w:val="22"/>
      <w:szCs w:val="22"/>
    </w:rPr>
  </w:style>
  <w:style w:type="character" w:customStyle="1" w:styleId="Heading7Char">
    <w:name w:val="Heading 7 Char"/>
    <w:link w:val="Heading7"/>
    <w:semiHidden/>
    <w:rsid w:val="00987969"/>
    <w:rPr>
      <w:rFonts w:ascii="Calibri" w:eastAsia="Times New Roman" w:hAnsi="Calibri" w:cs="Times New Roman"/>
      <w:sz w:val="24"/>
      <w:szCs w:val="24"/>
    </w:rPr>
  </w:style>
  <w:style w:type="character" w:customStyle="1" w:styleId="Heading8Char">
    <w:name w:val="Heading 8 Char"/>
    <w:link w:val="Heading8"/>
    <w:semiHidden/>
    <w:rsid w:val="00987969"/>
    <w:rPr>
      <w:rFonts w:ascii="Calibri" w:eastAsia="Times New Roman" w:hAnsi="Calibri" w:cs="Times New Roman"/>
      <w:i/>
      <w:iCs/>
      <w:sz w:val="24"/>
      <w:szCs w:val="24"/>
    </w:rPr>
  </w:style>
  <w:style w:type="character" w:customStyle="1" w:styleId="Heading9Char">
    <w:name w:val="Heading 9 Char"/>
    <w:link w:val="Heading9"/>
    <w:semiHidden/>
    <w:rsid w:val="00987969"/>
    <w:rPr>
      <w:rFonts w:ascii="Calibri Light" w:eastAsia="Times New Roman" w:hAnsi="Calibri Light" w:cs="Times New Roman"/>
      <w:sz w:val="22"/>
      <w:szCs w:val="22"/>
    </w:rPr>
  </w:style>
  <w:style w:type="character" w:styleId="UnresolvedMention">
    <w:name w:val="Unresolved Mention"/>
    <w:basedOn w:val="DefaultParagraphFont"/>
    <w:uiPriority w:val="99"/>
    <w:semiHidden/>
    <w:unhideWhenUsed/>
    <w:rsid w:val="002A0B9D"/>
    <w:rPr>
      <w:color w:val="605E5C"/>
      <w:shd w:val="clear" w:color="auto" w:fill="E1DFDD"/>
    </w:rPr>
  </w:style>
  <w:style w:type="paragraph" w:styleId="Revision">
    <w:name w:val="Revision"/>
    <w:hidden/>
    <w:uiPriority w:val="99"/>
    <w:semiHidden/>
    <w:rsid w:val="00543D86"/>
    <w:rPr>
      <w:sz w:val="24"/>
    </w:rPr>
  </w:style>
  <w:style w:type="paragraph" w:styleId="FootnoteText">
    <w:name w:val="footnote text"/>
    <w:basedOn w:val="Normal"/>
    <w:link w:val="FootnoteTextChar"/>
    <w:rsid w:val="006F5E03"/>
    <w:rPr>
      <w:sz w:val="20"/>
    </w:rPr>
  </w:style>
  <w:style w:type="character" w:customStyle="1" w:styleId="FootnoteTextChar">
    <w:name w:val="Footnote Text Char"/>
    <w:basedOn w:val="DefaultParagraphFont"/>
    <w:link w:val="FootnoteText"/>
    <w:rsid w:val="006F5E03"/>
  </w:style>
  <w:style w:type="character" w:styleId="FootnoteReference">
    <w:name w:val="footnote reference"/>
    <w:basedOn w:val="DefaultParagraphFont"/>
    <w:rsid w:val="006F5E03"/>
    <w:rPr>
      <w:vertAlign w:val="superscript"/>
    </w:rPr>
  </w:style>
  <w:style w:type="paragraph" w:styleId="ListParagraph">
    <w:name w:val="List Paragraph"/>
    <w:basedOn w:val="Normal"/>
    <w:uiPriority w:val="34"/>
    <w:qFormat/>
    <w:rsid w:val="0088396B"/>
    <w:pPr>
      <w:ind w:left="720"/>
      <w:contextualSpacing/>
    </w:pPr>
  </w:style>
  <w:style w:type="character" w:customStyle="1" w:styleId="FooterChar">
    <w:name w:val="Footer Char"/>
    <w:basedOn w:val="DefaultParagraphFont"/>
    <w:link w:val="Footer"/>
    <w:uiPriority w:val="99"/>
    <w:rsid w:val="004B696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463298">
      <w:bodyDiv w:val="1"/>
      <w:marLeft w:val="0"/>
      <w:marRight w:val="0"/>
      <w:marTop w:val="0"/>
      <w:marBottom w:val="0"/>
      <w:divBdr>
        <w:top w:val="none" w:sz="0" w:space="0" w:color="auto"/>
        <w:left w:val="none" w:sz="0" w:space="0" w:color="auto"/>
        <w:bottom w:val="none" w:sz="0" w:space="0" w:color="auto"/>
        <w:right w:val="none" w:sz="0" w:space="0" w:color="auto"/>
      </w:divBdr>
    </w:div>
    <w:div w:id="737241226">
      <w:bodyDiv w:val="1"/>
      <w:marLeft w:val="0"/>
      <w:marRight w:val="0"/>
      <w:marTop w:val="0"/>
      <w:marBottom w:val="0"/>
      <w:divBdr>
        <w:top w:val="none" w:sz="0" w:space="0" w:color="auto"/>
        <w:left w:val="none" w:sz="0" w:space="0" w:color="auto"/>
        <w:bottom w:val="none" w:sz="0" w:space="0" w:color="auto"/>
        <w:right w:val="none" w:sz="0" w:space="0" w:color="auto"/>
      </w:divBdr>
    </w:div>
    <w:div w:id="831526760">
      <w:bodyDiv w:val="1"/>
      <w:marLeft w:val="0"/>
      <w:marRight w:val="0"/>
      <w:marTop w:val="0"/>
      <w:marBottom w:val="0"/>
      <w:divBdr>
        <w:top w:val="none" w:sz="0" w:space="0" w:color="auto"/>
        <w:left w:val="none" w:sz="0" w:space="0" w:color="auto"/>
        <w:bottom w:val="none" w:sz="0" w:space="0" w:color="auto"/>
        <w:right w:val="none" w:sz="0" w:space="0" w:color="auto"/>
      </w:divBdr>
    </w:div>
    <w:div w:id="1255820999">
      <w:bodyDiv w:val="1"/>
      <w:marLeft w:val="0"/>
      <w:marRight w:val="0"/>
      <w:marTop w:val="0"/>
      <w:marBottom w:val="0"/>
      <w:divBdr>
        <w:top w:val="none" w:sz="0" w:space="0" w:color="auto"/>
        <w:left w:val="none" w:sz="0" w:space="0" w:color="auto"/>
        <w:bottom w:val="none" w:sz="0" w:space="0" w:color="auto"/>
        <w:right w:val="none" w:sz="0" w:space="0" w:color="auto"/>
      </w:divBdr>
    </w:div>
    <w:div w:id="1525048992">
      <w:bodyDiv w:val="1"/>
      <w:marLeft w:val="0"/>
      <w:marRight w:val="0"/>
      <w:marTop w:val="0"/>
      <w:marBottom w:val="0"/>
      <w:divBdr>
        <w:top w:val="none" w:sz="0" w:space="0" w:color="auto"/>
        <w:left w:val="none" w:sz="0" w:space="0" w:color="auto"/>
        <w:bottom w:val="none" w:sz="0" w:space="0" w:color="auto"/>
        <w:right w:val="none" w:sz="0" w:space="0" w:color="auto"/>
      </w:divBdr>
    </w:div>
    <w:div w:id="1622876038">
      <w:bodyDiv w:val="1"/>
      <w:marLeft w:val="0"/>
      <w:marRight w:val="0"/>
      <w:marTop w:val="0"/>
      <w:marBottom w:val="0"/>
      <w:divBdr>
        <w:top w:val="none" w:sz="0" w:space="0" w:color="auto"/>
        <w:left w:val="none" w:sz="0" w:space="0" w:color="auto"/>
        <w:bottom w:val="none" w:sz="0" w:space="0" w:color="auto"/>
        <w:right w:val="none" w:sz="0" w:space="0" w:color="auto"/>
      </w:divBdr>
    </w:div>
    <w:div w:id="1727756761">
      <w:bodyDiv w:val="1"/>
      <w:marLeft w:val="0"/>
      <w:marRight w:val="0"/>
      <w:marTop w:val="0"/>
      <w:marBottom w:val="0"/>
      <w:divBdr>
        <w:top w:val="none" w:sz="0" w:space="0" w:color="auto"/>
        <w:left w:val="none" w:sz="0" w:space="0" w:color="auto"/>
        <w:bottom w:val="none" w:sz="0" w:space="0" w:color="auto"/>
        <w:right w:val="none" w:sz="0" w:space="0" w:color="auto"/>
      </w:divBdr>
    </w:div>
    <w:div w:id="1735547225">
      <w:bodyDiv w:val="1"/>
      <w:marLeft w:val="0"/>
      <w:marRight w:val="0"/>
      <w:marTop w:val="0"/>
      <w:marBottom w:val="0"/>
      <w:divBdr>
        <w:top w:val="none" w:sz="0" w:space="0" w:color="auto"/>
        <w:left w:val="none" w:sz="0" w:space="0" w:color="auto"/>
        <w:bottom w:val="none" w:sz="0" w:space="0" w:color="auto"/>
        <w:right w:val="none" w:sz="0" w:space="0" w:color="auto"/>
      </w:divBdr>
    </w:div>
    <w:div w:id="206375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gislature.mi.gov/Laws/MCL?objectName=mcl-Act-202-of-201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ure.mi.gov/Laws/MCL?objectName=mcl-38-280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gfoa.org/materials/procuring-actuarial-services" TargetMode="External"/><Relationship Id="rId1" Type="http://schemas.openxmlformats.org/officeDocument/2006/relationships/hyperlink" Target="https://www.gfoa.org/materials/actuarial-aud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8EA06-761D-4496-A37F-8FC771948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1217</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Dept. of Treasury</Company>
  <LinksUpToDate>false</LinksUpToDate>
  <CharactersWithSpaces>8244</CharactersWithSpaces>
  <SharedDoc>false</SharedDoc>
  <HLinks>
    <vt:vector size="6" baseType="variant">
      <vt:variant>
        <vt:i4>6029401</vt:i4>
      </vt:variant>
      <vt:variant>
        <vt:i4>0</vt:i4>
      </vt:variant>
      <vt:variant>
        <vt:i4>0</vt:i4>
      </vt:variant>
      <vt:variant>
        <vt:i4>5</vt:i4>
      </vt:variant>
      <vt:variant>
        <vt:lpwstr>http://www.michigan.gov/Treasury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 Kayla (TREASURY)</dc:creator>
  <cp:keywords/>
  <dc:description/>
  <cp:lastModifiedBy>Brousseau, Nicholas (TREASURY)</cp:lastModifiedBy>
  <cp:revision>2</cp:revision>
  <cp:lastPrinted>2019-04-10T14:21:00Z</cp:lastPrinted>
  <dcterms:created xsi:type="dcterms:W3CDTF">2025-05-09T12:37:00Z</dcterms:created>
  <dcterms:modified xsi:type="dcterms:W3CDTF">2025-05-09T12:37:00Z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2021-04-06T18:55:22Z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027a2455-ca61-4c94-806f-eab8b3f107dc</vt:lpwstr>
  </property>
  <property fmtid="{D5CDD505-2E9C-101B-9397-08002B2CF9AE}" pid="8" name="MSIP_Label_3a2fed65-62e7-46ea-af74-187e0c17143a_ContentBits">
    <vt:lpwstr>0</vt:lpwstr>
  </property>
</Properties>
</file>