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162" w:type="dxa"/>
        <w:tblLayout w:type="fixed"/>
        <w:tblLook w:val="0000" w:firstRow="0" w:lastRow="0" w:firstColumn="0" w:lastColumn="0" w:noHBand="0" w:noVBand="0"/>
      </w:tblPr>
      <w:tblGrid>
        <w:gridCol w:w="2880"/>
        <w:gridCol w:w="270"/>
        <w:gridCol w:w="4950"/>
        <w:gridCol w:w="270"/>
        <w:gridCol w:w="2970"/>
      </w:tblGrid>
      <w:tr w:rsidR="004B11B5" w:rsidRPr="00FF15A5" w14:paraId="4595BEB2" w14:textId="77777777">
        <w:trPr>
          <w:trHeight w:val="1189"/>
        </w:trPr>
        <w:tc>
          <w:tcPr>
            <w:tcW w:w="2880" w:type="dxa"/>
            <w:vAlign w:val="bottom"/>
          </w:tcPr>
          <w:p w14:paraId="798FDD1B" w14:textId="77777777" w:rsidR="004B11B5" w:rsidRPr="00FF15A5" w:rsidRDefault="004B11B5">
            <w:pPr>
              <w:spacing w:after="20"/>
              <w:jc w:val="center"/>
              <w:rPr>
                <w:rFonts w:asciiTheme="minorHAnsi" w:hAnsiTheme="minorHAnsi" w:cstheme="minorHAnsi"/>
                <w:caps/>
                <w:w w:val="115"/>
                <w:sz w:val="16"/>
              </w:rPr>
            </w:pPr>
            <w:r w:rsidRPr="00FF15A5">
              <w:rPr>
                <w:rFonts w:asciiTheme="minorHAnsi" w:hAnsiTheme="minorHAnsi" w:cstheme="minorHAnsi"/>
                <w:caps/>
                <w:w w:val="115"/>
                <w:sz w:val="16"/>
                <w:szCs w:val="16"/>
              </w:rPr>
              <w:t>Gretchen Whitme</w:t>
            </w:r>
            <w:r w:rsidRPr="00FF15A5">
              <w:rPr>
                <w:rFonts w:asciiTheme="minorHAnsi" w:hAnsiTheme="minorHAnsi" w:cstheme="minorHAnsi"/>
                <w:caps/>
                <w:noProof/>
                <w:sz w:val="16"/>
              </w:rPr>
              <w:t>r</w:t>
            </w:r>
          </w:p>
          <w:p w14:paraId="1F225F5A" w14:textId="77777777" w:rsidR="004B11B5" w:rsidRPr="00FF15A5" w:rsidRDefault="004B11B5">
            <w:pPr>
              <w:jc w:val="center"/>
              <w:rPr>
                <w:rFonts w:asciiTheme="minorHAnsi" w:hAnsiTheme="minorHAnsi" w:cstheme="minorHAnsi"/>
                <w:caps/>
                <w:w w:val="115"/>
                <w:sz w:val="16"/>
              </w:rPr>
            </w:pPr>
            <w:r w:rsidRPr="00FF15A5">
              <w:rPr>
                <w:rFonts w:asciiTheme="minorHAnsi" w:hAnsiTheme="minorHAnsi" w:cstheme="minorHAnsi"/>
                <w:smallCaps/>
                <w:w w:val="115"/>
                <w:sz w:val="16"/>
              </w:rPr>
              <w:t>governor</w:t>
            </w:r>
          </w:p>
        </w:tc>
        <w:tc>
          <w:tcPr>
            <w:tcW w:w="270" w:type="dxa"/>
            <w:vAlign w:val="bottom"/>
          </w:tcPr>
          <w:p w14:paraId="04B0D3FE" w14:textId="77777777" w:rsidR="004B11B5" w:rsidRPr="00FF15A5" w:rsidRDefault="004B11B5">
            <w:pPr>
              <w:jc w:val="center"/>
              <w:rPr>
                <w:rFonts w:asciiTheme="minorHAnsi" w:hAnsiTheme="minorHAnsi" w:cstheme="minorHAnsi"/>
                <w:smallCaps/>
                <w:sz w:val="14"/>
              </w:rPr>
            </w:pPr>
          </w:p>
        </w:tc>
        <w:tc>
          <w:tcPr>
            <w:tcW w:w="4950" w:type="dxa"/>
            <w:vAlign w:val="bottom"/>
          </w:tcPr>
          <w:p w14:paraId="0EC17804" w14:textId="77777777" w:rsidR="004B11B5" w:rsidRPr="00FF15A5" w:rsidRDefault="004B11B5">
            <w:pPr>
              <w:tabs>
                <w:tab w:val="center" w:pos="3852"/>
              </w:tabs>
              <w:spacing w:after="40"/>
              <w:jc w:val="center"/>
              <w:rPr>
                <w:rFonts w:asciiTheme="minorHAnsi" w:hAnsiTheme="minorHAnsi" w:cstheme="minorHAnsi"/>
                <w:smallCaps/>
                <w:w w:val="115"/>
                <w:kern w:val="36"/>
                <w:sz w:val="20"/>
              </w:rPr>
            </w:pPr>
            <w:r w:rsidRPr="00FF15A5">
              <w:rPr>
                <w:rFonts w:asciiTheme="minorHAnsi" w:hAnsiTheme="minorHAnsi" w:cstheme="minorHAnsi"/>
                <w:smallCaps/>
                <w:noProof/>
                <w:w w:val="115"/>
                <w:kern w:val="36"/>
                <w:sz w:val="20"/>
              </w:rPr>
              <w:drawing>
                <wp:inline distT="0" distB="0" distL="0" distR="0" wp14:anchorId="1CC18922" wp14:editId="47B6A85B">
                  <wp:extent cx="577850" cy="635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850" cy="635000"/>
                          </a:xfrm>
                          <a:prstGeom prst="rect">
                            <a:avLst/>
                          </a:prstGeom>
                          <a:noFill/>
                          <a:ln>
                            <a:noFill/>
                          </a:ln>
                        </pic:spPr>
                      </pic:pic>
                    </a:graphicData>
                  </a:graphic>
                </wp:inline>
              </w:drawing>
            </w:r>
          </w:p>
          <w:p w14:paraId="2F25E288" w14:textId="77777777" w:rsidR="004B11B5" w:rsidRPr="00FF15A5" w:rsidRDefault="004B11B5">
            <w:pPr>
              <w:tabs>
                <w:tab w:val="center" w:pos="3852"/>
              </w:tabs>
              <w:spacing w:after="40"/>
              <w:jc w:val="center"/>
              <w:rPr>
                <w:rFonts w:asciiTheme="minorHAnsi" w:hAnsiTheme="minorHAnsi" w:cstheme="minorHAnsi"/>
                <w:smallCaps/>
                <w:w w:val="115"/>
                <w:kern w:val="36"/>
                <w:sz w:val="20"/>
              </w:rPr>
            </w:pPr>
            <w:r w:rsidRPr="00FF15A5">
              <w:rPr>
                <w:rFonts w:asciiTheme="minorHAnsi" w:hAnsiTheme="minorHAnsi" w:cstheme="minorHAnsi"/>
                <w:smallCaps/>
                <w:w w:val="115"/>
                <w:kern w:val="36"/>
                <w:sz w:val="20"/>
              </w:rPr>
              <w:t xml:space="preserve">State of </w:t>
            </w:r>
            <w:smartTag w:uri="urn:schemas-microsoft-com:office:smarttags" w:element="place">
              <w:smartTag w:uri="urn:schemas-microsoft-com:office:smarttags" w:element="State">
                <w:r w:rsidRPr="00FF15A5">
                  <w:rPr>
                    <w:rFonts w:asciiTheme="minorHAnsi" w:hAnsiTheme="minorHAnsi" w:cstheme="minorHAnsi"/>
                    <w:smallCaps/>
                    <w:w w:val="115"/>
                    <w:kern w:val="36"/>
                    <w:sz w:val="20"/>
                  </w:rPr>
                  <w:t>Michigan</w:t>
                </w:r>
              </w:smartTag>
            </w:smartTag>
          </w:p>
          <w:p w14:paraId="5B705445" w14:textId="77777777" w:rsidR="004B11B5" w:rsidRPr="00FF15A5" w:rsidRDefault="004B11B5">
            <w:pPr>
              <w:tabs>
                <w:tab w:val="center" w:pos="3852"/>
              </w:tabs>
              <w:spacing w:after="20"/>
              <w:jc w:val="center"/>
              <w:rPr>
                <w:rFonts w:asciiTheme="minorHAnsi" w:hAnsiTheme="minorHAnsi" w:cstheme="minorHAnsi"/>
                <w:caps/>
                <w:w w:val="115"/>
                <w:kern w:val="36"/>
                <w:sz w:val="20"/>
              </w:rPr>
            </w:pPr>
            <w:r w:rsidRPr="00FF15A5">
              <w:rPr>
                <w:rFonts w:asciiTheme="minorHAnsi" w:hAnsiTheme="minorHAnsi" w:cstheme="minorHAnsi"/>
                <w:caps/>
                <w:w w:val="115"/>
                <w:kern w:val="36"/>
                <w:sz w:val="20"/>
              </w:rPr>
              <w:t>department of treasury</w:t>
            </w:r>
          </w:p>
          <w:p w14:paraId="7F5DC53C" w14:textId="77777777" w:rsidR="004B11B5" w:rsidRPr="00FF15A5" w:rsidRDefault="004B11B5">
            <w:pPr>
              <w:tabs>
                <w:tab w:val="center" w:pos="3852"/>
              </w:tabs>
              <w:jc w:val="center"/>
              <w:rPr>
                <w:rFonts w:asciiTheme="minorHAnsi" w:hAnsiTheme="minorHAnsi" w:cstheme="minorHAnsi"/>
                <w:caps/>
                <w:w w:val="115"/>
                <w:kern w:val="36"/>
                <w:sz w:val="20"/>
              </w:rPr>
            </w:pPr>
            <w:r w:rsidRPr="00FF15A5">
              <w:rPr>
                <w:rFonts w:asciiTheme="minorHAnsi" w:hAnsiTheme="minorHAnsi" w:cstheme="minorHAnsi"/>
                <w:smallCaps/>
                <w:w w:val="115"/>
                <w:kern w:val="36"/>
                <w:sz w:val="20"/>
              </w:rPr>
              <w:t>Lansing</w:t>
            </w:r>
          </w:p>
        </w:tc>
        <w:tc>
          <w:tcPr>
            <w:tcW w:w="270" w:type="dxa"/>
            <w:vAlign w:val="bottom"/>
          </w:tcPr>
          <w:p w14:paraId="4B649DC2" w14:textId="77777777" w:rsidR="004B11B5" w:rsidRPr="00FF15A5" w:rsidRDefault="004B11B5">
            <w:pPr>
              <w:rPr>
                <w:rFonts w:asciiTheme="minorHAnsi" w:hAnsiTheme="minorHAnsi" w:cstheme="minorHAnsi"/>
                <w:caps/>
                <w:w w:val="115"/>
                <w:sz w:val="16"/>
              </w:rPr>
            </w:pPr>
          </w:p>
        </w:tc>
        <w:tc>
          <w:tcPr>
            <w:tcW w:w="2970" w:type="dxa"/>
            <w:vAlign w:val="bottom"/>
          </w:tcPr>
          <w:p w14:paraId="6E050B31" w14:textId="77777777" w:rsidR="004B11B5" w:rsidRPr="00FF15A5" w:rsidRDefault="004B11B5">
            <w:pPr>
              <w:spacing w:after="20"/>
              <w:jc w:val="center"/>
              <w:rPr>
                <w:rFonts w:asciiTheme="minorHAnsi" w:hAnsiTheme="minorHAnsi" w:cstheme="minorHAnsi"/>
                <w:caps/>
                <w:w w:val="115"/>
                <w:sz w:val="16"/>
                <w:szCs w:val="16"/>
              </w:rPr>
            </w:pPr>
            <w:r w:rsidRPr="00FF15A5">
              <w:rPr>
                <w:rFonts w:asciiTheme="minorHAnsi" w:hAnsiTheme="minorHAnsi" w:cstheme="minorHAnsi"/>
                <w:caps/>
                <w:w w:val="115"/>
                <w:sz w:val="16"/>
                <w:szCs w:val="16"/>
              </w:rPr>
              <w:t>rachael eubanks</w:t>
            </w:r>
          </w:p>
          <w:p w14:paraId="528B5055" w14:textId="77777777" w:rsidR="004B11B5" w:rsidRPr="00FF15A5" w:rsidRDefault="004B11B5">
            <w:pPr>
              <w:jc w:val="center"/>
              <w:rPr>
                <w:rFonts w:asciiTheme="minorHAnsi" w:hAnsiTheme="minorHAnsi" w:cstheme="minorHAnsi"/>
              </w:rPr>
            </w:pPr>
            <w:r w:rsidRPr="00FF15A5">
              <w:rPr>
                <w:rFonts w:asciiTheme="minorHAnsi" w:hAnsiTheme="minorHAnsi" w:cstheme="minorHAnsi"/>
                <w:smallCaps/>
                <w:w w:val="115"/>
                <w:sz w:val="16"/>
              </w:rPr>
              <w:t>state treasurer</w:t>
            </w:r>
          </w:p>
        </w:tc>
      </w:tr>
    </w:tbl>
    <w:p w14:paraId="58B2F7DC" w14:textId="77777777" w:rsidR="00720F6C" w:rsidRDefault="00720F6C">
      <w:pPr>
        <w:pStyle w:val="BodyText"/>
        <w:rPr>
          <w:rFonts w:ascii="Times New Roman"/>
          <w:sz w:val="20"/>
        </w:rPr>
      </w:pPr>
    </w:p>
    <w:p w14:paraId="64DB851E" w14:textId="77777777" w:rsidR="00720F6C" w:rsidRDefault="00720F6C">
      <w:pPr>
        <w:pStyle w:val="BodyText"/>
        <w:spacing w:before="10"/>
        <w:rPr>
          <w:rFonts w:ascii="Times New Roman"/>
          <w:sz w:val="16"/>
        </w:rPr>
      </w:pPr>
    </w:p>
    <w:p w14:paraId="548EB3B4" w14:textId="06B6F6A7" w:rsidR="00720F6C" w:rsidRPr="00F968A6" w:rsidRDefault="005B11D4" w:rsidP="005B11D4">
      <w:pPr>
        <w:spacing w:before="92"/>
        <w:ind w:left="1620" w:right="1550"/>
        <w:jc w:val="center"/>
        <w:rPr>
          <w:rFonts w:asciiTheme="minorHAnsi" w:hAnsiTheme="minorHAnsi" w:cstheme="minorHAnsi"/>
          <w:b/>
          <w:sz w:val="28"/>
        </w:rPr>
      </w:pPr>
      <w:bookmarkStart w:id="0" w:name="NUMBERED_LETTER_2018-3_(REVISED)"/>
      <w:bookmarkEnd w:id="0"/>
      <w:r>
        <w:rPr>
          <w:rFonts w:asciiTheme="minorHAnsi" w:hAnsiTheme="minorHAnsi" w:cstheme="minorHAnsi"/>
          <w:b/>
          <w:color w:val="FF0000"/>
          <w:sz w:val="28"/>
        </w:rPr>
        <w:t>DRAFT</w:t>
      </w:r>
      <w:r w:rsidR="00BA6E86">
        <w:rPr>
          <w:rFonts w:asciiTheme="minorHAnsi" w:hAnsiTheme="minorHAnsi" w:cstheme="minorHAnsi"/>
          <w:b/>
          <w:sz w:val="28"/>
        </w:rPr>
        <w:t xml:space="preserve"> </w:t>
      </w:r>
      <w:r w:rsidR="00764A1E" w:rsidRPr="00F968A6">
        <w:rPr>
          <w:rFonts w:asciiTheme="minorHAnsi" w:hAnsiTheme="minorHAnsi" w:cstheme="minorHAnsi"/>
          <w:b/>
          <w:sz w:val="28"/>
        </w:rPr>
        <w:t>NUMBERED LETTER</w:t>
      </w:r>
      <w:r w:rsidR="00764A1E" w:rsidRPr="00945CE3">
        <w:rPr>
          <w:rFonts w:asciiTheme="minorHAnsi" w:hAnsiTheme="minorHAnsi" w:cstheme="minorHAnsi"/>
          <w:b/>
          <w:sz w:val="28"/>
        </w:rPr>
        <w:t xml:space="preserve"> 20</w:t>
      </w:r>
      <w:r w:rsidR="007C4DD5" w:rsidRPr="00945CE3">
        <w:rPr>
          <w:rFonts w:asciiTheme="minorHAnsi" w:hAnsiTheme="minorHAnsi" w:cstheme="minorHAnsi"/>
          <w:b/>
          <w:sz w:val="28"/>
        </w:rPr>
        <w:t>2</w:t>
      </w:r>
      <w:r w:rsidR="00945CE3" w:rsidRPr="00945CE3">
        <w:rPr>
          <w:rFonts w:asciiTheme="minorHAnsi" w:hAnsiTheme="minorHAnsi" w:cstheme="minorHAnsi"/>
          <w:b/>
          <w:sz w:val="28"/>
        </w:rPr>
        <w:t>5-2</w:t>
      </w:r>
    </w:p>
    <w:p w14:paraId="0190D823" w14:textId="77777777" w:rsidR="00720F6C" w:rsidRDefault="00720F6C">
      <w:pPr>
        <w:pStyle w:val="BodyText"/>
        <w:spacing w:before="3"/>
        <w:rPr>
          <w:b/>
          <w:sz w:val="29"/>
        </w:rPr>
      </w:pPr>
    </w:p>
    <w:p w14:paraId="1AE8485D" w14:textId="608928F4" w:rsidR="004B11B5" w:rsidRPr="00457356" w:rsidRDefault="00764A1E" w:rsidP="00F968A6">
      <w:pPr>
        <w:pStyle w:val="BodyText"/>
        <w:tabs>
          <w:tab w:val="left" w:pos="2235"/>
        </w:tabs>
        <w:ind w:left="2260" w:right="830" w:hanging="1540"/>
        <w:rPr>
          <w:rFonts w:asciiTheme="minorHAnsi" w:hAnsiTheme="minorHAnsi" w:cstheme="minorHAnsi"/>
        </w:rPr>
      </w:pPr>
      <w:r w:rsidRPr="00457356">
        <w:rPr>
          <w:rFonts w:asciiTheme="minorHAnsi" w:hAnsiTheme="minorHAnsi" w:cstheme="minorHAnsi"/>
          <w:b/>
        </w:rPr>
        <w:t>Issued</w:t>
      </w:r>
      <w:r w:rsidRPr="00457356">
        <w:rPr>
          <w:rFonts w:asciiTheme="minorHAnsi" w:hAnsiTheme="minorHAnsi" w:cstheme="minorHAnsi"/>
          <w:b/>
          <w:spacing w:val="-2"/>
        </w:rPr>
        <w:t xml:space="preserve"> </w:t>
      </w:r>
      <w:r w:rsidRPr="00457356">
        <w:rPr>
          <w:rFonts w:asciiTheme="minorHAnsi" w:hAnsiTheme="minorHAnsi" w:cstheme="minorHAnsi"/>
          <w:b/>
        </w:rPr>
        <w:t>By:</w:t>
      </w:r>
      <w:r w:rsidRPr="00457356">
        <w:rPr>
          <w:rFonts w:asciiTheme="minorHAnsi" w:hAnsiTheme="minorHAnsi" w:cstheme="minorHAnsi"/>
          <w:b/>
        </w:rPr>
        <w:tab/>
      </w:r>
      <w:r w:rsidR="005C3B3C" w:rsidRPr="00457356">
        <w:rPr>
          <w:rFonts w:asciiTheme="minorHAnsi" w:hAnsiTheme="minorHAnsi" w:cstheme="minorHAnsi"/>
          <w:b/>
        </w:rPr>
        <w:tab/>
      </w:r>
      <w:r w:rsidR="005C3B3C" w:rsidRPr="00457356">
        <w:rPr>
          <w:rFonts w:asciiTheme="minorHAnsi" w:hAnsiTheme="minorHAnsi" w:cstheme="minorHAnsi"/>
          <w:b/>
        </w:rPr>
        <w:tab/>
      </w:r>
      <w:r w:rsidR="004B17AB">
        <w:rPr>
          <w:rFonts w:asciiTheme="minorHAnsi" w:hAnsiTheme="minorHAnsi" w:cstheme="minorHAnsi"/>
        </w:rPr>
        <w:t>Local Audit</w:t>
      </w:r>
      <w:r w:rsidRPr="00457356">
        <w:rPr>
          <w:rFonts w:asciiTheme="minorHAnsi" w:hAnsiTheme="minorHAnsi" w:cstheme="minorHAnsi"/>
        </w:rPr>
        <w:t xml:space="preserve"> and Finance Division</w:t>
      </w:r>
      <w:r w:rsidR="004B11B5" w:rsidRPr="00457356">
        <w:rPr>
          <w:rFonts w:asciiTheme="minorHAnsi" w:hAnsiTheme="minorHAnsi" w:cstheme="minorHAnsi"/>
        </w:rPr>
        <w:t xml:space="preserve"> </w:t>
      </w:r>
    </w:p>
    <w:p w14:paraId="2CC05EBA" w14:textId="10F6EAF9" w:rsidR="00720F6C" w:rsidRPr="00457356" w:rsidRDefault="004B11B5" w:rsidP="005C3B3C">
      <w:pPr>
        <w:pStyle w:val="BodyText"/>
        <w:tabs>
          <w:tab w:val="left" w:pos="2235"/>
        </w:tabs>
        <w:ind w:left="2260" w:right="200" w:hanging="1440"/>
        <w:rPr>
          <w:rFonts w:asciiTheme="minorHAnsi" w:hAnsiTheme="minorHAnsi" w:cstheme="minorHAnsi"/>
        </w:rPr>
      </w:pPr>
      <w:r w:rsidRPr="00457356">
        <w:rPr>
          <w:rFonts w:asciiTheme="minorHAnsi" w:hAnsiTheme="minorHAnsi" w:cstheme="minorHAnsi"/>
        </w:rPr>
        <w:tab/>
      </w:r>
      <w:r w:rsidR="005C3B3C" w:rsidRPr="00457356">
        <w:rPr>
          <w:rFonts w:asciiTheme="minorHAnsi" w:hAnsiTheme="minorHAnsi" w:cstheme="minorHAnsi"/>
        </w:rPr>
        <w:tab/>
      </w:r>
      <w:r w:rsidR="005C3B3C" w:rsidRPr="00457356">
        <w:rPr>
          <w:rFonts w:asciiTheme="minorHAnsi" w:hAnsiTheme="minorHAnsi" w:cstheme="minorHAnsi"/>
        </w:rPr>
        <w:tab/>
      </w:r>
      <w:r w:rsidR="00764A1E" w:rsidRPr="00457356">
        <w:rPr>
          <w:rFonts w:asciiTheme="minorHAnsi" w:hAnsiTheme="minorHAnsi" w:cstheme="minorHAnsi"/>
        </w:rPr>
        <w:t>Bureau of Local Government and School</w:t>
      </w:r>
      <w:r w:rsidR="005C3B3C" w:rsidRPr="00457356">
        <w:rPr>
          <w:rFonts w:asciiTheme="minorHAnsi" w:hAnsiTheme="minorHAnsi" w:cstheme="minorHAnsi"/>
          <w:spacing w:val="-20"/>
        </w:rPr>
        <w:t xml:space="preserve"> </w:t>
      </w:r>
      <w:r w:rsidR="00764A1E" w:rsidRPr="00457356">
        <w:rPr>
          <w:rFonts w:asciiTheme="minorHAnsi" w:hAnsiTheme="minorHAnsi" w:cstheme="minorHAnsi"/>
        </w:rPr>
        <w:t>Services</w:t>
      </w:r>
    </w:p>
    <w:p w14:paraId="6AFEDF42" w14:textId="77777777" w:rsidR="00720F6C" w:rsidRPr="00A00517" w:rsidRDefault="00720F6C">
      <w:pPr>
        <w:pStyle w:val="BodyText"/>
        <w:rPr>
          <w:rFonts w:asciiTheme="minorHAnsi" w:hAnsiTheme="minorHAnsi" w:cstheme="minorHAnsi"/>
          <w:sz w:val="20"/>
          <w:szCs w:val="20"/>
        </w:rPr>
      </w:pPr>
    </w:p>
    <w:p w14:paraId="4EC7DC93" w14:textId="45DFE944" w:rsidR="00720F6C" w:rsidRPr="005E08B3" w:rsidRDefault="00764A1E" w:rsidP="00F968A6">
      <w:pPr>
        <w:pStyle w:val="Heading1"/>
        <w:ind w:left="720"/>
        <w:rPr>
          <w:rFonts w:asciiTheme="minorHAnsi" w:hAnsiTheme="minorHAnsi" w:cstheme="minorHAnsi"/>
          <w:color w:val="FF0000"/>
        </w:rPr>
      </w:pPr>
      <w:r w:rsidRPr="00457356">
        <w:rPr>
          <w:rFonts w:asciiTheme="minorHAnsi" w:hAnsiTheme="minorHAnsi" w:cstheme="minorHAnsi"/>
        </w:rPr>
        <w:t xml:space="preserve">Effective Date: </w:t>
      </w:r>
      <w:r w:rsidR="00F968A6" w:rsidRPr="00457356">
        <w:rPr>
          <w:rFonts w:asciiTheme="minorHAnsi" w:hAnsiTheme="minorHAnsi" w:cstheme="minorHAnsi"/>
        </w:rPr>
        <w:tab/>
      </w:r>
      <w:r w:rsidR="005E08B3" w:rsidRPr="005E08B3">
        <w:rPr>
          <w:rFonts w:asciiTheme="minorHAnsi" w:hAnsiTheme="minorHAnsi" w:cstheme="minorHAnsi"/>
          <w:b w:val="0"/>
          <w:bCs w:val="0"/>
          <w:color w:val="FF0000"/>
        </w:rPr>
        <w:t xml:space="preserve">MONTH </w:t>
      </w:r>
      <w:r w:rsidR="00A06EA6">
        <w:rPr>
          <w:rFonts w:asciiTheme="minorHAnsi" w:hAnsiTheme="minorHAnsi" w:cstheme="minorHAnsi"/>
          <w:b w:val="0"/>
          <w:bCs w:val="0"/>
          <w:color w:val="FF0000"/>
        </w:rPr>
        <w:t>DAY</w:t>
      </w:r>
      <w:r w:rsidR="00B450DE" w:rsidRPr="005E08B3">
        <w:rPr>
          <w:rFonts w:asciiTheme="minorHAnsi" w:hAnsiTheme="minorHAnsi" w:cstheme="minorHAnsi"/>
          <w:b w:val="0"/>
          <w:bCs w:val="0"/>
          <w:color w:val="FF0000"/>
        </w:rPr>
        <w:t>,</w:t>
      </w:r>
      <w:r w:rsidR="00153EDF" w:rsidRPr="005E08B3">
        <w:rPr>
          <w:rFonts w:asciiTheme="minorHAnsi" w:hAnsiTheme="minorHAnsi" w:cstheme="minorHAnsi"/>
          <w:b w:val="0"/>
          <w:bCs w:val="0"/>
          <w:color w:val="FF0000"/>
        </w:rPr>
        <w:t xml:space="preserve"> </w:t>
      </w:r>
      <w:r w:rsidR="008811CE" w:rsidRPr="005E08B3">
        <w:rPr>
          <w:rFonts w:asciiTheme="minorHAnsi" w:hAnsiTheme="minorHAnsi" w:cstheme="minorHAnsi"/>
          <w:b w:val="0"/>
          <w:bCs w:val="0"/>
          <w:color w:val="FF0000"/>
        </w:rPr>
        <w:t>202</w:t>
      </w:r>
      <w:r w:rsidR="00945CE3">
        <w:rPr>
          <w:rFonts w:asciiTheme="minorHAnsi" w:hAnsiTheme="minorHAnsi" w:cstheme="minorHAnsi"/>
          <w:b w:val="0"/>
          <w:bCs w:val="0"/>
          <w:color w:val="FF0000"/>
        </w:rPr>
        <w:t>5</w:t>
      </w:r>
    </w:p>
    <w:p w14:paraId="6465E3B8" w14:textId="77777777" w:rsidR="00720F6C" w:rsidRPr="00A00517" w:rsidRDefault="00720F6C">
      <w:pPr>
        <w:pStyle w:val="BodyText"/>
        <w:rPr>
          <w:rFonts w:asciiTheme="minorHAnsi" w:hAnsiTheme="minorHAnsi" w:cstheme="minorHAnsi"/>
          <w:b/>
          <w:sz w:val="20"/>
          <w:szCs w:val="20"/>
        </w:rPr>
      </w:pPr>
    </w:p>
    <w:p w14:paraId="33DDEE66" w14:textId="2B33B8BD" w:rsidR="00720F6C" w:rsidRPr="00457356" w:rsidRDefault="00764A1E" w:rsidP="005E08B3">
      <w:pPr>
        <w:pStyle w:val="BodyText"/>
        <w:tabs>
          <w:tab w:val="left" w:pos="2259"/>
        </w:tabs>
        <w:ind w:left="2880" w:right="1664" w:hanging="2160"/>
        <w:rPr>
          <w:rFonts w:asciiTheme="minorHAnsi" w:hAnsiTheme="minorHAnsi" w:cstheme="minorHAnsi"/>
        </w:rPr>
      </w:pPr>
      <w:r w:rsidRPr="00945CE3">
        <w:rPr>
          <w:rFonts w:asciiTheme="minorHAnsi" w:hAnsiTheme="minorHAnsi" w:cstheme="minorHAnsi"/>
          <w:b/>
          <w:bCs/>
        </w:rPr>
        <w:t>20</w:t>
      </w:r>
      <w:r w:rsidR="004B11B5" w:rsidRPr="00945CE3">
        <w:rPr>
          <w:rFonts w:asciiTheme="minorHAnsi" w:hAnsiTheme="minorHAnsi" w:cstheme="minorHAnsi"/>
          <w:b/>
          <w:bCs/>
        </w:rPr>
        <w:t>2</w:t>
      </w:r>
      <w:r w:rsidR="00945CE3" w:rsidRPr="00945CE3">
        <w:rPr>
          <w:rFonts w:asciiTheme="minorHAnsi" w:hAnsiTheme="minorHAnsi" w:cstheme="minorHAnsi"/>
          <w:b/>
          <w:bCs/>
        </w:rPr>
        <w:t>5-2</w:t>
      </w:r>
      <w:r w:rsidR="00F968A6" w:rsidRPr="00457356">
        <w:rPr>
          <w:rFonts w:asciiTheme="minorHAnsi" w:hAnsiTheme="minorHAnsi" w:cstheme="minorHAnsi"/>
        </w:rPr>
        <w:tab/>
      </w:r>
      <w:r w:rsidR="00F968A6" w:rsidRPr="00457356">
        <w:rPr>
          <w:rFonts w:asciiTheme="minorHAnsi" w:hAnsiTheme="minorHAnsi" w:cstheme="minorHAnsi"/>
        </w:rPr>
        <w:tab/>
      </w:r>
      <w:r w:rsidR="005E08B3">
        <w:rPr>
          <w:rFonts w:asciiTheme="minorHAnsi" w:hAnsiTheme="minorHAnsi" w:cstheme="minorHAnsi"/>
        </w:rPr>
        <w:t>Prior Approval Applications</w:t>
      </w:r>
      <w:r w:rsidR="00A74BDD" w:rsidRPr="00457356">
        <w:rPr>
          <w:rFonts w:asciiTheme="minorHAnsi" w:hAnsiTheme="minorHAnsi" w:cstheme="minorHAnsi"/>
        </w:rPr>
        <w:t xml:space="preserve"> (</w:t>
      </w:r>
      <w:r w:rsidR="00224032">
        <w:rPr>
          <w:rFonts w:asciiTheme="minorHAnsi" w:hAnsiTheme="minorHAnsi" w:cstheme="minorHAnsi"/>
        </w:rPr>
        <w:t>Incorporates elements of Bulletin 1 and r</w:t>
      </w:r>
      <w:r w:rsidR="00A74BDD" w:rsidRPr="00457356">
        <w:rPr>
          <w:rFonts w:asciiTheme="minorHAnsi" w:hAnsiTheme="minorHAnsi" w:cstheme="minorHAnsi"/>
        </w:rPr>
        <w:t xml:space="preserve">eplaces </w:t>
      </w:r>
      <w:r w:rsidR="00A74BDD" w:rsidRPr="00F91B63">
        <w:rPr>
          <w:rFonts w:asciiTheme="minorHAnsi" w:hAnsiTheme="minorHAnsi" w:cstheme="minorHAnsi"/>
        </w:rPr>
        <w:t>Bulletins</w:t>
      </w:r>
      <w:r w:rsidR="005E08B3" w:rsidRPr="00F91B63">
        <w:rPr>
          <w:rFonts w:asciiTheme="minorHAnsi" w:hAnsiTheme="minorHAnsi" w:cstheme="minorHAnsi"/>
        </w:rPr>
        <w:t xml:space="preserve"> </w:t>
      </w:r>
      <w:r w:rsidR="00856E04" w:rsidRPr="00F91B63">
        <w:rPr>
          <w:rFonts w:asciiTheme="minorHAnsi" w:hAnsiTheme="minorHAnsi" w:cstheme="minorHAnsi"/>
        </w:rPr>
        <w:t>5,</w:t>
      </w:r>
      <w:r w:rsidR="00856E04">
        <w:rPr>
          <w:rFonts w:asciiTheme="minorHAnsi" w:hAnsiTheme="minorHAnsi" w:cstheme="minorHAnsi"/>
        </w:rPr>
        <w:t xml:space="preserve"> </w:t>
      </w:r>
      <w:r w:rsidR="005E08B3">
        <w:rPr>
          <w:rFonts w:asciiTheme="minorHAnsi" w:hAnsiTheme="minorHAnsi" w:cstheme="minorHAnsi"/>
        </w:rPr>
        <w:t>8, 9, and 10 and Numbered Letter 2020</w:t>
      </w:r>
      <w:r w:rsidR="00224032">
        <w:rPr>
          <w:rFonts w:asciiTheme="minorHAnsi" w:hAnsiTheme="minorHAnsi" w:cstheme="minorHAnsi"/>
        </w:rPr>
        <w:t>-</w:t>
      </w:r>
      <w:r w:rsidR="005E08B3">
        <w:rPr>
          <w:rFonts w:asciiTheme="minorHAnsi" w:hAnsiTheme="minorHAnsi" w:cstheme="minorHAnsi"/>
        </w:rPr>
        <w:t>2</w:t>
      </w:r>
      <w:r w:rsidR="00A74BDD" w:rsidRPr="00457356">
        <w:rPr>
          <w:rFonts w:asciiTheme="minorHAnsi" w:hAnsiTheme="minorHAnsi" w:cstheme="minorHAnsi"/>
        </w:rPr>
        <w:t>)</w:t>
      </w:r>
    </w:p>
    <w:p w14:paraId="640F8FC0" w14:textId="77777777" w:rsidR="00720F6C" w:rsidRPr="00A00517" w:rsidRDefault="00720F6C">
      <w:pPr>
        <w:pStyle w:val="BodyText"/>
        <w:rPr>
          <w:rFonts w:asciiTheme="minorHAnsi" w:hAnsiTheme="minorHAnsi" w:cstheme="minorHAnsi"/>
          <w:sz w:val="20"/>
          <w:szCs w:val="20"/>
        </w:rPr>
      </w:pPr>
    </w:p>
    <w:p w14:paraId="4986E151" w14:textId="388AC18A" w:rsidR="00122323" w:rsidRPr="005B11D4" w:rsidRDefault="00122323" w:rsidP="002608DD">
      <w:pPr>
        <w:pStyle w:val="BodyText"/>
        <w:pBdr>
          <w:bottom w:val="single" w:sz="6" w:space="1" w:color="auto"/>
        </w:pBdr>
        <w:ind w:left="720" w:right="836"/>
        <w:rPr>
          <w:rFonts w:asciiTheme="minorHAnsi" w:hAnsiTheme="minorHAnsi" w:cstheme="minorHAnsi"/>
        </w:rPr>
      </w:pPr>
      <w:r w:rsidRPr="005B11D4">
        <w:rPr>
          <w:rFonts w:asciiTheme="minorHAnsi" w:hAnsiTheme="minorHAnsi" w:cstheme="minorHAnsi"/>
          <w:b/>
          <w:bCs/>
        </w:rPr>
        <w:t>Intended Audience:</w:t>
      </w:r>
      <w:r w:rsidRPr="005B11D4">
        <w:rPr>
          <w:rFonts w:asciiTheme="minorHAnsi" w:hAnsiTheme="minorHAnsi" w:cstheme="minorHAnsi"/>
        </w:rPr>
        <w:t xml:space="preserve"> </w:t>
      </w:r>
      <w:r w:rsidR="00D33AFA" w:rsidRPr="005B11D4">
        <w:rPr>
          <w:rFonts w:asciiTheme="minorHAnsi" w:hAnsiTheme="minorHAnsi" w:cstheme="minorHAnsi"/>
        </w:rPr>
        <w:t>Chief Administrative Officers, Finance Directors, Bond Counsel,</w:t>
      </w:r>
      <w:r w:rsidR="00945CE3" w:rsidRPr="005B11D4">
        <w:rPr>
          <w:rFonts w:asciiTheme="minorHAnsi" w:hAnsiTheme="minorHAnsi" w:cstheme="minorHAnsi"/>
        </w:rPr>
        <w:t xml:space="preserve"> Municipal</w:t>
      </w:r>
      <w:r w:rsidR="00D33AFA" w:rsidRPr="005B11D4">
        <w:rPr>
          <w:rFonts w:asciiTheme="minorHAnsi" w:hAnsiTheme="minorHAnsi" w:cstheme="minorHAnsi"/>
        </w:rPr>
        <w:t xml:space="preserve"> Advisors, Certified Public Accountants, Municipal Organizations, State Agencies, and Interested Parties</w:t>
      </w:r>
      <w:r w:rsidR="00153EDF" w:rsidRPr="005B11D4">
        <w:rPr>
          <w:rFonts w:asciiTheme="minorHAnsi" w:hAnsiTheme="minorHAnsi" w:cstheme="minorHAnsi"/>
        </w:rPr>
        <w:t xml:space="preserve">. </w:t>
      </w:r>
    </w:p>
    <w:p w14:paraId="54E0AD8C" w14:textId="4A6EC7D9" w:rsidR="00D33AFA" w:rsidRPr="00A00517" w:rsidRDefault="00D33AFA" w:rsidP="002608DD">
      <w:pPr>
        <w:pStyle w:val="BodyText"/>
        <w:pBdr>
          <w:bottom w:val="single" w:sz="6" w:space="1" w:color="auto"/>
        </w:pBdr>
        <w:ind w:left="720" w:right="836"/>
        <w:rPr>
          <w:rFonts w:asciiTheme="minorHAnsi" w:hAnsiTheme="minorHAnsi" w:cstheme="minorHAnsi"/>
          <w:sz w:val="20"/>
          <w:szCs w:val="20"/>
          <w:shd w:val="clear" w:color="auto" w:fill="FFFFFF"/>
        </w:rPr>
      </w:pPr>
    </w:p>
    <w:p w14:paraId="16F5B091" w14:textId="219198B6" w:rsidR="00D33AFA" w:rsidRPr="005B11D4" w:rsidRDefault="00D33AFA" w:rsidP="002608DD">
      <w:pPr>
        <w:pStyle w:val="BodyText"/>
        <w:pBdr>
          <w:bottom w:val="single" w:sz="6" w:space="1" w:color="auto"/>
        </w:pBdr>
        <w:ind w:left="720" w:right="836"/>
        <w:rPr>
          <w:rFonts w:asciiTheme="minorHAnsi" w:hAnsiTheme="minorHAnsi" w:cstheme="minorHAnsi"/>
          <w:shd w:val="clear" w:color="auto" w:fill="FFFFFF"/>
        </w:rPr>
      </w:pPr>
      <w:r w:rsidRPr="005B11D4">
        <w:rPr>
          <w:rFonts w:asciiTheme="minorHAnsi" w:hAnsiTheme="minorHAnsi" w:cstheme="minorHAnsi"/>
          <w:b/>
          <w:bCs/>
          <w:shd w:val="clear" w:color="auto" w:fill="FFFFFF"/>
        </w:rPr>
        <w:t>Municipalities Impacted:</w:t>
      </w:r>
      <w:r w:rsidR="006E367F">
        <w:rPr>
          <w:rFonts w:asciiTheme="minorHAnsi" w:hAnsiTheme="minorHAnsi" w:cstheme="minorHAnsi"/>
          <w:shd w:val="clear" w:color="auto" w:fill="FFFFFF"/>
        </w:rPr>
        <w:t xml:space="preserve"> </w:t>
      </w:r>
      <w:r w:rsidRPr="005B11D4">
        <w:rPr>
          <w:rFonts w:asciiTheme="minorHAnsi" w:hAnsiTheme="minorHAnsi" w:cstheme="minorHAnsi"/>
          <w:shd w:val="clear" w:color="auto" w:fill="FFFFFF"/>
        </w:rPr>
        <w:t xml:space="preserve">Counties, </w:t>
      </w:r>
      <w:r w:rsidR="00B325DE" w:rsidRPr="005B11D4">
        <w:rPr>
          <w:rFonts w:asciiTheme="minorHAnsi" w:hAnsiTheme="minorHAnsi" w:cstheme="minorHAnsi"/>
          <w:shd w:val="clear" w:color="auto" w:fill="FFFFFF"/>
        </w:rPr>
        <w:t xml:space="preserve">Road Commissions, </w:t>
      </w:r>
      <w:r w:rsidRPr="005B11D4">
        <w:rPr>
          <w:rFonts w:asciiTheme="minorHAnsi" w:hAnsiTheme="minorHAnsi" w:cstheme="minorHAnsi"/>
          <w:shd w:val="clear" w:color="auto" w:fill="FFFFFF"/>
        </w:rPr>
        <w:t>Townships, Cities, Villages, School Districts, Public School Academies, Intermediate School Districts, Community Colleges, Drain Districts, Authorities, Libraries, Hospital</w:t>
      </w:r>
      <w:r w:rsidR="00B325DE" w:rsidRPr="005B11D4">
        <w:rPr>
          <w:rFonts w:asciiTheme="minorHAnsi" w:hAnsiTheme="minorHAnsi" w:cstheme="minorHAnsi"/>
          <w:shd w:val="clear" w:color="auto" w:fill="FFFFFF"/>
        </w:rPr>
        <w:t xml:space="preserve"> Finance Authorities</w:t>
      </w:r>
    </w:p>
    <w:p w14:paraId="60A9378C" w14:textId="77777777" w:rsidR="008C12F0" w:rsidRPr="00A00517" w:rsidRDefault="008C12F0" w:rsidP="002608DD">
      <w:pPr>
        <w:pStyle w:val="BodyText"/>
        <w:pBdr>
          <w:bottom w:val="single" w:sz="6" w:space="1" w:color="auto"/>
        </w:pBdr>
        <w:ind w:left="720" w:right="836"/>
        <w:rPr>
          <w:rFonts w:asciiTheme="minorHAnsi" w:hAnsiTheme="minorHAnsi" w:cstheme="minorHAnsi"/>
          <w:sz w:val="20"/>
          <w:szCs w:val="20"/>
          <w:shd w:val="clear" w:color="auto" w:fill="FFFFFF"/>
        </w:rPr>
      </w:pPr>
    </w:p>
    <w:p w14:paraId="70D2BECD" w14:textId="77777777" w:rsidR="008C12F0" w:rsidRPr="00A00517" w:rsidRDefault="008C12F0" w:rsidP="002608DD">
      <w:pPr>
        <w:pStyle w:val="BodyText"/>
        <w:ind w:left="720" w:right="836"/>
        <w:rPr>
          <w:rFonts w:asciiTheme="minorHAnsi" w:hAnsiTheme="minorHAnsi" w:cstheme="minorHAnsi"/>
          <w:sz w:val="20"/>
          <w:szCs w:val="20"/>
          <w:shd w:val="clear" w:color="auto" w:fill="FFFFFF"/>
        </w:rPr>
      </w:pPr>
    </w:p>
    <w:p w14:paraId="01AA7AF1" w14:textId="1888EB2C" w:rsidR="00122323" w:rsidRPr="005B11D4" w:rsidRDefault="008C12F0" w:rsidP="002608DD">
      <w:pPr>
        <w:pStyle w:val="BodyText"/>
        <w:ind w:left="720" w:right="836" w:firstLine="10"/>
        <w:rPr>
          <w:rFonts w:asciiTheme="minorHAnsi" w:hAnsiTheme="minorHAnsi" w:cstheme="minorHAnsi"/>
        </w:rPr>
      </w:pPr>
      <w:r w:rsidRPr="005B11D4">
        <w:rPr>
          <w:rFonts w:asciiTheme="minorHAnsi" w:hAnsiTheme="minorHAnsi" w:cstheme="minorHAnsi"/>
          <w:b/>
          <w:bCs/>
        </w:rPr>
        <w:t>Summary:</w:t>
      </w:r>
      <w:r w:rsidRPr="005B11D4">
        <w:rPr>
          <w:rFonts w:asciiTheme="minorHAnsi" w:hAnsiTheme="minorHAnsi" w:cstheme="minorHAnsi"/>
        </w:rPr>
        <w:t xml:space="preserve"> </w:t>
      </w:r>
      <w:r w:rsidR="00A74BDD" w:rsidRPr="005B11D4">
        <w:rPr>
          <w:rFonts w:asciiTheme="minorHAnsi" w:hAnsiTheme="minorHAnsi" w:cstheme="minorHAnsi"/>
        </w:rPr>
        <w:t>Numbered Letter 202</w:t>
      </w:r>
      <w:r w:rsidR="00945CE3" w:rsidRPr="005B11D4">
        <w:rPr>
          <w:rFonts w:asciiTheme="minorHAnsi" w:hAnsiTheme="minorHAnsi" w:cstheme="minorHAnsi"/>
        </w:rPr>
        <w:t xml:space="preserve">5-2 </w:t>
      </w:r>
      <w:r w:rsidR="001E75B4" w:rsidRPr="005B11D4">
        <w:rPr>
          <w:rFonts w:asciiTheme="minorHAnsi" w:hAnsiTheme="minorHAnsi" w:cstheme="minorHAnsi"/>
        </w:rPr>
        <w:t xml:space="preserve">creates a single source of information </w:t>
      </w:r>
      <w:r w:rsidR="00224032" w:rsidRPr="005B11D4">
        <w:rPr>
          <w:rFonts w:asciiTheme="minorHAnsi" w:hAnsiTheme="minorHAnsi" w:cstheme="minorHAnsi"/>
        </w:rPr>
        <w:t xml:space="preserve">by incorporating elements of Bulletin 1 and </w:t>
      </w:r>
      <w:r w:rsidR="008A7191" w:rsidRPr="005B11D4">
        <w:rPr>
          <w:rFonts w:asciiTheme="minorHAnsi" w:hAnsiTheme="minorHAnsi" w:cstheme="minorHAnsi"/>
        </w:rPr>
        <w:t>replac</w:t>
      </w:r>
      <w:r w:rsidR="001E75B4" w:rsidRPr="005B11D4">
        <w:rPr>
          <w:rFonts w:asciiTheme="minorHAnsi" w:hAnsiTheme="minorHAnsi" w:cstheme="minorHAnsi"/>
        </w:rPr>
        <w:t>ing</w:t>
      </w:r>
      <w:r w:rsidR="008A7191" w:rsidRPr="005B11D4">
        <w:rPr>
          <w:rFonts w:asciiTheme="minorHAnsi" w:hAnsiTheme="minorHAnsi" w:cstheme="minorHAnsi"/>
        </w:rPr>
        <w:t xml:space="preserve"> Bulletin</w:t>
      </w:r>
      <w:r w:rsidR="007645D2" w:rsidRPr="005B11D4">
        <w:rPr>
          <w:rFonts w:asciiTheme="minorHAnsi" w:hAnsiTheme="minorHAnsi" w:cstheme="minorHAnsi"/>
        </w:rPr>
        <w:t xml:space="preserve"> </w:t>
      </w:r>
      <w:r w:rsidR="00856E04" w:rsidRPr="005B11D4">
        <w:rPr>
          <w:rFonts w:asciiTheme="minorHAnsi" w:hAnsiTheme="minorHAnsi" w:cstheme="minorHAnsi"/>
        </w:rPr>
        <w:t>5 (last revised 2009)</w:t>
      </w:r>
      <w:r w:rsidR="00A65A35" w:rsidRPr="005B11D4">
        <w:rPr>
          <w:rFonts w:asciiTheme="minorHAnsi" w:hAnsiTheme="minorHAnsi" w:cstheme="minorHAnsi"/>
        </w:rPr>
        <w:t xml:space="preserve">, </w:t>
      </w:r>
      <w:r w:rsidR="00856E04" w:rsidRPr="005B11D4">
        <w:rPr>
          <w:rFonts w:asciiTheme="minorHAnsi" w:hAnsiTheme="minorHAnsi" w:cstheme="minorHAnsi"/>
        </w:rPr>
        <w:t xml:space="preserve">Bulletins </w:t>
      </w:r>
      <w:r w:rsidR="007645D2" w:rsidRPr="005B11D4">
        <w:rPr>
          <w:rFonts w:asciiTheme="minorHAnsi" w:hAnsiTheme="minorHAnsi" w:cstheme="minorHAnsi"/>
        </w:rPr>
        <w:t xml:space="preserve">8, 9, and 10 </w:t>
      </w:r>
      <w:r w:rsidR="005E08B3" w:rsidRPr="005B11D4">
        <w:rPr>
          <w:rFonts w:asciiTheme="minorHAnsi" w:hAnsiTheme="minorHAnsi" w:cstheme="minorHAnsi"/>
        </w:rPr>
        <w:t>(last revised 2018)</w:t>
      </w:r>
      <w:r w:rsidR="00A65A35" w:rsidRPr="005B11D4">
        <w:rPr>
          <w:rFonts w:asciiTheme="minorHAnsi" w:hAnsiTheme="minorHAnsi" w:cstheme="minorHAnsi"/>
        </w:rPr>
        <w:t>,</w:t>
      </w:r>
      <w:r w:rsidR="005E08B3" w:rsidRPr="005B11D4">
        <w:rPr>
          <w:rFonts w:asciiTheme="minorHAnsi" w:hAnsiTheme="minorHAnsi" w:cstheme="minorHAnsi"/>
        </w:rPr>
        <w:t xml:space="preserve"> and Numbered Letter 2020-2 (last revised 2021). </w:t>
      </w:r>
      <w:r w:rsidR="003A5EB4" w:rsidRPr="005B11D4">
        <w:rPr>
          <w:rFonts w:asciiTheme="minorHAnsi" w:hAnsiTheme="minorHAnsi" w:cstheme="minorHAnsi"/>
        </w:rPr>
        <w:t>Our goals with this revision include</w:t>
      </w:r>
      <w:r w:rsidR="00884188" w:rsidRPr="005B11D4">
        <w:rPr>
          <w:rFonts w:asciiTheme="minorHAnsi" w:hAnsiTheme="minorHAnsi" w:cstheme="minorHAnsi"/>
        </w:rPr>
        <w:t xml:space="preserve"> improving the overall user experience</w:t>
      </w:r>
      <w:r w:rsidR="00F91B63" w:rsidRPr="005B11D4">
        <w:rPr>
          <w:rFonts w:asciiTheme="minorHAnsi" w:hAnsiTheme="minorHAnsi" w:cstheme="minorHAnsi"/>
        </w:rPr>
        <w:t xml:space="preserve"> </w:t>
      </w:r>
      <w:r w:rsidR="00884188" w:rsidRPr="005B11D4">
        <w:rPr>
          <w:rFonts w:asciiTheme="minorHAnsi" w:hAnsiTheme="minorHAnsi" w:cstheme="minorHAnsi"/>
        </w:rPr>
        <w:t xml:space="preserve">and </w:t>
      </w:r>
      <w:r w:rsidR="00F91B63" w:rsidRPr="005B11D4">
        <w:rPr>
          <w:rFonts w:asciiTheme="minorHAnsi" w:hAnsiTheme="minorHAnsi" w:cstheme="minorHAnsi"/>
        </w:rPr>
        <w:t xml:space="preserve">creating </w:t>
      </w:r>
      <w:r w:rsidR="00884188" w:rsidRPr="005B11D4">
        <w:rPr>
          <w:rFonts w:asciiTheme="minorHAnsi" w:hAnsiTheme="minorHAnsi" w:cstheme="minorHAnsi"/>
        </w:rPr>
        <w:t>efficiencies.</w:t>
      </w:r>
    </w:p>
    <w:p w14:paraId="5563A3E5" w14:textId="72ECFAAF" w:rsidR="00122323" w:rsidRPr="00A00517" w:rsidRDefault="00122323" w:rsidP="002608DD">
      <w:pPr>
        <w:pStyle w:val="BodyText"/>
        <w:pBdr>
          <w:bottom w:val="single" w:sz="6" w:space="1" w:color="auto"/>
        </w:pBdr>
        <w:ind w:left="720" w:right="836"/>
        <w:rPr>
          <w:rFonts w:asciiTheme="minorHAnsi" w:hAnsiTheme="minorHAnsi" w:cstheme="minorHAnsi"/>
          <w:sz w:val="20"/>
          <w:szCs w:val="20"/>
        </w:rPr>
      </w:pPr>
    </w:p>
    <w:p w14:paraId="3FDB0121" w14:textId="77777777" w:rsidR="00764A1E" w:rsidRPr="00A00517" w:rsidRDefault="008C12F0" w:rsidP="002608DD">
      <w:pPr>
        <w:pStyle w:val="BodyText"/>
        <w:rPr>
          <w:rFonts w:asciiTheme="minorHAnsi" w:hAnsiTheme="minorHAnsi" w:cstheme="minorHAnsi"/>
          <w:sz w:val="20"/>
          <w:szCs w:val="20"/>
        </w:rPr>
      </w:pPr>
      <w:r w:rsidRPr="005B11D4">
        <w:rPr>
          <w:rFonts w:asciiTheme="minorHAnsi" w:hAnsiTheme="minorHAnsi" w:cstheme="minorHAnsi"/>
        </w:rPr>
        <w:tab/>
      </w:r>
    </w:p>
    <w:p w14:paraId="3EAA455D" w14:textId="699C45D2" w:rsidR="00884188" w:rsidRPr="005B11D4" w:rsidRDefault="00884188" w:rsidP="002608DD">
      <w:pPr>
        <w:ind w:left="720" w:right="740"/>
        <w:rPr>
          <w:rFonts w:asciiTheme="minorHAnsi" w:hAnsiTheme="minorHAnsi" w:cstheme="minorHAnsi"/>
          <w:sz w:val="24"/>
          <w:szCs w:val="24"/>
        </w:rPr>
      </w:pPr>
      <w:hyperlink r:id="rId11" w:history="1">
        <w:r w:rsidRPr="005B11D4">
          <w:rPr>
            <w:rStyle w:val="Hyperlink"/>
            <w:rFonts w:asciiTheme="minorHAnsi" w:hAnsiTheme="minorHAnsi" w:cstheme="minorHAnsi"/>
            <w:color w:val="auto"/>
            <w:sz w:val="24"/>
            <w:szCs w:val="24"/>
            <w:u w:val="none"/>
          </w:rPr>
          <w:t>Public Act 34 of 2001</w:t>
        </w:r>
      </w:hyperlink>
      <w:r w:rsidRPr="005B11D4">
        <w:rPr>
          <w:rFonts w:asciiTheme="minorHAnsi" w:hAnsiTheme="minorHAnsi" w:cstheme="minorHAnsi"/>
          <w:sz w:val="24"/>
          <w:szCs w:val="24"/>
        </w:rPr>
        <w:t>, the Revised Municipal Finance Act, Section 303(7), requires municipalities denied “Qualified” status under Section 303(3) and issuing securities to request the prior written approval of the Department of Treasury</w:t>
      </w:r>
      <w:r w:rsidR="006C4584" w:rsidRPr="005B11D4">
        <w:rPr>
          <w:rFonts w:asciiTheme="minorHAnsi" w:hAnsiTheme="minorHAnsi" w:cstheme="minorHAnsi"/>
          <w:sz w:val="24"/>
          <w:szCs w:val="24"/>
        </w:rPr>
        <w:t xml:space="preserve"> (Treasury)</w:t>
      </w:r>
      <w:r w:rsidRPr="005B11D4">
        <w:rPr>
          <w:rFonts w:asciiTheme="minorHAnsi" w:hAnsiTheme="minorHAnsi" w:cstheme="minorHAnsi"/>
          <w:sz w:val="24"/>
          <w:szCs w:val="24"/>
        </w:rPr>
        <w:t xml:space="preserve"> before issuance.</w:t>
      </w:r>
      <w:r w:rsidR="006E367F">
        <w:rPr>
          <w:rFonts w:asciiTheme="minorHAnsi" w:hAnsiTheme="minorHAnsi" w:cstheme="minorHAnsi"/>
          <w:sz w:val="24"/>
          <w:szCs w:val="24"/>
        </w:rPr>
        <w:t xml:space="preserve"> </w:t>
      </w:r>
      <w:r w:rsidRPr="005B11D4">
        <w:rPr>
          <w:rFonts w:asciiTheme="minorHAnsi" w:hAnsiTheme="minorHAnsi" w:cstheme="minorHAnsi"/>
          <w:sz w:val="24"/>
          <w:szCs w:val="24"/>
        </w:rPr>
        <w:t>Within 30 business days of receiving an application, filing fee, and supporting documentation, Treasury shall make a determination whether the municipality has met all of the following:</w:t>
      </w:r>
    </w:p>
    <w:p w14:paraId="2533C738" w14:textId="77777777" w:rsidR="00884188" w:rsidRPr="00A00517" w:rsidRDefault="00884188" w:rsidP="002608DD">
      <w:pPr>
        <w:rPr>
          <w:rFonts w:asciiTheme="minorHAnsi" w:hAnsiTheme="minorHAnsi" w:cstheme="minorHAnsi"/>
          <w:sz w:val="20"/>
          <w:szCs w:val="20"/>
        </w:rPr>
      </w:pPr>
    </w:p>
    <w:p w14:paraId="4E6E7F4B" w14:textId="56338424" w:rsidR="00884188" w:rsidRPr="005B11D4" w:rsidRDefault="00884188" w:rsidP="002608DD">
      <w:pPr>
        <w:pStyle w:val="ListParagraph"/>
        <w:widowControl/>
        <w:numPr>
          <w:ilvl w:val="0"/>
          <w:numId w:val="20"/>
        </w:numPr>
        <w:autoSpaceDE/>
        <w:autoSpaceDN/>
        <w:contextualSpacing/>
        <w:rPr>
          <w:rFonts w:asciiTheme="minorHAnsi" w:hAnsiTheme="minorHAnsi" w:cstheme="minorHAnsi"/>
          <w:sz w:val="24"/>
          <w:szCs w:val="24"/>
        </w:rPr>
      </w:pPr>
      <w:r w:rsidRPr="005B11D4">
        <w:rPr>
          <w:rFonts w:asciiTheme="minorHAnsi" w:hAnsiTheme="minorHAnsi" w:cstheme="minorHAnsi"/>
          <w:sz w:val="24"/>
          <w:szCs w:val="24"/>
        </w:rPr>
        <w:t>Has indicated the authority to issue the municipal security requested;</w:t>
      </w:r>
    </w:p>
    <w:p w14:paraId="116140C8" w14:textId="77777777" w:rsidR="007645D2" w:rsidRPr="00A00517" w:rsidRDefault="007645D2" w:rsidP="002608DD">
      <w:pPr>
        <w:pStyle w:val="ListParagraph"/>
        <w:widowControl/>
        <w:autoSpaceDE/>
        <w:autoSpaceDN/>
        <w:ind w:left="1080"/>
        <w:contextualSpacing/>
        <w:rPr>
          <w:rFonts w:asciiTheme="minorHAnsi" w:hAnsiTheme="minorHAnsi" w:cstheme="minorHAnsi"/>
          <w:sz w:val="20"/>
          <w:szCs w:val="20"/>
        </w:rPr>
      </w:pPr>
    </w:p>
    <w:p w14:paraId="001632D2" w14:textId="5AFEFB1E" w:rsidR="00884188" w:rsidRPr="005B11D4" w:rsidRDefault="00884188" w:rsidP="002608DD">
      <w:pPr>
        <w:pStyle w:val="ListParagraph"/>
        <w:widowControl/>
        <w:numPr>
          <w:ilvl w:val="0"/>
          <w:numId w:val="20"/>
        </w:numPr>
        <w:autoSpaceDE/>
        <w:autoSpaceDN/>
        <w:contextualSpacing/>
        <w:rPr>
          <w:rFonts w:asciiTheme="minorHAnsi" w:hAnsiTheme="minorHAnsi" w:cstheme="minorHAnsi"/>
          <w:sz w:val="24"/>
          <w:szCs w:val="24"/>
        </w:rPr>
      </w:pPr>
      <w:r w:rsidRPr="005B11D4">
        <w:rPr>
          <w:rFonts w:asciiTheme="minorHAnsi" w:hAnsiTheme="minorHAnsi" w:cstheme="minorHAnsi"/>
          <w:sz w:val="24"/>
          <w:szCs w:val="24"/>
        </w:rPr>
        <w:t>Is projected to be able to repay the municipal security when due; and</w:t>
      </w:r>
    </w:p>
    <w:p w14:paraId="02F48C2A" w14:textId="77777777" w:rsidR="007645D2" w:rsidRPr="00A00517" w:rsidRDefault="007645D2" w:rsidP="002608DD">
      <w:pPr>
        <w:widowControl/>
        <w:autoSpaceDE/>
        <w:autoSpaceDN/>
        <w:contextualSpacing/>
        <w:rPr>
          <w:rFonts w:asciiTheme="minorHAnsi" w:hAnsiTheme="minorHAnsi" w:cstheme="minorHAnsi"/>
          <w:sz w:val="20"/>
          <w:szCs w:val="20"/>
        </w:rPr>
      </w:pPr>
    </w:p>
    <w:p w14:paraId="6EA85C35" w14:textId="6603F7D8" w:rsidR="00884188" w:rsidRPr="005B11D4" w:rsidRDefault="00884188" w:rsidP="002608DD">
      <w:pPr>
        <w:pStyle w:val="ListParagraph"/>
        <w:widowControl/>
        <w:numPr>
          <w:ilvl w:val="0"/>
          <w:numId w:val="20"/>
        </w:numPr>
        <w:autoSpaceDE/>
        <w:autoSpaceDN/>
        <w:ind w:right="650"/>
        <w:contextualSpacing/>
        <w:rPr>
          <w:rFonts w:asciiTheme="minorHAnsi" w:hAnsiTheme="minorHAnsi" w:cstheme="minorHAnsi"/>
          <w:sz w:val="24"/>
          <w:szCs w:val="24"/>
        </w:rPr>
      </w:pPr>
      <w:r w:rsidRPr="005B11D4">
        <w:rPr>
          <w:rFonts w:asciiTheme="minorHAnsi" w:hAnsiTheme="minorHAnsi" w:cstheme="minorHAnsi"/>
          <w:sz w:val="24"/>
          <w:szCs w:val="24"/>
        </w:rPr>
        <w:t>Has filed a compliance letter with Treasury indicating compliance with the requirements of Section 303(3) or adequately addressing any noncompliance with Section 303(3) as determined by Treasury.</w:t>
      </w:r>
    </w:p>
    <w:p w14:paraId="1A8592B1" w14:textId="77777777" w:rsidR="00884188" w:rsidRPr="00A00517" w:rsidRDefault="00884188" w:rsidP="002608DD">
      <w:pPr>
        <w:pStyle w:val="ListParagraph"/>
        <w:spacing w:before="14"/>
        <w:ind w:left="720" w:right="650"/>
        <w:rPr>
          <w:rFonts w:asciiTheme="minorHAnsi" w:eastAsia="Times New Roman" w:hAnsiTheme="minorHAnsi" w:cstheme="minorHAnsi"/>
          <w:sz w:val="20"/>
          <w:szCs w:val="20"/>
        </w:rPr>
      </w:pPr>
    </w:p>
    <w:p w14:paraId="79FC62F2" w14:textId="2B2F82F9" w:rsidR="007645D2" w:rsidRPr="005B11D4" w:rsidRDefault="00884188" w:rsidP="002608DD">
      <w:pPr>
        <w:ind w:left="720" w:right="650"/>
        <w:rPr>
          <w:rFonts w:asciiTheme="minorHAnsi" w:hAnsiTheme="minorHAnsi" w:cstheme="minorHAnsi"/>
          <w:sz w:val="24"/>
          <w:szCs w:val="24"/>
        </w:rPr>
      </w:pPr>
      <w:r w:rsidRPr="005B11D4">
        <w:rPr>
          <w:rFonts w:asciiTheme="minorHAnsi" w:eastAsia="Times New Roman" w:hAnsiTheme="minorHAnsi" w:cstheme="minorHAnsi"/>
          <w:sz w:val="24"/>
          <w:szCs w:val="24"/>
        </w:rPr>
        <w:t>In addition, Public Act 34 of 2001, the Revised Municipal Finance Act, requires</w:t>
      </w:r>
      <w:r w:rsidR="007645D2" w:rsidRPr="005B11D4">
        <w:rPr>
          <w:rFonts w:asciiTheme="minorHAnsi" w:eastAsia="Times New Roman" w:hAnsiTheme="minorHAnsi" w:cstheme="minorHAnsi"/>
          <w:sz w:val="24"/>
          <w:szCs w:val="24"/>
        </w:rPr>
        <w:t xml:space="preserve"> </w:t>
      </w:r>
      <w:r w:rsidR="007645D2" w:rsidRPr="005B11D4">
        <w:rPr>
          <w:rFonts w:asciiTheme="minorHAnsi" w:hAnsiTheme="minorHAnsi" w:cstheme="minorHAnsi"/>
          <w:sz w:val="24"/>
          <w:szCs w:val="24"/>
        </w:rPr>
        <w:t>municipalities issuing securities under certain conditions to seek an exemption from Treasury prior to issuance.</w:t>
      </w:r>
      <w:r w:rsidR="006E367F">
        <w:rPr>
          <w:rFonts w:asciiTheme="minorHAnsi" w:hAnsiTheme="minorHAnsi" w:cstheme="minorHAnsi"/>
          <w:sz w:val="24"/>
          <w:szCs w:val="24"/>
        </w:rPr>
        <w:t xml:space="preserve"> </w:t>
      </w:r>
      <w:r w:rsidR="007645D2" w:rsidRPr="005B11D4">
        <w:rPr>
          <w:rFonts w:asciiTheme="minorHAnsi" w:hAnsiTheme="minorHAnsi" w:cstheme="minorHAnsi"/>
          <w:sz w:val="24"/>
          <w:szCs w:val="24"/>
        </w:rPr>
        <w:t>The conditions under which an exemption is necessary are as follows:</w:t>
      </w:r>
    </w:p>
    <w:p w14:paraId="626CE336" w14:textId="77777777" w:rsidR="007645D2" w:rsidRPr="005B11D4" w:rsidRDefault="007645D2" w:rsidP="002608DD">
      <w:pPr>
        <w:rPr>
          <w:rFonts w:asciiTheme="minorHAnsi" w:hAnsiTheme="minorHAnsi" w:cstheme="minorHAnsi"/>
          <w:sz w:val="24"/>
          <w:szCs w:val="24"/>
        </w:rPr>
      </w:pPr>
      <w:r w:rsidRPr="005B11D4" w:rsidDel="006D4155">
        <w:rPr>
          <w:rFonts w:asciiTheme="minorHAnsi" w:hAnsiTheme="minorHAnsi" w:cstheme="minorHAnsi"/>
          <w:sz w:val="24"/>
          <w:szCs w:val="24"/>
        </w:rPr>
        <w:t xml:space="preserve"> </w:t>
      </w:r>
    </w:p>
    <w:p w14:paraId="06556DDB" w14:textId="439BFDC6" w:rsidR="007645D2" w:rsidRPr="005B11D4" w:rsidRDefault="007645D2" w:rsidP="002608DD">
      <w:pPr>
        <w:pStyle w:val="ListParagraph"/>
        <w:widowControl/>
        <w:numPr>
          <w:ilvl w:val="0"/>
          <w:numId w:val="29"/>
        </w:numPr>
        <w:autoSpaceDE/>
        <w:autoSpaceDN/>
        <w:ind w:right="650"/>
        <w:contextualSpacing/>
        <w:rPr>
          <w:rFonts w:asciiTheme="minorHAnsi" w:hAnsiTheme="minorHAnsi" w:cstheme="minorHAnsi"/>
          <w:sz w:val="24"/>
          <w:szCs w:val="24"/>
        </w:rPr>
      </w:pPr>
      <w:r w:rsidRPr="005B11D4">
        <w:rPr>
          <w:rFonts w:asciiTheme="minorHAnsi" w:hAnsiTheme="minorHAnsi" w:cstheme="minorHAnsi"/>
          <w:sz w:val="24"/>
          <w:szCs w:val="24"/>
        </w:rPr>
        <w:t>Section 303(7)(d) - Issuing a security under Section 303(7) without obtaining an investment grade rating</w:t>
      </w:r>
      <w:r w:rsidR="00D846D1" w:rsidRPr="005B11D4">
        <w:rPr>
          <w:rFonts w:asciiTheme="minorHAnsi" w:hAnsiTheme="minorHAnsi" w:cstheme="minorHAnsi"/>
          <w:sz w:val="24"/>
          <w:szCs w:val="24"/>
        </w:rPr>
        <w:t xml:space="preserve">. </w:t>
      </w:r>
      <w:bookmarkStart w:id="1" w:name="_Hlk195703927"/>
      <w:r w:rsidR="00133ED6" w:rsidRPr="007227BC">
        <w:rPr>
          <w:rFonts w:asciiTheme="minorHAnsi" w:hAnsiTheme="minorHAnsi" w:cstheme="minorHAnsi"/>
          <w:sz w:val="24"/>
          <w:szCs w:val="24"/>
        </w:rPr>
        <w:fldChar w:fldCharType="begin"/>
      </w:r>
      <w:r w:rsidR="00133ED6" w:rsidRPr="007227BC">
        <w:rPr>
          <w:rFonts w:asciiTheme="minorHAnsi" w:hAnsiTheme="minorHAnsi" w:cstheme="minorHAnsi"/>
          <w:sz w:val="24"/>
          <w:szCs w:val="24"/>
        </w:rPr>
        <w:instrText>HYPERLINK  \l "sevenC"</w:instrText>
      </w:r>
      <w:r w:rsidR="00133ED6" w:rsidRPr="007227BC">
        <w:rPr>
          <w:rFonts w:asciiTheme="minorHAnsi" w:hAnsiTheme="minorHAnsi" w:cstheme="minorHAnsi"/>
          <w:sz w:val="24"/>
          <w:szCs w:val="24"/>
        </w:rPr>
      </w:r>
      <w:r w:rsidR="00133ED6" w:rsidRPr="007227BC">
        <w:rPr>
          <w:rFonts w:asciiTheme="minorHAnsi" w:hAnsiTheme="minorHAnsi" w:cstheme="minorHAnsi"/>
          <w:sz w:val="24"/>
          <w:szCs w:val="24"/>
        </w:rPr>
        <w:fldChar w:fldCharType="separate"/>
      </w:r>
      <w:r w:rsidR="00D846D1" w:rsidRPr="007227BC">
        <w:rPr>
          <w:rStyle w:val="Hyperlink"/>
          <w:rFonts w:asciiTheme="minorHAnsi" w:hAnsiTheme="minorHAnsi" w:cstheme="minorHAnsi"/>
          <w:color w:val="auto"/>
          <w:sz w:val="24"/>
          <w:szCs w:val="24"/>
          <w:u w:val="none"/>
        </w:rPr>
        <w:t>See #7.c.</w:t>
      </w:r>
      <w:r w:rsidR="00133ED6" w:rsidRPr="007227BC">
        <w:rPr>
          <w:rFonts w:asciiTheme="minorHAnsi" w:hAnsiTheme="minorHAnsi" w:cstheme="minorHAnsi"/>
          <w:sz w:val="24"/>
          <w:szCs w:val="24"/>
        </w:rPr>
        <w:fldChar w:fldCharType="end"/>
      </w:r>
      <w:r w:rsidR="00D846D1" w:rsidRPr="007227BC">
        <w:rPr>
          <w:rFonts w:asciiTheme="minorHAnsi" w:hAnsiTheme="minorHAnsi" w:cstheme="minorHAnsi"/>
          <w:sz w:val="24"/>
          <w:szCs w:val="24"/>
        </w:rPr>
        <w:t xml:space="preserve"> </w:t>
      </w:r>
      <w:r w:rsidR="00D846D1" w:rsidRPr="005B11D4">
        <w:rPr>
          <w:rFonts w:asciiTheme="minorHAnsi" w:hAnsiTheme="minorHAnsi" w:cstheme="minorHAnsi"/>
          <w:sz w:val="24"/>
          <w:szCs w:val="24"/>
        </w:rPr>
        <w:t>below for rating exemption flowchart.</w:t>
      </w:r>
      <w:bookmarkEnd w:id="1"/>
    </w:p>
    <w:p w14:paraId="166418DE" w14:textId="77777777" w:rsidR="007645D2" w:rsidRPr="00A00517" w:rsidRDefault="007645D2" w:rsidP="002608DD">
      <w:pPr>
        <w:pStyle w:val="ListParagraph"/>
        <w:ind w:right="650"/>
        <w:rPr>
          <w:rFonts w:asciiTheme="minorHAnsi" w:hAnsiTheme="minorHAnsi" w:cstheme="minorHAnsi"/>
          <w:sz w:val="20"/>
          <w:szCs w:val="20"/>
        </w:rPr>
      </w:pPr>
    </w:p>
    <w:p w14:paraId="191AB9DE" w14:textId="37DB9923" w:rsidR="007645D2" w:rsidRPr="005B11D4" w:rsidRDefault="007645D2" w:rsidP="002608DD">
      <w:pPr>
        <w:pStyle w:val="ListParagraph"/>
        <w:widowControl/>
        <w:numPr>
          <w:ilvl w:val="0"/>
          <w:numId w:val="29"/>
        </w:numPr>
        <w:autoSpaceDE/>
        <w:autoSpaceDN/>
        <w:ind w:right="650"/>
        <w:contextualSpacing/>
        <w:rPr>
          <w:rFonts w:asciiTheme="minorHAnsi" w:hAnsiTheme="minorHAnsi" w:cstheme="minorHAnsi"/>
          <w:sz w:val="24"/>
          <w:szCs w:val="24"/>
        </w:rPr>
      </w:pPr>
      <w:r w:rsidRPr="005B11D4">
        <w:rPr>
          <w:rFonts w:asciiTheme="minorHAnsi" w:hAnsiTheme="minorHAnsi" w:cstheme="minorHAnsi"/>
          <w:sz w:val="24"/>
          <w:szCs w:val="24"/>
        </w:rPr>
        <w:t>Section 323 - Issuing a security greater than $5,000,000 under Section 303(3) without obtaining an investment grade rating</w:t>
      </w:r>
      <w:r w:rsidR="00D846D1" w:rsidRPr="005B11D4">
        <w:rPr>
          <w:rFonts w:asciiTheme="minorHAnsi" w:hAnsiTheme="minorHAnsi" w:cstheme="minorHAnsi"/>
          <w:sz w:val="24"/>
          <w:szCs w:val="24"/>
        </w:rPr>
        <w:t xml:space="preserve">. </w:t>
      </w:r>
      <w:hyperlink w:anchor="sevenC" w:history="1">
        <w:r w:rsidR="00D846D1" w:rsidRPr="007227BC">
          <w:rPr>
            <w:rStyle w:val="Hyperlink"/>
            <w:rFonts w:asciiTheme="minorHAnsi" w:hAnsiTheme="minorHAnsi" w:cstheme="minorHAnsi"/>
            <w:color w:val="auto"/>
            <w:sz w:val="24"/>
            <w:szCs w:val="24"/>
            <w:u w:val="none"/>
          </w:rPr>
          <w:t>See #7.c.</w:t>
        </w:r>
      </w:hyperlink>
      <w:r w:rsidR="00D846D1" w:rsidRPr="007227BC">
        <w:rPr>
          <w:rFonts w:asciiTheme="minorHAnsi" w:hAnsiTheme="minorHAnsi" w:cstheme="minorHAnsi"/>
          <w:sz w:val="24"/>
          <w:szCs w:val="24"/>
        </w:rPr>
        <w:t xml:space="preserve"> </w:t>
      </w:r>
      <w:r w:rsidR="00D846D1" w:rsidRPr="005B11D4">
        <w:rPr>
          <w:rFonts w:asciiTheme="minorHAnsi" w:hAnsiTheme="minorHAnsi" w:cstheme="minorHAnsi"/>
          <w:sz w:val="24"/>
          <w:szCs w:val="24"/>
        </w:rPr>
        <w:t>below for rating exemption flowchart.</w:t>
      </w:r>
    </w:p>
    <w:p w14:paraId="31593C7C" w14:textId="77777777" w:rsidR="007645D2" w:rsidRPr="00A00517" w:rsidRDefault="007645D2" w:rsidP="002608DD">
      <w:pPr>
        <w:ind w:right="650"/>
        <w:rPr>
          <w:rFonts w:asciiTheme="minorHAnsi" w:hAnsiTheme="minorHAnsi" w:cstheme="minorHAnsi"/>
          <w:sz w:val="20"/>
          <w:szCs w:val="20"/>
        </w:rPr>
      </w:pPr>
    </w:p>
    <w:p w14:paraId="47723BC9" w14:textId="58C063B2" w:rsidR="007645D2" w:rsidRPr="005B11D4" w:rsidRDefault="007645D2" w:rsidP="002608DD">
      <w:pPr>
        <w:pStyle w:val="ListParagraph"/>
        <w:widowControl/>
        <w:numPr>
          <w:ilvl w:val="0"/>
          <w:numId w:val="29"/>
        </w:numPr>
        <w:autoSpaceDE/>
        <w:autoSpaceDN/>
        <w:ind w:right="650"/>
        <w:contextualSpacing/>
        <w:rPr>
          <w:rFonts w:asciiTheme="minorHAnsi" w:hAnsiTheme="minorHAnsi" w:cstheme="minorHAnsi"/>
          <w:sz w:val="24"/>
          <w:szCs w:val="24"/>
        </w:rPr>
      </w:pPr>
      <w:r w:rsidRPr="005B11D4">
        <w:rPr>
          <w:rFonts w:asciiTheme="minorHAnsi" w:hAnsiTheme="minorHAnsi" w:cstheme="minorHAnsi"/>
          <w:sz w:val="24"/>
          <w:szCs w:val="24"/>
        </w:rPr>
        <w:t xml:space="preserve">Section 305(3) - Issuing a security at a discount exceeding 10% of the principal amount; </w:t>
      </w:r>
      <w:r w:rsidR="00483BA8">
        <w:rPr>
          <w:rFonts w:asciiTheme="minorHAnsi" w:hAnsiTheme="minorHAnsi" w:cstheme="minorHAnsi"/>
          <w:sz w:val="24"/>
          <w:szCs w:val="24"/>
        </w:rPr>
        <w:t>or</w:t>
      </w:r>
    </w:p>
    <w:p w14:paraId="046C6697" w14:textId="77777777" w:rsidR="007645D2" w:rsidRPr="00A00517" w:rsidRDefault="007645D2" w:rsidP="002608DD">
      <w:pPr>
        <w:pStyle w:val="ListParagraph"/>
        <w:ind w:right="650"/>
        <w:rPr>
          <w:rFonts w:asciiTheme="minorHAnsi" w:hAnsiTheme="minorHAnsi" w:cstheme="minorHAnsi"/>
          <w:sz w:val="20"/>
          <w:szCs w:val="20"/>
        </w:rPr>
      </w:pPr>
    </w:p>
    <w:p w14:paraId="4DA856CB" w14:textId="67BD8A50" w:rsidR="007645D2" w:rsidRPr="005B11D4" w:rsidRDefault="007645D2" w:rsidP="002608DD">
      <w:pPr>
        <w:pStyle w:val="ListParagraph"/>
        <w:widowControl/>
        <w:numPr>
          <w:ilvl w:val="0"/>
          <w:numId w:val="29"/>
        </w:numPr>
        <w:autoSpaceDE/>
        <w:autoSpaceDN/>
        <w:ind w:right="650"/>
        <w:contextualSpacing/>
        <w:rPr>
          <w:rFonts w:asciiTheme="minorHAnsi" w:hAnsiTheme="minorHAnsi" w:cstheme="minorHAnsi"/>
          <w:sz w:val="24"/>
          <w:szCs w:val="24"/>
        </w:rPr>
      </w:pPr>
      <w:r w:rsidRPr="005B11D4">
        <w:rPr>
          <w:rFonts w:asciiTheme="minorHAnsi" w:hAnsiTheme="minorHAnsi" w:cstheme="minorHAnsi"/>
          <w:sz w:val="24"/>
          <w:szCs w:val="24"/>
        </w:rPr>
        <w:t>Section 611(2) - Issuing a refunding security at a net present value loss.</w:t>
      </w:r>
      <w:r w:rsidR="006E367F">
        <w:rPr>
          <w:rFonts w:asciiTheme="minorHAnsi" w:hAnsiTheme="minorHAnsi" w:cstheme="minorHAnsi"/>
          <w:sz w:val="24"/>
          <w:szCs w:val="24"/>
        </w:rPr>
        <w:t xml:space="preserve"> </w:t>
      </w:r>
      <w:r w:rsidR="00E806A1" w:rsidRPr="005B11D4">
        <w:rPr>
          <w:rFonts w:asciiTheme="minorHAnsi" w:hAnsiTheme="minorHAnsi" w:cstheme="minorHAnsi"/>
          <w:sz w:val="24"/>
          <w:szCs w:val="24"/>
        </w:rPr>
        <w:t>See #</w:t>
      </w:r>
      <w:r w:rsidR="00A06EA6" w:rsidRPr="005B11D4">
        <w:rPr>
          <w:rFonts w:asciiTheme="minorHAnsi" w:hAnsiTheme="minorHAnsi" w:cstheme="minorHAnsi"/>
          <w:sz w:val="24"/>
          <w:szCs w:val="24"/>
        </w:rPr>
        <w:t>6</w:t>
      </w:r>
      <w:r w:rsidR="00E806A1" w:rsidRPr="005B11D4">
        <w:rPr>
          <w:rFonts w:asciiTheme="minorHAnsi" w:hAnsiTheme="minorHAnsi" w:cstheme="minorHAnsi"/>
          <w:sz w:val="24"/>
          <w:szCs w:val="24"/>
        </w:rPr>
        <w:t xml:space="preserve"> below for details.</w:t>
      </w:r>
    </w:p>
    <w:p w14:paraId="260B264B" w14:textId="79C8A20B" w:rsidR="00B450DE" w:rsidRPr="00A00517" w:rsidRDefault="00B450DE" w:rsidP="002608DD">
      <w:pPr>
        <w:spacing w:before="14"/>
        <w:ind w:right="650"/>
        <w:rPr>
          <w:rFonts w:asciiTheme="minorHAnsi" w:eastAsia="Times New Roman" w:hAnsiTheme="minorHAnsi" w:cstheme="minorHAnsi"/>
          <w:sz w:val="20"/>
          <w:szCs w:val="20"/>
        </w:rPr>
      </w:pPr>
    </w:p>
    <w:p w14:paraId="20FD8200" w14:textId="77777777" w:rsidR="00F52FEB" w:rsidRPr="00A00517" w:rsidRDefault="00F52FEB" w:rsidP="002608DD">
      <w:pPr>
        <w:spacing w:before="14"/>
        <w:ind w:right="830"/>
        <w:rPr>
          <w:rFonts w:asciiTheme="minorHAnsi" w:eastAsia="Times New Roman" w:hAnsiTheme="minorHAnsi" w:cstheme="minorHAnsi"/>
          <w:sz w:val="20"/>
          <w:szCs w:val="20"/>
        </w:rPr>
      </w:pPr>
    </w:p>
    <w:p w14:paraId="64D56B3C" w14:textId="6D70196B" w:rsidR="0051386C" w:rsidRDefault="00A55EAA" w:rsidP="002608DD">
      <w:pPr>
        <w:pStyle w:val="ListParagraph"/>
        <w:numPr>
          <w:ilvl w:val="0"/>
          <w:numId w:val="1"/>
        </w:numPr>
        <w:spacing w:before="14"/>
        <w:ind w:right="830"/>
        <w:rPr>
          <w:rFonts w:asciiTheme="minorHAnsi" w:eastAsia="Times New Roman" w:hAnsiTheme="minorHAnsi" w:cstheme="minorHAnsi"/>
          <w:sz w:val="24"/>
          <w:szCs w:val="24"/>
        </w:rPr>
      </w:pPr>
      <w:r w:rsidRPr="005B11D4">
        <w:rPr>
          <w:rFonts w:asciiTheme="minorHAnsi" w:eastAsia="Times New Roman" w:hAnsiTheme="minorHAnsi" w:cstheme="minorHAnsi"/>
          <w:b/>
          <w:bCs/>
          <w:sz w:val="28"/>
          <w:szCs w:val="28"/>
        </w:rPr>
        <w:t>Electronic Filing</w:t>
      </w:r>
      <w:r w:rsidR="006E367F">
        <w:rPr>
          <w:rFonts w:asciiTheme="minorHAnsi" w:eastAsia="Times New Roman" w:hAnsiTheme="minorHAnsi" w:cstheme="minorHAnsi"/>
          <w:sz w:val="24"/>
          <w:szCs w:val="24"/>
        </w:rPr>
        <w:t xml:space="preserve"> </w:t>
      </w:r>
    </w:p>
    <w:p w14:paraId="66E04BDF" w14:textId="77777777" w:rsidR="0051386C" w:rsidRPr="00A00517" w:rsidRDefault="0051386C" w:rsidP="002608DD">
      <w:pPr>
        <w:pStyle w:val="ListParagraph"/>
        <w:spacing w:before="14"/>
        <w:ind w:left="1080" w:right="830"/>
        <w:rPr>
          <w:rFonts w:asciiTheme="minorHAnsi" w:eastAsia="Times New Roman" w:hAnsiTheme="minorHAnsi" w:cstheme="minorHAnsi"/>
          <w:sz w:val="20"/>
          <w:szCs w:val="20"/>
        </w:rPr>
      </w:pPr>
    </w:p>
    <w:p w14:paraId="3A5A8C35" w14:textId="0596881E" w:rsidR="00A55EAA" w:rsidRDefault="00A55EAA" w:rsidP="002608DD">
      <w:pPr>
        <w:pStyle w:val="ListParagraph"/>
        <w:spacing w:before="14"/>
        <w:ind w:left="1080" w:right="830"/>
        <w:rPr>
          <w:rFonts w:asciiTheme="minorHAnsi" w:eastAsia="Times New Roman" w:hAnsiTheme="minorHAnsi" w:cstheme="minorHAnsi"/>
          <w:sz w:val="24"/>
          <w:szCs w:val="24"/>
        </w:rPr>
      </w:pPr>
      <w:r w:rsidRPr="0051386C">
        <w:rPr>
          <w:rFonts w:asciiTheme="minorHAnsi" w:eastAsia="Times New Roman" w:hAnsiTheme="minorHAnsi" w:cstheme="minorHAnsi"/>
          <w:sz w:val="24"/>
          <w:szCs w:val="24"/>
        </w:rPr>
        <w:t>Our goal is to provide a secure environment for users and allow flexibility in maintaining a municipality’s account. The</w:t>
      </w:r>
      <w:r w:rsidR="007645D2" w:rsidRPr="0051386C">
        <w:rPr>
          <w:rFonts w:asciiTheme="minorHAnsi" w:eastAsia="Times New Roman" w:hAnsiTheme="minorHAnsi" w:cstheme="minorHAnsi"/>
          <w:sz w:val="24"/>
          <w:szCs w:val="24"/>
        </w:rPr>
        <w:t xml:space="preserve"> Prior Approval Applications </w:t>
      </w:r>
      <w:r w:rsidR="00483BA8">
        <w:rPr>
          <w:rFonts w:asciiTheme="minorHAnsi" w:eastAsia="Times New Roman" w:hAnsiTheme="minorHAnsi" w:cstheme="minorHAnsi"/>
          <w:sz w:val="24"/>
          <w:szCs w:val="24"/>
        </w:rPr>
        <w:t>must</w:t>
      </w:r>
      <w:r w:rsidRPr="0051386C">
        <w:rPr>
          <w:rFonts w:asciiTheme="minorHAnsi" w:eastAsia="Times New Roman" w:hAnsiTheme="minorHAnsi" w:cstheme="minorHAnsi"/>
          <w:sz w:val="24"/>
          <w:szCs w:val="24"/>
        </w:rPr>
        <w:t xml:space="preserve"> be completed and submitted online. T</w:t>
      </w:r>
      <w:r w:rsidR="000866FB" w:rsidRPr="0051386C">
        <w:rPr>
          <w:rFonts w:asciiTheme="minorHAnsi" w:eastAsia="Times New Roman" w:hAnsiTheme="minorHAnsi" w:cstheme="minorHAnsi"/>
          <w:sz w:val="24"/>
          <w:szCs w:val="24"/>
        </w:rPr>
        <w:t>reasury</w:t>
      </w:r>
      <w:r w:rsidRPr="0051386C">
        <w:rPr>
          <w:rFonts w:asciiTheme="minorHAnsi" w:eastAsia="Times New Roman" w:hAnsiTheme="minorHAnsi" w:cstheme="minorHAnsi"/>
          <w:sz w:val="24"/>
          <w:szCs w:val="24"/>
        </w:rPr>
        <w:t xml:space="preserve"> will not accept forms in any other format. </w:t>
      </w:r>
      <w:r w:rsidR="00483BA8">
        <w:rPr>
          <w:rFonts w:asciiTheme="minorHAnsi" w:eastAsia="Times New Roman" w:hAnsiTheme="minorHAnsi" w:cstheme="minorHAnsi"/>
          <w:sz w:val="24"/>
          <w:szCs w:val="24"/>
        </w:rPr>
        <w:t>This</w:t>
      </w:r>
      <w:r w:rsidRPr="0051386C">
        <w:rPr>
          <w:rFonts w:asciiTheme="minorHAnsi" w:eastAsia="Times New Roman" w:hAnsiTheme="minorHAnsi" w:cstheme="minorHAnsi"/>
          <w:sz w:val="24"/>
          <w:szCs w:val="24"/>
        </w:rPr>
        <w:t xml:space="preserve"> will reduce submission errors and place fewer burdens on the user. Municipalities can review their online record of all forms that have been filed, the date they were filed, and </w:t>
      </w:r>
      <w:r w:rsidR="004B17AB" w:rsidRPr="0051386C">
        <w:rPr>
          <w:rFonts w:asciiTheme="minorHAnsi" w:eastAsia="Times New Roman" w:hAnsiTheme="minorHAnsi" w:cstheme="minorHAnsi"/>
          <w:sz w:val="24"/>
          <w:szCs w:val="24"/>
        </w:rPr>
        <w:t>can</w:t>
      </w:r>
      <w:r w:rsidRPr="0051386C">
        <w:rPr>
          <w:rFonts w:asciiTheme="minorHAnsi" w:eastAsia="Times New Roman" w:hAnsiTheme="minorHAnsi" w:cstheme="minorHAnsi"/>
          <w:sz w:val="24"/>
          <w:szCs w:val="24"/>
        </w:rPr>
        <w:t xml:space="preserve"> print or save that information.</w:t>
      </w:r>
    </w:p>
    <w:p w14:paraId="71746991" w14:textId="77777777" w:rsidR="00C55BF0" w:rsidRPr="00A00517" w:rsidRDefault="00C55BF0" w:rsidP="002608DD">
      <w:pPr>
        <w:pStyle w:val="ListParagraph"/>
        <w:spacing w:before="14"/>
        <w:ind w:left="1080" w:right="830"/>
        <w:rPr>
          <w:rFonts w:asciiTheme="minorHAnsi" w:eastAsia="Times New Roman" w:hAnsiTheme="minorHAnsi" w:cstheme="minorHAnsi"/>
          <w:sz w:val="20"/>
          <w:szCs w:val="20"/>
        </w:rPr>
      </w:pPr>
    </w:p>
    <w:p w14:paraId="602DA929" w14:textId="77777777" w:rsidR="00F52FEB" w:rsidRPr="00A00517" w:rsidRDefault="00F52FEB" w:rsidP="002608DD">
      <w:pPr>
        <w:spacing w:before="14"/>
        <w:ind w:right="830"/>
        <w:rPr>
          <w:rFonts w:asciiTheme="minorHAnsi" w:eastAsia="Times New Roman" w:hAnsiTheme="minorHAnsi" w:cstheme="minorHAnsi"/>
          <w:sz w:val="20"/>
          <w:szCs w:val="20"/>
        </w:rPr>
      </w:pPr>
    </w:p>
    <w:p w14:paraId="17C4E846" w14:textId="1D9CCD78" w:rsidR="0051386C" w:rsidRPr="0051386C" w:rsidRDefault="00A55EAA" w:rsidP="002608DD">
      <w:pPr>
        <w:pStyle w:val="ListParagraph"/>
        <w:numPr>
          <w:ilvl w:val="0"/>
          <w:numId w:val="1"/>
        </w:numPr>
        <w:spacing w:before="14"/>
        <w:ind w:right="830"/>
        <w:rPr>
          <w:rFonts w:asciiTheme="minorHAnsi" w:eastAsia="Times New Roman" w:hAnsiTheme="minorHAnsi" w:cstheme="minorHAnsi"/>
          <w:sz w:val="24"/>
          <w:szCs w:val="24"/>
        </w:rPr>
      </w:pPr>
      <w:r w:rsidRPr="005B11D4">
        <w:rPr>
          <w:rFonts w:asciiTheme="minorHAnsi" w:eastAsia="Times New Roman" w:hAnsiTheme="minorHAnsi" w:cstheme="minorHAnsi"/>
          <w:b/>
          <w:bCs/>
          <w:sz w:val="28"/>
          <w:szCs w:val="28"/>
        </w:rPr>
        <w:t>Login Page</w:t>
      </w:r>
      <w:r w:rsidR="0051386C">
        <w:rPr>
          <w:rFonts w:asciiTheme="minorHAnsi" w:eastAsia="Times New Roman" w:hAnsiTheme="minorHAnsi" w:cstheme="minorHAnsi"/>
          <w:b/>
          <w:bCs/>
          <w:sz w:val="28"/>
          <w:szCs w:val="28"/>
        </w:rPr>
        <w:t xml:space="preserve"> and Instructions</w:t>
      </w:r>
    </w:p>
    <w:p w14:paraId="6620FAB6" w14:textId="07922BF2" w:rsidR="0051386C" w:rsidRPr="00A00517" w:rsidRDefault="0051386C" w:rsidP="002608DD">
      <w:pPr>
        <w:spacing w:before="14"/>
        <w:ind w:right="830"/>
        <w:rPr>
          <w:rFonts w:asciiTheme="minorHAnsi" w:eastAsia="Times New Roman" w:hAnsiTheme="minorHAnsi" w:cstheme="minorHAnsi"/>
          <w:sz w:val="20"/>
          <w:szCs w:val="20"/>
        </w:rPr>
      </w:pPr>
    </w:p>
    <w:p w14:paraId="2C688A0A" w14:textId="60F39346" w:rsidR="0051386C" w:rsidRDefault="0051386C" w:rsidP="002608DD">
      <w:pPr>
        <w:pStyle w:val="ListParagraph"/>
        <w:numPr>
          <w:ilvl w:val="0"/>
          <w:numId w:val="3"/>
        </w:numPr>
        <w:spacing w:before="14"/>
        <w:ind w:right="830"/>
        <w:rPr>
          <w:rFonts w:asciiTheme="minorHAnsi" w:eastAsia="Times New Roman" w:hAnsiTheme="minorHAnsi" w:cstheme="minorHAnsi"/>
          <w:sz w:val="24"/>
          <w:szCs w:val="24"/>
        </w:rPr>
      </w:pPr>
      <w:r w:rsidRPr="0051386C">
        <w:rPr>
          <w:rFonts w:asciiTheme="minorHAnsi" w:eastAsia="Times New Roman" w:hAnsiTheme="minorHAnsi" w:cstheme="minorHAnsi"/>
          <w:sz w:val="24"/>
          <w:szCs w:val="24"/>
        </w:rPr>
        <w:t xml:space="preserve">Visit </w:t>
      </w:r>
      <w:hyperlink r:id="rId12" w:history="1">
        <w:r w:rsidRPr="007227BC">
          <w:rPr>
            <w:rStyle w:val="Hyperlink"/>
            <w:rFonts w:asciiTheme="minorHAnsi" w:eastAsiaTheme="minorHAnsi" w:hAnsiTheme="minorHAnsi" w:cstheme="minorBidi"/>
            <w:sz w:val="24"/>
            <w:szCs w:val="24"/>
            <w:u w:val="none"/>
            <w:lang w:bidi="ar-SA"/>
          </w:rPr>
          <w:t>Michigan.gov/LAFD</w:t>
        </w:r>
      </w:hyperlink>
      <w:r w:rsidRPr="00F6058F">
        <w:rPr>
          <w:rFonts w:asciiTheme="minorHAnsi" w:eastAsia="Times New Roman" w:hAnsiTheme="minorHAnsi" w:cstheme="minorHAnsi"/>
          <w:sz w:val="24"/>
          <w:szCs w:val="24"/>
        </w:rPr>
        <w:t>.</w:t>
      </w:r>
    </w:p>
    <w:p w14:paraId="7B0C5C0B" w14:textId="77777777" w:rsidR="0051386C" w:rsidRPr="00A00517" w:rsidRDefault="0051386C" w:rsidP="002608DD">
      <w:pPr>
        <w:pStyle w:val="ListParagraph"/>
        <w:spacing w:before="14"/>
        <w:ind w:left="1440" w:right="830"/>
        <w:rPr>
          <w:rFonts w:asciiTheme="minorHAnsi" w:eastAsia="Times New Roman" w:hAnsiTheme="minorHAnsi" w:cstheme="minorHAnsi"/>
          <w:sz w:val="20"/>
          <w:szCs w:val="20"/>
        </w:rPr>
      </w:pPr>
    </w:p>
    <w:p w14:paraId="34418E68" w14:textId="45CB898C" w:rsidR="00A55EAA" w:rsidRPr="005B11D4" w:rsidRDefault="00A55EAA" w:rsidP="002608DD">
      <w:pPr>
        <w:pStyle w:val="ListParagraph"/>
        <w:numPr>
          <w:ilvl w:val="0"/>
          <w:numId w:val="3"/>
        </w:numPr>
        <w:spacing w:before="14"/>
        <w:ind w:right="830"/>
        <w:rPr>
          <w:rFonts w:asciiTheme="minorHAnsi" w:eastAsia="Times New Roman" w:hAnsiTheme="minorHAnsi" w:cstheme="minorHAnsi"/>
          <w:sz w:val="24"/>
          <w:szCs w:val="24"/>
        </w:rPr>
      </w:pPr>
      <w:r w:rsidRPr="005B11D4">
        <w:rPr>
          <w:rFonts w:asciiTheme="minorHAnsi" w:eastAsia="Times New Roman" w:hAnsiTheme="minorHAnsi" w:cstheme="minorHAnsi"/>
          <w:sz w:val="24"/>
          <w:szCs w:val="24"/>
        </w:rPr>
        <w:t>Click on “File and Search Reports.”</w:t>
      </w:r>
    </w:p>
    <w:p w14:paraId="5200FA4E" w14:textId="77777777" w:rsidR="00A55EAA" w:rsidRPr="00A00517" w:rsidRDefault="00A55EAA" w:rsidP="002608DD">
      <w:pPr>
        <w:pStyle w:val="ListParagraph"/>
        <w:spacing w:before="14"/>
        <w:ind w:left="1440" w:right="830"/>
        <w:rPr>
          <w:rFonts w:asciiTheme="minorHAnsi" w:eastAsia="Times New Roman" w:hAnsiTheme="minorHAnsi" w:cstheme="minorHAnsi"/>
        </w:rPr>
      </w:pPr>
    </w:p>
    <w:p w14:paraId="0A8F69F7" w14:textId="77777777" w:rsidR="00A55EAA" w:rsidRPr="005B11D4" w:rsidRDefault="00A55EAA" w:rsidP="002608DD">
      <w:pPr>
        <w:pStyle w:val="ListParagraph"/>
        <w:numPr>
          <w:ilvl w:val="0"/>
          <w:numId w:val="3"/>
        </w:numPr>
        <w:spacing w:before="14"/>
        <w:ind w:right="830"/>
        <w:rPr>
          <w:rFonts w:asciiTheme="minorHAnsi" w:eastAsia="Times New Roman" w:hAnsiTheme="minorHAnsi" w:cstheme="minorHAnsi"/>
          <w:sz w:val="24"/>
          <w:szCs w:val="24"/>
        </w:rPr>
      </w:pPr>
      <w:r w:rsidRPr="005B11D4">
        <w:rPr>
          <w:rFonts w:asciiTheme="minorHAnsi" w:eastAsia="Times New Roman" w:hAnsiTheme="minorHAnsi" w:cstheme="minorHAnsi"/>
          <w:sz w:val="24"/>
          <w:szCs w:val="24"/>
        </w:rPr>
        <w:t>Click on “File Online Reports.”</w:t>
      </w:r>
    </w:p>
    <w:p w14:paraId="3AE0E439" w14:textId="77777777" w:rsidR="00A55EAA" w:rsidRPr="00A00517" w:rsidRDefault="00A55EAA" w:rsidP="002608DD">
      <w:pPr>
        <w:pStyle w:val="ListParagraph"/>
        <w:spacing w:before="14"/>
        <w:ind w:left="1440" w:right="830"/>
        <w:rPr>
          <w:rFonts w:asciiTheme="minorHAnsi" w:eastAsia="Times New Roman" w:hAnsiTheme="minorHAnsi" w:cstheme="minorHAnsi"/>
          <w:sz w:val="20"/>
          <w:szCs w:val="20"/>
        </w:rPr>
      </w:pPr>
    </w:p>
    <w:p w14:paraId="60A04116" w14:textId="7AF09DEE" w:rsidR="00A55EAA" w:rsidRPr="005B11D4" w:rsidRDefault="00A55EAA" w:rsidP="002608DD">
      <w:pPr>
        <w:pStyle w:val="ListParagraph"/>
        <w:numPr>
          <w:ilvl w:val="0"/>
          <w:numId w:val="3"/>
        </w:numPr>
        <w:tabs>
          <w:tab w:val="left" w:pos="10170"/>
        </w:tabs>
        <w:spacing w:before="14"/>
        <w:ind w:right="830"/>
        <w:rPr>
          <w:rFonts w:asciiTheme="minorHAnsi" w:eastAsia="Times New Roman" w:hAnsiTheme="minorHAnsi" w:cstheme="minorHAnsi"/>
          <w:sz w:val="24"/>
          <w:szCs w:val="24"/>
        </w:rPr>
      </w:pPr>
      <w:r w:rsidRPr="005B11D4">
        <w:rPr>
          <w:rFonts w:asciiTheme="minorHAnsi" w:eastAsia="Times New Roman" w:hAnsiTheme="minorHAnsi" w:cstheme="minorHAnsi"/>
          <w:sz w:val="24"/>
          <w:szCs w:val="24"/>
        </w:rPr>
        <w:t>For the first visit, users will be required to click on “Request Access New User.”</w:t>
      </w:r>
      <w:r w:rsidR="006E367F">
        <w:rPr>
          <w:rFonts w:asciiTheme="minorHAnsi" w:eastAsia="Times New Roman" w:hAnsiTheme="minorHAnsi" w:cstheme="minorHAnsi"/>
          <w:sz w:val="24"/>
          <w:szCs w:val="24"/>
        </w:rPr>
        <w:t xml:space="preserve"> </w:t>
      </w:r>
      <w:r w:rsidRPr="005B11D4">
        <w:rPr>
          <w:rFonts w:asciiTheme="minorHAnsi" w:eastAsia="Times New Roman" w:hAnsiTheme="minorHAnsi" w:cstheme="minorHAnsi"/>
          <w:sz w:val="24"/>
          <w:szCs w:val="24"/>
        </w:rPr>
        <w:t>You will need to create a new user profile.</w:t>
      </w:r>
    </w:p>
    <w:p w14:paraId="7EEDD5C9" w14:textId="77777777" w:rsidR="00A55EAA" w:rsidRPr="00A00517" w:rsidRDefault="00A55EAA" w:rsidP="002608DD">
      <w:pPr>
        <w:pStyle w:val="ListParagraph"/>
        <w:tabs>
          <w:tab w:val="left" w:pos="10080"/>
        </w:tabs>
        <w:spacing w:before="14"/>
        <w:ind w:left="1440" w:right="830"/>
        <w:rPr>
          <w:rFonts w:asciiTheme="minorHAnsi" w:eastAsia="Times New Roman" w:hAnsiTheme="minorHAnsi" w:cstheme="minorHAnsi"/>
          <w:sz w:val="20"/>
          <w:szCs w:val="20"/>
        </w:rPr>
      </w:pPr>
    </w:p>
    <w:p w14:paraId="052F7656" w14:textId="074E2166" w:rsidR="00A55EAA" w:rsidRPr="005B11D4" w:rsidRDefault="00A55EAA" w:rsidP="002608DD">
      <w:pPr>
        <w:pStyle w:val="ListParagraph"/>
        <w:widowControl/>
        <w:numPr>
          <w:ilvl w:val="0"/>
          <w:numId w:val="3"/>
        </w:numPr>
        <w:tabs>
          <w:tab w:val="left" w:pos="10080"/>
        </w:tabs>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Complete all required fields. You will be asked to indicate what type of user you are from a selection on the drop-down list for User Type. If you are an Attorney, Certified Public Accountant, Financial Consultant, or employee of any of these filing on behalf of a municipality, select the type that pertains to you as the filer. If you are a county,</w:t>
      </w:r>
      <w:r w:rsidR="00F91B63" w:rsidRPr="005B11D4">
        <w:rPr>
          <w:rFonts w:asciiTheme="minorHAnsi" w:hAnsiTheme="minorHAnsi" w:cstheme="minorHAnsi"/>
          <w:sz w:val="24"/>
          <w:szCs w:val="24"/>
        </w:rPr>
        <w:t xml:space="preserve"> road commission,</w:t>
      </w:r>
      <w:r w:rsidRPr="005B11D4">
        <w:rPr>
          <w:rFonts w:asciiTheme="minorHAnsi" w:hAnsiTheme="minorHAnsi" w:cstheme="minorHAnsi"/>
          <w:sz w:val="24"/>
          <w:szCs w:val="24"/>
        </w:rPr>
        <w:t xml:space="preserve"> city, township, village,</w:t>
      </w:r>
      <w:r w:rsidR="00F91B63" w:rsidRPr="005B11D4">
        <w:rPr>
          <w:rFonts w:asciiTheme="minorHAnsi" w:hAnsiTheme="minorHAnsi" w:cstheme="minorHAnsi"/>
          <w:sz w:val="24"/>
          <w:szCs w:val="24"/>
        </w:rPr>
        <w:t xml:space="preserve"> drain district, </w:t>
      </w:r>
      <w:r w:rsidRPr="005B11D4">
        <w:rPr>
          <w:rFonts w:asciiTheme="minorHAnsi" w:hAnsiTheme="minorHAnsi" w:cstheme="minorHAnsi"/>
          <w:sz w:val="24"/>
          <w:szCs w:val="24"/>
        </w:rPr>
        <w:t>authority,</w:t>
      </w:r>
      <w:r w:rsidR="00F91B63" w:rsidRPr="005B11D4">
        <w:rPr>
          <w:rFonts w:asciiTheme="minorHAnsi" w:hAnsiTheme="minorHAnsi" w:cstheme="minorHAnsi"/>
          <w:sz w:val="24"/>
          <w:szCs w:val="24"/>
        </w:rPr>
        <w:t xml:space="preserve"> library,</w:t>
      </w:r>
      <w:r w:rsidRPr="005B11D4">
        <w:rPr>
          <w:rFonts w:asciiTheme="minorHAnsi" w:hAnsiTheme="minorHAnsi" w:cstheme="minorHAnsi"/>
          <w:sz w:val="24"/>
          <w:szCs w:val="24"/>
        </w:rPr>
        <w:t xml:space="preserve"> hospital finance </w:t>
      </w:r>
      <w:r w:rsidR="00F91B63" w:rsidRPr="005B11D4">
        <w:rPr>
          <w:rFonts w:asciiTheme="minorHAnsi" w:hAnsiTheme="minorHAnsi" w:cstheme="minorHAnsi"/>
          <w:sz w:val="24"/>
          <w:szCs w:val="24"/>
        </w:rPr>
        <w:t>authority</w:t>
      </w:r>
      <w:r w:rsidRPr="005B11D4">
        <w:rPr>
          <w:rFonts w:asciiTheme="minorHAnsi" w:hAnsiTheme="minorHAnsi" w:cstheme="minorHAnsi"/>
          <w:sz w:val="24"/>
          <w:szCs w:val="24"/>
        </w:rPr>
        <w:t xml:space="preserve"> employee or elected official, select Local Unit. If you are an employee of a school district, public school academy, intermediate school district or community college, select School. An “Instruction” link is available as you complete the new user request should you need it.</w:t>
      </w:r>
    </w:p>
    <w:p w14:paraId="08DB6D87" w14:textId="77777777" w:rsidR="00A55EAA" w:rsidRPr="00A00517" w:rsidRDefault="00A55EAA" w:rsidP="002608DD">
      <w:pPr>
        <w:pStyle w:val="ListParagraph"/>
        <w:widowControl/>
        <w:autoSpaceDE/>
        <w:autoSpaceDN/>
        <w:ind w:left="1440"/>
        <w:contextualSpacing/>
        <w:rPr>
          <w:rFonts w:asciiTheme="minorHAnsi" w:hAnsiTheme="minorHAnsi" w:cstheme="minorHAnsi"/>
          <w:sz w:val="20"/>
          <w:szCs w:val="20"/>
        </w:rPr>
      </w:pPr>
    </w:p>
    <w:p w14:paraId="650594EE" w14:textId="7BE7B067" w:rsidR="00A55EAA" w:rsidRPr="005B11D4" w:rsidRDefault="00A55EAA" w:rsidP="002608DD">
      <w:pPr>
        <w:pStyle w:val="ListParagraph"/>
        <w:widowControl/>
        <w:numPr>
          <w:ilvl w:val="0"/>
          <w:numId w:val="3"/>
        </w:numPr>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Once </w:t>
      </w:r>
      <w:r w:rsidR="00F6058F">
        <w:rPr>
          <w:rFonts w:asciiTheme="minorHAnsi" w:hAnsiTheme="minorHAnsi" w:cstheme="minorHAnsi"/>
          <w:sz w:val="24"/>
          <w:szCs w:val="24"/>
        </w:rPr>
        <w:t>you have</w:t>
      </w:r>
      <w:r w:rsidR="00F6058F" w:rsidRPr="005B11D4">
        <w:rPr>
          <w:rFonts w:asciiTheme="minorHAnsi" w:hAnsiTheme="minorHAnsi" w:cstheme="minorHAnsi"/>
          <w:sz w:val="24"/>
          <w:szCs w:val="24"/>
        </w:rPr>
        <w:t xml:space="preserve"> </w:t>
      </w:r>
      <w:r w:rsidRPr="005B11D4">
        <w:rPr>
          <w:rFonts w:asciiTheme="minorHAnsi" w:hAnsiTheme="minorHAnsi" w:cstheme="minorHAnsi"/>
          <w:sz w:val="24"/>
          <w:szCs w:val="24"/>
        </w:rPr>
        <w:t>submitted the request for access, you will receive an email with a temporary password. Enter your UserID and temporary password into the login page. You will then be required to immediately change passwords from the temporary one to one you choose.</w:t>
      </w:r>
    </w:p>
    <w:p w14:paraId="222F53D7" w14:textId="77777777" w:rsidR="00A55EAA" w:rsidRPr="00A00517" w:rsidRDefault="00A55EAA" w:rsidP="002608DD">
      <w:pPr>
        <w:pStyle w:val="ListParagraph"/>
        <w:widowControl/>
        <w:autoSpaceDE/>
        <w:autoSpaceDN/>
        <w:ind w:left="1440" w:right="830"/>
        <w:contextualSpacing/>
        <w:rPr>
          <w:rFonts w:asciiTheme="minorHAnsi" w:hAnsiTheme="minorHAnsi" w:cstheme="minorHAnsi"/>
          <w:sz w:val="20"/>
          <w:szCs w:val="20"/>
        </w:rPr>
      </w:pPr>
    </w:p>
    <w:p w14:paraId="0CB02FBB" w14:textId="77777777" w:rsidR="00A55EAA" w:rsidRPr="005B11D4" w:rsidRDefault="00A55EAA" w:rsidP="002608DD">
      <w:pPr>
        <w:pStyle w:val="ListParagraph"/>
        <w:widowControl/>
        <w:numPr>
          <w:ilvl w:val="0"/>
          <w:numId w:val="3"/>
        </w:numPr>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If, in the future, you forget your password, click the “Forgot Password” link to receive a temporary password and follow the instructions on the page.</w:t>
      </w:r>
    </w:p>
    <w:p w14:paraId="5E23DD7E" w14:textId="77777777" w:rsidR="00A55EAA" w:rsidRPr="00A00517" w:rsidRDefault="00A55EAA" w:rsidP="002608DD">
      <w:pPr>
        <w:pStyle w:val="ListParagraph"/>
        <w:widowControl/>
        <w:autoSpaceDE/>
        <w:autoSpaceDN/>
        <w:ind w:left="1440" w:right="830"/>
        <w:contextualSpacing/>
        <w:rPr>
          <w:rFonts w:asciiTheme="minorHAnsi" w:hAnsiTheme="minorHAnsi" w:cstheme="minorHAnsi"/>
          <w:sz w:val="20"/>
          <w:szCs w:val="20"/>
        </w:rPr>
      </w:pPr>
    </w:p>
    <w:p w14:paraId="20F50C55" w14:textId="1C5D99E8" w:rsidR="00A55EAA" w:rsidRPr="005B11D4" w:rsidRDefault="00A55EAA" w:rsidP="002608DD">
      <w:pPr>
        <w:pStyle w:val="ListParagraph"/>
        <w:widowControl/>
        <w:numPr>
          <w:ilvl w:val="0"/>
          <w:numId w:val="3"/>
        </w:numPr>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If you have forgotten both your UserID and your Password, email </w:t>
      </w:r>
      <w:r w:rsidR="000866FB" w:rsidRPr="005B11D4">
        <w:rPr>
          <w:rFonts w:asciiTheme="minorHAnsi" w:hAnsiTheme="minorHAnsi" w:cstheme="minorHAnsi"/>
          <w:sz w:val="24"/>
          <w:szCs w:val="24"/>
        </w:rPr>
        <w:t>Treasury</w:t>
      </w:r>
      <w:r w:rsidRPr="005B11D4">
        <w:rPr>
          <w:rFonts w:asciiTheme="minorHAnsi" w:hAnsiTheme="minorHAnsi" w:cstheme="minorHAnsi"/>
          <w:sz w:val="24"/>
          <w:szCs w:val="24"/>
        </w:rPr>
        <w:t xml:space="preserve"> at </w:t>
      </w:r>
      <w:hyperlink r:id="rId13" w:history="1">
        <w:r w:rsidR="00B93C33" w:rsidRPr="005B11D4">
          <w:rPr>
            <w:rStyle w:val="Hyperlink"/>
            <w:rFonts w:asciiTheme="minorHAnsi" w:hAnsiTheme="minorHAnsi" w:cstheme="minorHAnsi"/>
            <w:color w:val="auto"/>
            <w:sz w:val="24"/>
            <w:szCs w:val="24"/>
            <w:u w:val="none"/>
          </w:rPr>
          <w:t>TreasLocalGov@michigan.gov</w:t>
        </w:r>
      </w:hyperlink>
      <w:r w:rsidR="00B93C33" w:rsidRPr="005B11D4">
        <w:rPr>
          <w:rFonts w:asciiTheme="minorHAnsi" w:hAnsiTheme="minorHAnsi" w:cstheme="minorHAnsi"/>
          <w:sz w:val="24"/>
          <w:szCs w:val="24"/>
        </w:rPr>
        <w:t xml:space="preserve"> </w:t>
      </w:r>
      <w:r w:rsidRPr="005B11D4">
        <w:rPr>
          <w:rFonts w:asciiTheme="minorHAnsi" w:hAnsiTheme="minorHAnsi" w:cstheme="minorHAnsi"/>
          <w:sz w:val="24"/>
          <w:szCs w:val="24"/>
        </w:rPr>
        <w:t>with the subject “Forgot User</w:t>
      </w:r>
      <w:r w:rsidR="00B93C33" w:rsidRPr="005B11D4">
        <w:rPr>
          <w:rFonts w:asciiTheme="minorHAnsi" w:hAnsiTheme="minorHAnsi" w:cstheme="minorHAnsi"/>
          <w:sz w:val="24"/>
          <w:szCs w:val="24"/>
        </w:rPr>
        <w:t xml:space="preserve"> </w:t>
      </w:r>
      <w:r w:rsidRPr="005B11D4">
        <w:rPr>
          <w:rFonts w:asciiTheme="minorHAnsi" w:hAnsiTheme="minorHAnsi" w:cstheme="minorHAnsi"/>
          <w:sz w:val="24"/>
          <w:szCs w:val="24"/>
        </w:rPr>
        <w:t xml:space="preserve">ID and Password.” </w:t>
      </w:r>
    </w:p>
    <w:p w14:paraId="73E6DF62" w14:textId="77777777" w:rsidR="00A55EAA" w:rsidRPr="00A00517" w:rsidRDefault="00A55EAA" w:rsidP="002608DD">
      <w:pPr>
        <w:pStyle w:val="ListParagraph"/>
        <w:widowControl/>
        <w:autoSpaceDE/>
        <w:autoSpaceDN/>
        <w:ind w:left="1440" w:right="830"/>
        <w:contextualSpacing/>
        <w:rPr>
          <w:rFonts w:asciiTheme="minorHAnsi" w:hAnsiTheme="minorHAnsi" w:cstheme="minorHAnsi"/>
          <w:sz w:val="20"/>
          <w:szCs w:val="20"/>
        </w:rPr>
      </w:pPr>
    </w:p>
    <w:p w14:paraId="7B14AFE1" w14:textId="77777777" w:rsidR="00A55EAA" w:rsidRPr="005B11D4" w:rsidRDefault="00A55EAA" w:rsidP="002608DD">
      <w:pPr>
        <w:pStyle w:val="ListParagraph"/>
        <w:widowControl/>
        <w:numPr>
          <w:ilvl w:val="0"/>
          <w:numId w:val="3"/>
        </w:numPr>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Once you login, you will be prompted to reset your password.</w:t>
      </w:r>
    </w:p>
    <w:p w14:paraId="6CB0C560" w14:textId="77777777" w:rsidR="00A55EAA" w:rsidRPr="00A00517" w:rsidRDefault="00A55EAA" w:rsidP="002608DD">
      <w:pPr>
        <w:spacing w:before="14"/>
        <w:ind w:right="830"/>
        <w:rPr>
          <w:rFonts w:asciiTheme="minorHAnsi" w:eastAsia="Times New Roman" w:hAnsiTheme="minorHAnsi" w:cstheme="minorHAnsi"/>
          <w:sz w:val="20"/>
          <w:szCs w:val="20"/>
        </w:rPr>
      </w:pPr>
    </w:p>
    <w:p w14:paraId="7A92F512" w14:textId="77777777" w:rsidR="00C55BF0" w:rsidRPr="00A00517" w:rsidRDefault="00C55BF0" w:rsidP="002608DD">
      <w:pPr>
        <w:spacing w:before="14"/>
        <w:ind w:right="830"/>
        <w:rPr>
          <w:rFonts w:asciiTheme="minorHAnsi" w:eastAsia="Times New Roman" w:hAnsiTheme="minorHAnsi" w:cstheme="minorHAnsi"/>
        </w:rPr>
      </w:pPr>
    </w:p>
    <w:p w14:paraId="26355D4E" w14:textId="0215A1A9" w:rsidR="008B1B24" w:rsidRDefault="0056433F" w:rsidP="002608DD">
      <w:pPr>
        <w:pStyle w:val="ListParagraph"/>
        <w:numPr>
          <w:ilvl w:val="0"/>
          <w:numId w:val="1"/>
        </w:numPr>
        <w:spacing w:before="14"/>
        <w:ind w:right="830"/>
        <w:rPr>
          <w:rFonts w:asciiTheme="minorHAnsi" w:eastAsia="Times New Roman" w:hAnsiTheme="minorHAnsi" w:cstheme="minorHAnsi"/>
          <w:b/>
          <w:bCs/>
          <w:sz w:val="28"/>
          <w:szCs w:val="28"/>
        </w:rPr>
      </w:pPr>
      <w:r w:rsidRPr="005B11D4">
        <w:rPr>
          <w:rFonts w:asciiTheme="minorHAnsi" w:eastAsia="Times New Roman" w:hAnsiTheme="minorHAnsi" w:cstheme="minorHAnsi"/>
          <w:b/>
          <w:bCs/>
          <w:sz w:val="28"/>
          <w:szCs w:val="28"/>
        </w:rPr>
        <w:t xml:space="preserve">How to file a Prior Approval </w:t>
      </w:r>
      <w:r w:rsidR="00755E0C" w:rsidRPr="005B11D4">
        <w:rPr>
          <w:rFonts w:asciiTheme="minorHAnsi" w:eastAsia="Times New Roman" w:hAnsiTheme="minorHAnsi" w:cstheme="minorHAnsi"/>
          <w:b/>
          <w:bCs/>
          <w:sz w:val="28"/>
          <w:szCs w:val="28"/>
        </w:rPr>
        <w:t>Application</w:t>
      </w:r>
    </w:p>
    <w:p w14:paraId="55AF7FB6" w14:textId="77777777" w:rsidR="00C55BF0" w:rsidRPr="00A00517" w:rsidRDefault="00C55BF0" w:rsidP="002608DD">
      <w:pPr>
        <w:pStyle w:val="ListParagraph"/>
        <w:spacing w:before="14"/>
        <w:ind w:left="1080" w:right="830"/>
        <w:rPr>
          <w:rFonts w:asciiTheme="minorHAnsi" w:eastAsia="Times New Roman" w:hAnsiTheme="minorHAnsi" w:cstheme="minorHAnsi"/>
          <w:b/>
          <w:bCs/>
          <w:sz w:val="20"/>
          <w:szCs w:val="20"/>
        </w:rPr>
      </w:pPr>
    </w:p>
    <w:p w14:paraId="2C23CE18" w14:textId="60D58C27" w:rsidR="008B1B24" w:rsidRPr="005B11D4" w:rsidRDefault="008B1B24"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Treasury highly recommends the use of a </w:t>
      </w:r>
      <w:r w:rsidR="00F91B63" w:rsidRPr="005B11D4">
        <w:rPr>
          <w:rFonts w:asciiTheme="minorHAnsi" w:hAnsiTheme="minorHAnsi" w:cstheme="minorHAnsi"/>
          <w:sz w:val="24"/>
          <w:szCs w:val="24"/>
        </w:rPr>
        <w:t>municipal</w:t>
      </w:r>
      <w:r w:rsidRPr="005B11D4">
        <w:rPr>
          <w:rFonts w:asciiTheme="minorHAnsi" w:hAnsiTheme="minorHAnsi" w:cstheme="minorHAnsi"/>
          <w:sz w:val="24"/>
          <w:szCs w:val="24"/>
        </w:rPr>
        <w:t xml:space="preserve"> advisor</w:t>
      </w:r>
      <w:r w:rsidR="0028518B" w:rsidRPr="005B11D4">
        <w:rPr>
          <w:rFonts w:asciiTheme="minorHAnsi" w:hAnsiTheme="minorHAnsi" w:cstheme="minorHAnsi"/>
          <w:sz w:val="24"/>
          <w:szCs w:val="24"/>
        </w:rPr>
        <w:t xml:space="preserve"> (MSRB Series 50)</w:t>
      </w:r>
      <w:r w:rsidRPr="005B11D4">
        <w:rPr>
          <w:rFonts w:asciiTheme="minorHAnsi" w:hAnsiTheme="minorHAnsi" w:cstheme="minorHAnsi"/>
          <w:sz w:val="24"/>
          <w:szCs w:val="24"/>
        </w:rPr>
        <w:t xml:space="preserve"> and bond counsel for all municipal security issuances, including but not limited to the preparation of Prior Approval Applications and Security Reports (Form 3892).</w:t>
      </w:r>
    </w:p>
    <w:p w14:paraId="5F330764" w14:textId="77777777" w:rsidR="008C5117" w:rsidRPr="00A00517" w:rsidRDefault="008C5117" w:rsidP="002608DD">
      <w:pPr>
        <w:pStyle w:val="ListParagraph"/>
        <w:widowControl/>
        <w:autoSpaceDE/>
        <w:autoSpaceDN/>
        <w:spacing w:after="200"/>
        <w:ind w:left="1440" w:right="830"/>
        <w:contextualSpacing/>
        <w:rPr>
          <w:rFonts w:asciiTheme="minorHAnsi" w:hAnsiTheme="minorHAnsi" w:cstheme="minorHAnsi"/>
          <w:sz w:val="20"/>
          <w:szCs w:val="20"/>
        </w:rPr>
      </w:pPr>
    </w:p>
    <w:p w14:paraId="021C9EFA" w14:textId="7807BED2" w:rsidR="00A55EAA" w:rsidRPr="005B11D4" w:rsidRDefault="00A55EAA"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Once you have successfully logged in you will be taken to the Form Submission page. Select the county of the municipality for which you are filing and the municipality type from the drop-down lists provided. Then select the municipality. Select the form you wish to complete.</w:t>
      </w:r>
      <w:r w:rsidR="0073607C" w:rsidRPr="005B11D4">
        <w:rPr>
          <w:rFonts w:asciiTheme="minorHAnsi" w:hAnsiTheme="minorHAnsi" w:cstheme="minorHAnsi"/>
          <w:sz w:val="24"/>
          <w:szCs w:val="24"/>
        </w:rPr>
        <w:t xml:space="preserve"> </w:t>
      </w:r>
      <w:r w:rsidR="00001366" w:rsidRPr="005B11D4">
        <w:rPr>
          <w:rFonts w:asciiTheme="minorHAnsi" w:hAnsiTheme="minorHAnsi" w:cstheme="minorHAnsi"/>
          <w:sz w:val="24"/>
          <w:szCs w:val="24"/>
        </w:rPr>
        <w:t>The forms are in the drop-down list as “Long Term Prior Approval,” “Short Term Prior Approval,” and “Exemption.”</w:t>
      </w:r>
      <w:r w:rsidRPr="005B11D4">
        <w:rPr>
          <w:rFonts w:asciiTheme="minorHAnsi" w:hAnsiTheme="minorHAnsi" w:cstheme="minorHAnsi"/>
          <w:sz w:val="24"/>
          <w:szCs w:val="24"/>
        </w:rPr>
        <w:t xml:space="preserve"> For security reasons, the system will “time out” after a period of inactivity; however, your data will no longer be cleared from the form due to our autosave feature.</w:t>
      </w:r>
    </w:p>
    <w:p w14:paraId="3A0E0496" w14:textId="77777777" w:rsidR="00A55EAA" w:rsidRPr="00A00517" w:rsidRDefault="00A55EAA" w:rsidP="002608DD">
      <w:pPr>
        <w:pStyle w:val="ListParagraph"/>
        <w:widowControl/>
        <w:autoSpaceDE/>
        <w:autoSpaceDN/>
        <w:spacing w:after="200"/>
        <w:ind w:left="1440" w:right="830"/>
        <w:contextualSpacing/>
        <w:rPr>
          <w:rFonts w:asciiTheme="minorHAnsi" w:hAnsiTheme="minorHAnsi" w:cstheme="minorHAnsi"/>
          <w:sz w:val="20"/>
          <w:szCs w:val="20"/>
        </w:rPr>
      </w:pPr>
      <w:bookmarkStart w:id="2" w:name="_Hlk95400653"/>
    </w:p>
    <w:bookmarkEnd w:id="2"/>
    <w:p w14:paraId="46D2CC87" w14:textId="02674819" w:rsidR="00A55EAA" w:rsidRPr="005B11D4" w:rsidRDefault="00A55EAA"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Click on “Create Form.”</w:t>
      </w:r>
      <w:r w:rsidR="006E367F">
        <w:rPr>
          <w:rFonts w:asciiTheme="minorHAnsi" w:hAnsiTheme="minorHAnsi" w:cstheme="minorHAnsi"/>
          <w:sz w:val="24"/>
          <w:szCs w:val="24"/>
        </w:rPr>
        <w:t xml:space="preserve"> </w:t>
      </w:r>
      <w:r w:rsidRPr="005B11D4">
        <w:rPr>
          <w:rFonts w:asciiTheme="minorHAnsi" w:hAnsiTheme="minorHAnsi" w:cstheme="minorHAnsi"/>
          <w:sz w:val="24"/>
          <w:szCs w:val="24"/>
        </w:rPr>
        <w:t xml:space="preserve">This will generate the form you want to file. </w:t>
      </w:r>
    </w:p>
    <w:p w14:paraId="4938450D" w14:textId="77777777" w:rsidR="008E7887" w:rsidRPr="00A00517" w:rsidRDefault="008E7887" w:rsidP="002608DD">
      <w:pPr>
        <w:pStyle w:val="ListParagraph"/>
        <w:ind w:right="830"/>
        <w:rPr>
          <w:rFonts w:asciiTheme="minorHAnsi" w:hAnsiTheme="minorHAnsi" w:cstheme="minorHAnsi"/>
          <w:sz w:val="20"/>
          <w:szCs w:val="20"/>
        </w:rPr>
      </w:pPr>
    </w:p>
    <w:p w14:paraId="1A18EC91" w14:textId="603DCBA9" w:rsidR="008E7887" w:rsidRPr="005B11D4" w:rsidRDefault="008E7887" w:rsidP="002608DD">
      <w:pPr>
        <w:pStyle w:val="ListParagraph"/>
        <w:widowControl/>
        <w:numPr>
          <w:ilvl w:val="0"/>
          <w:numId w:val="8"/>
        </w:numPr>
        <w:autoSpaceDE/>
        <w:autoSpaceDN/>
        <w:spacing w:after="200"/>
        <w:ind w:right="830"/>
        <w:contextualSpacing/>
        <w:rPr>
          <w:rFonts w:asciiTheme="minorHAnsi" w:hAnsiTheme="minorHAnsi" w:cstheme="minorBidi"/>
          <w:sz w:val="24"/>
          <w:szCs w:val="24"/>
        </w:rPr>
      </w:pPr>
      <w:r w:rsidRPr="005B11D4">
        <w:rPr>
          <w:rFonts w:asciiTheme="minorHAnsi" w:hAnsiTheme="minorHAnsi" w:cstheme="minorBidi"/>
          <w:sz w:val="24"/>
          <w:szCs w:val="24"/>
        </w:rPr>
        <w:t xml:space="preserve">Specific form instructions can be found at </w:t>
      </w:r>
      <w:hyperlink r:id="rId14" w:history="1">
        <w:r w:rsidRPr="007227BC">
          <w:rPr>
            <w:rStyle w:val="Hyperlink"/>
            <w:rFonts w:asciiTheme="minorHAnsi" w:eastAsiaTheme="minorHAnsi" w:hAnsiTheme="minorHAnsi" w:cstheme="minorBidi"/>
            <w:sz w:val="24"/>
            <w:szCs w:val="24"/>
            <w:u w:val="none"/>
            <w:lang w:bidi="ar-SA"/>
          </w:rPr>
          <w:t>Michigan.gov/MunicipalFinance</w:t>
        </w:r>
      </w:hyperlink>
      <w:r w:rsidRPr="00F6058F">
        <w:rPr>
          <w:rFonts w:asciiTheme="minorHAnsi" w:hAnsiTheme="minorHAnsi" w:cstheme="minorBidi"/>
          <w:sz w:val="24"/>
          <w:szCs w:val="24"/>
        </w:rPr>
        <w:t>.</w:t>
      </w:r>
      <w:r w:rsidRPr="005B11D4">
        <w:rPr>
          <w:rFonts w:asciiTheme="minorHAnsi" w:hAnsiTheme="minorHAnsi" w:cstheme="minorBidi"/>
          <w:sz w:val="24"/>
          <w:szCs w:val="24"/>
        </w:rPr>
        <w:t xml:space="preserve"> At the </w:t>
      </w:r>
      <w:r w:rsidR="009F08F2" w:rsidRPr="005B11D4">
        <w:rPr>
          <w:rFonts w:asciiTheme="minorHAnsi" w:hAnsiTheme="minorHAnsi" w:cstheme="minorBidi"/>
          <w:sz w:val="24"/>
          <w:szCs w:val="24"/>
        </w:rPr>
        <w:t>top</w:t>
      </w:r>
      <w:r w:rsidRPr="005B11D4">
        <w:rPr>
          <w:rFonts w:asciiTheme="minorHAnsi" w:hAnsiTheme="minorHAnsi" w:cstheme="minorBidi"/>
          <w:sz w:val="24"/>
          <w:szCs w:val="24"/>
        </w:rPr>
        <w:t xml:space="preserve"> of the page </w:t>
      </w:r>
      <w:r w:rsidR="009F08F2" w:rsidRPr="005B11D4">
        <w:rPr>
          <w:rFonts w:asciiTheme="minorHAnsi" w:hAnsiTheme="minorHAnsi" w:cstheme="minorBidi"/>
          <w:sz w:val="24"/>
          <w:szCs w:val="24"/>
        </w:rPr>
        <w:t>click on “Forms and Instructions</w:t>
      </w:r>
      <w:r w:rsidRPr="005B11D4">
        <w:rPr>
          <w:rFonts w:asciiTheme="minorHAnsi" w:hAnsiTheme="minorHAnsi" w:cstheme="minorBidi"/>
          <w:sz w:val="24"/>
          <w:szCs w:val="24"/>
        </w:rPr>
        <w:t>.”</w:t>
      </w:r>
    </w:p>
    <w:p w14:paraId="1FFD2F50" w14:textId="77777777" w:rsidR="00A55EAA" w:rsidRPr="00A00517" w:rsidRDefault="00A55EAA" w:rsidP="002608DD">
      <w:pPr>
        <w:pStyle w:val="ListParagraph"/>
        <w:widowControl/>
        <w:autoSpaceDE/>
        <w:autoSpaceDN/>
        <w:spacing w:after="200"/>
        <w:ind w:left="1440" w:right="830"/>
        <w:contextualSpacing/>
        <w:rPr>
          <w:rFonts w:asciiTheme="minorHAnsi" w:hAnsiTheme="minorHAnsi" w:cstheme="minorHAnsi"/>
          <w:sz w:val="20"/>
          <w:szCs w:val="20"/>
        </w:rPr>
      </w:pPr>
    </w:p>
    <w:p w14:paraId="4F0CC27D" w14:textId="48A14F96" w:rsidR="00A55EAA" w:rsidRPr="005B11D4" w:rsidRDefault="00A55EAA"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All required questions on the </w:t>
      </w:r>
      <w:r w:rsidR="00381711" w:rsidRPr="005B11D4">
        <w:rPr>
          <w:rFonts w:asciiTheme="minorHAnsi" w:hAnsiTheme="minorHAnsi" w:cstheme="minorHAnsi"/>
          <w:sz w:val="24"/>
          <w:szCs w:val="24"/>
        </w:rPr>
        <w:t>applications</w:t>
      </w:r>
      <w:r w:rsidRPr="005B11D4">
        <w:rPr>
          <w:rFonts w:asciiTheme="minorHAnsi" w:hAnsiTheme="minorHAnsi" w:cstheme="minorHAnsi"/>
          <w:sz w:val="24"/>
          <w:szCs w:val="24"/>
        </w:rPr>
        <w:t xml:space="preserve"> are noted with a red asterisk and must be completed to submit the</w:t>
      </w:r>
      <w:r w:rsidR="00E615BA" w:rsidRPr="005B11D4">
        <w:rPr>
          <w:rFonts w:asciiTheme="minorHAnsi" w:hAnsiTheme="minorHAnsi" w:cstheme="minorHAnsi"/>
          <w:sz w:val="24"/>
          <w:szCs w:val="24"/>
        </w:rPr>
        <w:t xml:space="preserve"> </w:t>
      </w:r>
      <w:r w:rsidR="00381711" w:rsidRPr="005B11D4">
        <w:rPr>
          <w:rFonts w:asciiTheme="minorHAnsi" w:hAnsiTheme="minorHAnsi" w:cstheme="minorHAnsi"/>
          <w:sz w:val="24"/>
          <w:szCs w:val="24"/>
        </w:rPr>
        <w:t>application</w:t>
      </w:r>
      <w:r w:rsidRPr="005B11D4">
        <w:rPr>
          <w:rFonts w:asciiTheme="minorHAnsi" w:hAnsiTheme="minorHAnsi" w:cstheme="minorHAnsi"/>
          <w:sz w:val="24"/>
          <w:szCs w:val="24"/>
        </w:rPr>
        <w:t>.</w:t>
      </w:r>
    </w:p>
    <w:p w14:paraId="6841F6AD" w14:textId="77777777" w:rsidR="00001366" w:rsidRPr="00A00517" w:rsidRDefault="00001366" w:rsidP="002608DD">
      <w:pPr>
        <w:pStyle w:val="ListParagraph"/>
        <w:ind w:right="830"/>
        <w:rPr>
          <w:rFonts w:asciiTheme="minorHAnsi" w:hAnsiTheme="minorHAnsi" w:cstheme="minorHAnsi"/>
          <w:sz w:val="20"/>
          <w:szCs w:val="20"/>
        </w:rPr>
      </w:pPr>
    </w:p>
    <w:p w14:paraId="23D55804" w14:textId="4B9F72EE" w:rsidR="00001366" w:rsidRPr="005B11D4" w:rsidRDefault="0056433F"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The </w:t>
      </w:r>
      <w:r w:rsidR="00790948" w:rsidRPr="005B11D4">
        <w:rPr>
          <w:rFonts w:asciiTheme="minorHAnsi" w:hAnsiTheme="minorHAnsi" w:cstheme="minorHAnsi"/>
          <w:sz w:val="24"/>
          <w:szCs w:val="24"/>
        </w:rPr>
        <w:t>application</w:t>
      </w:r>
      <w:r w:rsidR="00381711" w:rsidRPr="005B11D4">
        <w:rPr>
          <w:rFonts w:asciiTheme="minorHAnsi" w:hAnsiTheme="minorHAnsi" w:cstheme="minorHAnsi"/>
          <w:sz w:val="24"/>
          <w:szCs w:val="24"/>
        </w:rPr>
        <w:t>s</w:t>
      </w:r>
      <w:r w:rsidR="00790948" w:rsidRPr="005B11D4">
        <w:rPr>
          <w:rFonts w:asciiTheme="minorHAnsi" w:hAnsiTheme="minorHAnsi" w:cstheme="minorHAnsi"/>
          <w:sz w:val="24"/>
          <w:szCs w:val="24"/>
        </w:rPr>
        <w:t xml:space="preserve"> are in a dynamic format.</w:t>
      </w:r>
      <w:r w:rsidR="006E367F">
        <w:rPr>
          <w:rFonts w:asciiTheme="minorHAnsi" w:hAnsiTheme="minorHAnsi" w:cstheme="minorHAnsi"/>
          <w:sz w:val="24"/>
          <w:szCs w:val="24"/>
        </w:rPr>
        <w:t xml:space="preserve"> </w:t>
      </w:r>
      <w:r w:rsidR="00790948" w:rsidRPr="005B11D4">
        <w:rPr>
          <w:rFonts w:asciiTheme="minorHAnsi" w:hAnsiTheme="minorHAnsi" w:cstheme="minorHAnsi"/>
          <w:sz w:val="24"/>
          <w:szCs w:val="24"/>
        </w:rPr>
        <w:t>Static applications display a fixed layout that does not change, while dynamic applications display a layout that differs based on the user’s interactions.</w:t>
      </w:r>
      <w:r w:rsidR="006E367F">
        <w:rPr>
          <w:rFonts w:asciiTheme="minorHAnsi" w:hAnsiTheme="minorHAnsi" w:cstheme="minorHAnsi"/>
          <w:sz w:val="24"/>
          <w:szCs w:val="24"/>
        </w:rPr>
        <w:t xml:space="preserve"> </w:t>
      </w:r>
      <w:r w:rsidR="00790948" w:rsidRPr="005B11D4">
        <w:rPr>
          <w:rFonts w:asciiTheme="minorHAnsi" w:hAnsiTheme="minorHAnsi" w:cstheme="minorHAnsi"/>
          <w:sz w:val="24"/>
          <w:szCs w:val="24"/>
        </w:rPr>
        <w:t>The applications will display different questions based on the type of security applied for.</w:t>
      </w:r>
    </w:p>
    <w:p w14:paraId="787AFED7" w14:textId="77777777" w:rsidR="008E7887" w:rsidRPr="00A00517" w:rsidRDefault="008E7887" w:rsidP="002608DD">
      <w:pPr>
        <w:pStyle w:val="ListParagraph"/>
        <w:rPr>
          <w:rFonts w:asciiTheme="minorHAnsi" w:hAnsiTheme="minorHAnsi" w:cstheme="minorHAnsi"/>
          <w:sz w:val="20"/>
          <w:szCs w:val="20"/>
        </w:rPr>
      </w:pPr>
    </w:p>
    <w:p w14:paraId="75729966" w14:textId="3F08F724" w:rsidR="00B13861" w:rsidRPr="005B11D4" w:rsidRDefault="008E7887"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Supporting documentation will be required to be uploaded depending on how certain questions are answered. All files must be in .pdf format.</w:t>
      </w:r>
      <w:r w:rsidR="006E367F">
        <w:rPr>
          <w:rFonts w:asciiTheme="minorHAnsi" w:hAnsiTheme="minorHAnsi" w:cstheme="minorHAnsi"/>
          <w:sz w:val="24"/>
          <w:szCs w:val="24"/>
        </w:rPr>
        <w:t xml:space="preserve"> </w:t>
      </w:r>
      <w:r w:rsidR="00B13861" w:rsidRPr="005B11D4">
        <w:rPr>
          <w:rFonts w:asciiTheme="minorHAnsi" w:hAnsiTheme="minorHAnsi" w:cstheme="minorHAnsi"/>
          <w:sz w:val="24"/>
          <w:szCs w:val="24"/>
        </w:rPr>
        <w:t>Supporting documentation may include but is not limited to the following:</w:t>
      </w:r>
    </w:p>
    <w:p w14:paraId="6C4496D9" w14:textId="77777777" w:rsidR="00B13861" w:rsidRPr="005B11D4" w:rsidRDefault="00B13861" w:rsidP="002608DD">
      <w:pPr>
        <w:pStyle w:val="ListParagraph"/>
        <w:ind w:right="830"/>
        <w:rPr>
          <w:rFonts w:asciiTheme="minorHAnsi" w:hAnsiTheme="minorHAnsi" w:cstheme="minorHAnsi"/>
          <w:sz w:val="24"/>
          <w:szCs w:val="24"/>
        </w:rPr>
      </w:pPr>
    </w:p>
    <w:p w14:paraId="33695DEA" w14:textId="7182C50C" w:rsidR="00B13861" w:rsidRPr="005B11D4" w:rsidRDefault="00B13861" w:rsidP="002608DD">
      <w:pPr>
        <w:pStyle w:val="ListParagraph"/>
        <w:widowControl/>
        <w:numPr>
          <w:ilvl w:val="1"/>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Authorizing resolution adopted by the governing body</w:t>
      </w:r>
    </w:p>
    <w:p w14:paraId="45C607A2" w14:textId="11309034" w:rsidR="00B13861" w:rsidRPr="005B11D4" w:rsidRDefault="00B13861" w:rsidP="002608DD">
      <w:pPr>
        <w:pStyle w:val="ListParagraph"/>
        <w:widowControl/>
        <w:numPr>
          <w:ilvl w:val="1"/>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Maturity schedule</w:t>
      </w:r>
    </w:p>
    <w:p w14:paraId="427F9351" w14:textId="78523F5A" w:rsidR="00B13861" w:rsidRPr="005B11D4" w:rsidRDefault="00B13861" w:rsidP="002608DD">
      <w:pPr>
        <w:pStyle w:val="ListParagraph"/>
        <w:widowControl/>
        <w:numPr>
          <w:ilvl w:val="1"/>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Cash flow statement</w:t>
      </w:r>
    </w:p>
    <w:p w14:paraId="0299F073" w14:textId="510CC771" w:rsidR="00B13861" w:rsidRPr="005B11D4" w:rsidRDefault="00B13861" w:rsidP="002608DD">
      <w:pPr>
        <w:pStyle w:val="ListParagraph"/>
        <w:widowControl/>
        <w:numPr>
          <w:ilvl w:val="1"/>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Notarized proofs of call or waiver of notice</w:t>
      </w:r>
    </w:p>
    <w:p w14:paraId="6E0827F3" w14:textId="2991C6E3" w:rsidR="00B13861" w:rsidRPr="005B11D4" w:rsidRDefault="00B13861" w:rsidP="002608DD">
      <w:pPr>
        <w:pStyle w:val="ListParagraph"/>
        <w:widowControl/>
        <w:numPr>
          <w:ilvl w:val="1"/>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Compliance letter</w:t>
      </w:r>
    </w:p>
    <w:p w14:paraId="69F83D90" w14:textId="72DBA64F" w:rsidR="00B13861" w:rsidRPr="005B11D4" w:rsidRDefault="00B13861" w:rsidP="002608DD">
      <w:pPr>
        <w:pStyle w:val="ListParagraph"/>
        <w:widowControl/>
        <w:numPr>
          <w:ilvl w:val="1"/>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Draft investment certificate</w:t>
      </w:r>
    </w:p>
    <w:p w14:paraId="7AA0F591" w14:textId="4949D3F6" w:rsidR="00B13861" w:rsidRPr="005B11D4" w:rsidRDefault="00B13861" w:rsidP="002608DD">
      <w:pPr>
        <w:pStyle w:val="ListParagraph"/>
        <w:widowControl/>
        <w:numPr>
          <w:ilvl w:val="1"/>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Calculation of discount rate</w:t>
      </w:r>
    </w:p>
    <w:p w14:paraId="51536DD3" w14:textId="4899C54E" w:rsidR="00B13861" w:rsidRPr="005B11D4" w:rsidRDefault="00B13861" w:rsidP="002608DD">
      <w:pPr>
        <w:pStyle w:val="ListParagraph"/>
        <w:widowControl/>
        <w:numPr>
          <w:ilvl w:val="1"/>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Net present value analysis</w:t>
      </w:r>
    </w:p>
    <w:p w14:paraId="68568B1E" w14:textId="77777777" w:rsidR="000B7CF5" w:rsidRPr="00A00517" w:rsidRDefault="000B7CF5" w:rsidP="002608DD">
      <w:pPr>
        <w:pStyle w:val="ListParagraph"/>
        <w:ind w:right="830"/>
        <w:rPr>
          <w:rFonts w:asciiTheme="minorHAnsi" w:hAnsiTheme="minorHAnsi" w:cstheme="minorHAnsi"/>
          <w:sz w:val="20"/>
          <w:szCs w:val="20"/>
        </w:rPr>
      </w:pPr>
    </w:p>
    <w:p w14:paraId="74B895C5" w14:textId="4C618B63" w:rsidR="000B7CF5" w:rsidRPr="005B11D4" w:rsidRDefault="000B7CF5"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A payment voucher is provided with instructions to submit the filing fee. The voucher and payment are the only part of the application that will be accepted via the United States Postal Service.</w:t>
      </w:r>
    </w:p>
    <w:p w14:paraId="71B0619F" w14:textId="77777777" w:rsidR="005B7DB2" w:rsidRPr="00A00517" w:rsidRDefault="005B7DB2" w:rsidP="002608DD">
      <w:pPr>
        <w:pStyle w:val="ListParagraph"/>
        <w:ind w:right="830"/>
        <w:rPr>
          <w:rFonts w:asciiTheme="minorHAnsi" w:hAnsiTheme="minorHAnsi" w:cstheme="minorHAnsi"/>
          <w:sz w:val="20"/>
          <w:szCs w:val="20"/>
        </w:rPr>
      </w:pPr>
    </w:p>
    <w:p w14:paraId="15EF8C55" w14:textId="64C31C1A" w:rsidR="005B7DB2" w:rsidRPr="005B11D4" w:rsidRDefault="005B7DB2"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It has been the policy of Treasury that the Chief Administrative Officer (CAO) is the person to certify the Prior Approval Application.</w:t>
      </w:r>
      <w:r w:rsidR="006E367F">
        <w:rPr>
          <w:rFonts w:asciiTheme="minorHAnsi" w:hAnsiTheme="minorHAnsi" w:cstheme="minorHAnsi"/>
          <w:sz w:val="24"/>
          <w:szCs w:val="24"/>
        </w:rPr>
        <w:t xml:space="preserve"> </w:t>
      </w:r>
      <w:r w:rsidRPr="005B11D4">
        <w:rPr>
          <w:rFonts w:asciiTheme="minorHAnsi" w:hAnsiTheme="minorHAnsi" w:cstheme="minorHAnsi"/>
          <w:sz w:val="24"/>
          <w:szCs w:val="24"/>
        </w:rPr>
        <w:t>Treasury also allows that responsibility to be designated to a different individual.</w:t>
      </w:r>
      <w:r w:rsidR="006E367F">
        <w:rPr>
          <w:rFonts w:asciiTheme="minorHAnsi" w:hAnsiTheme="minorHAnsi" w:cstheme="minorHAnsi"/>
          <w:sz w:val="24"/>
          <w:szCs w:val="24"/>
        </w:rPr>
        <w:t xml:space="preserve"> </w:t>
      </w:r>
      <w:r w:rsidRPr="005B11D4">
        <w:rPr>
          <w:rFonts w:asciiTheme="minorHAnsi" w:hAnsiTheme="minorHAnsi" w:cstheme="minorHAnsi"/>
          <w:sz w:val="24"/>
          <w:szCs w:val="24"/>
        </w:rPr>
        <w:t>The individual filing must certify that the CAO is aware of the information included in the filings and has asserted that it is complete and accurate in all respects.</w:t>
      </w:r>
      <w:r w:rsidR="006E367F">
        <w:rPr>
          <w:rFonts w:asciiTheme="minorHAnsi" w:hAnsiTheme="minorHAnsi" w:cstheme="minorHAnsi"/>
          <w:sz w:val="24"/>
          <w:szCs w:val="24"/>
        </w:rPr>
        <w:t xml:space="preserve">  </w:t>
      </w:r>
    </w:p>
    <w:p w14:paraId="77607074" w14:textId="77777777" w:rsidR="004916C3" w:rsidRPr="00A00517" w:rsidRDefault="004916C3" w:rsidP="002608DD">
      <w:pPr>
        <w:pStyle w:val="ListParagraph"/>
        <w:rPr>
          <w:rFonts w:asciiTheme="minorHAnsi" w:hAnsiTheme="minorHAnsi" w:cstheme="minorHAnsi"/>
          <w:sz w:val="20"/>
          <w:szCs w:val="20"/>
        </w:rPr>
      </w:pPr>
    </w:p>
    <w:p w14:paraId="5062A819" w14:textId="4854CDB8" w:rsidR="000B7CF5" w:rsidRPr="005B11D4" w:rsidRDefault="004916C3"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Providing false information on a Prior Approval Application is a misdemeanor pursuant to the Michigan Penal Code (MCL 750.489).</w:t>
      </w:r>
    </w:p>
    <w:p w14:paraId="50174FE7" w14:textId="77777777" w:rsidR="000B7CF5" w:rsidRPr="00A00517" w:rsidRDefault="000B7CF5" w:rsidP="002608DD">
      <w:pPr>
        <w:pStyle w:val="ListParagraph"/>
        <w:ind w:right="830"/>
        <w:rPr>
          <w:sz w:val="18"/>
          <w:szCs w:val="18"/>
        </w:rPr>
      </w:pPr>
    </w:p>
    <w:p w14:paraId="2DDC9068" w14:textId="7CA5FFDF" w:rsidR="00A55EAA" w:rsidRPr="005B11D4" w:rsidRDefault="00A55EAA" w:rsidP="002608DD">
      <w:pPr>
        <w:pStyle w:val="ListParagraph"/>
        <w:widowControl/>
        <w:numPr>
          <w:ilvl w:val="0"/>
          <w:numId w:val="8"/>
        </w:numPr>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Upon successful submission, the </w:t>
      </w:r>
      <w:r w:rsidR="00B51FA8" w:rsidRPr="005B11D4">
        <w:rPr>
          <w:rFonts w:asciiTheme="minorHAnsi" w:hAnsiTheme="minorHAnsi" w:cstheme="minorHAnsi"/>
          <w:sz w:val="24"/>
          <w:szCs w:val="24"/>
        </w:rPr>
        <w:t xml:space="preserve">Prior Approval Application </w:t>
      </w:r>
      <w:r w:rsidRPr="005B11D4">
        <w:rPr>
          <w:rFonts w:asciiTheme="minorHAnsi" w:hAnsiTheme="minorHAnsi" w:cstheme="minorHAnsi"/>
          <w:sz w:val="24"/>
          <w:szCs w:val="24"/>
        </w:rPr>
        <w:t>will be reviewed</w:t>
      </w:r>
      <w:r w:rsidR="00B51FA8" w:rsidRPr="005B11D4">
        <w:rPr>
          <w:rFonts w:asciiTheme="minorHAnsi" w:hAnsiTheme="minorHAnsi" w:cstheme="minorHAnsi"/>
          <w:sz w:val="24"/>
          <w:szCs w:val="24"/>
        </w:rPr>
        <w:t xml:space="preserve"> by Treasury within 30 business days.</w:t>
      </w:r>
      <w:r w:rsidR="009F08F2" w:rsidRPr="005B11D4">
        <w:rPr>
          <w:rFonts w:asciiTheme="minorHAnsi" w:hAnsiTheme="minorHAnsi" w:cstheme="minorHAnsi"/>
          <w:sz w:val="24"/>
          <w:szCs w:val="24"/>
        </w:rPr>
        <w:t xml:space="preserve"> </w:t>
      </w:r>
      <w:r w:rsidR="000866FB" w:rsidRPr="005B11D4">
        <w:rPr>
          <w:rFonts w:asciiTheme="minorHAnsi" w:hAnsiTheme="minorHAnsi" w:cstheme="minorHAnsi"/>
          <w:sz w:val="24"/>
          <w:szCs w:val="24"/>
        </w:rPr>
        <w:t xml:space="preserve">Treasury’s </w:t>
      </w:r>
      <w:r w:rsidRPr="005B11D4">
        <w:rPr>
          <w:rFonts w:asciiTheme="minorHAnsi" w:hAnsiTheme="minorHAnsi" w:cstheme="minorHAnsi"/>
          <w:sz w:val="24"/>
          <w:szCs w:val="24"/>
        </w:rPr>
        <w:t>determination letter</w:t>
      </w:r>
      <w:r w:rsidR="00B51FA8" w:rsidRPr="005B11D4">
        <w:rPr>
          <w:rFonts w:asciiTheme="minorHAnsi" w:hAnsiTheme="minorHAnsi" w:cstheme="minorHAnsi"/>
          <w:sz w:val="24"/>
          <w:szCs w:val="24"/>
        </w:rPr>
        <w:t xml:space="preserve"> and the Prior Approval Application will </w:t>
      </w:r>
      <w:r w:rsidRPr="005B11D4">
        <w:rPr>
          <w:rFonts w:asciiTheme="minorHAnsi" w:hAnsiTheme="minorHAnsi" w:cstheme="minorHAnsi"/>
          <w:sz w:val="24"/>
          <w:szCs w:val="24"/>
        </w:rPr>
        <w:t>be</w:t>
      </w:r>
      <w:r w:rsidR="00B51FA8" w:rsidRPr="005B11D4">
        <w:rPr>
          <w:rFonts w:asciiTheme="minorHAnsi" w:hAnsiTheme="minorHAnsi" w:cstheme="minorHAnsi"/>
          <w:sz w:val="24"/>
          <w:szCs w:val="24"/>
        </w:rPr>
        <w:t xml:space="preserve"> combined and</w:t>
      </w:r>
      <w:r w:rsidRPr="005B11D4">
        <w:rPr>
          <w:rFonts w:asciiTheme="minorHAnsi" w:hAnsiTheme="minorHAnsi" w:cstheme="minorHAnsi"/>
          <w:sz w:val="24"/>
          <w:szCs w:val="24"/>
        </w:rPr>
        <w:t xml:space="preserve"> posted online</w:t>
      </w:r>
      <w:r w:rsidR="00B51FA8" w:rsidRPr="005B11D4">
        <w:rPr>
          <w:rFonts w:asciiTheme="minorHAnsi" w:hAnsiTheme="minorHAnsi" w:cstheme="minorHAnsi"/>
          <w:sz w:val="24"/>
          <w:szCs w:val="24"/>
        </w:rPr>
        <w:t xml:space="preserve"> as a single document</w:t>
      </w:r>
      <w:r w:rsidRPr="005B11D4">
        <w:rPr>
          <w:rFonts w:asciiTheme="minorHAnsi" w:hAnsiTheme="minorHAnsi" w:cstheme="minorHAnsi"/>
          <w:sz w:val="24"/>
          <w:szCs w:val="24"/>
        </w:rPr>
        <w:t xml:space="preserve"> in the document search website. An email with a link to the determination letter</w:t>
      </w:r>
      <w:r w:rsidR="00B51FA8" w:rsidRPr="005B11D4">
        <w:rPr>
          <w:rFonts w:asciiTheme="minorHAnsi" w:hAnsiTheme="minorHAnsi" w:cstheme="minorHAnsi"/>
          <w:sz w:val="24"/>
          <w:szCs w:val="24"/>
        </w:rPr>
        <w:t xml:space="preserve"> and Prior Approval Application</w:t>
      </w:r>
      <w:r w:rsidRPr="005B11D4">
        <w:rPr>
          <w:rFonts w:asciiTheme="minorHAnsi" w:hAnsiTheme="minorHAnsi" w:cstheme="minorHAnsi"/>
          <w:sz w:val="24"/>
          <w:szCs w:val="24"/>
        </w:rPr>
        <w:t xml:space="preserve"> will also be sent to the municipality. </w:t>
      </w:r>
    </w:p>
    <w:p w14:paraId="019C9E5B" w14:textId="77777777" w:rsidR="00A55EAA" w:rsidRPr="00A00517" w:rsidRDefault="00A55EAA" w:rsidP="002608DD">
      <w:pPr>
        <w:pStyle w:val="ListParagraph"/>
        <w:widowControl/>
        <w:autoSpaceDE/>
        <w:autoSpaceDN/>
        <w:spacing w:after="200"/>
        <w:ind w:left="1440" w:right="830"/>
        <w:contextualSpacing/>
        <w:rPr>
          <w:rFonts w:asciiTheme="minorHAnsi" w:hAnsiTheme="minorHAnsi" w:cstheme="minorHAnsi"/>
          <w:sz w:val="20"/>
          <w:szCs w:val="20"/>
        </w:rPr>
      </w:pPr>
    </w:p>
    <w:p w14:paraId="78AAF95C" w14:textId="34F193DA" w:rsidR="00A55EAA" w:rsidRPr="005B11D4" w:rsidRDefault="00A55EAA" w:rsidP="002608DD">
      <w:pPr>
        <w:pStyle w:val="ListParagraph"/>
        <w:widowControl/>
        <w:numPr>
          <w:ilvl w:val="0"/>
          <w:numId w:val="8"/>
        </w:numPr>
        <w:autoSpaceDE/>
        <w:autoSpaceDN/>
        <w:spacing w:after="200"/>
        <w:ind w:right="830"/>
        <w:contextualSpacing/>
        <w:rPr>
          <w:rFonts w:asciiTheme="minorHAnsi" w:hAnsiTheme="minorHAnsi" w:cstheme="minorBidi"/>
          <w:sz w:val="24"/>
          <w:szCs w:val="24"/>
        </w:rPr>
      </w:pPr>
      <w:r w:rsidRPr="005B11D4">
        <w:rPr>
          <w:rFonts w:asciiTheme="minorHAnsi" w:hAnsiTheme="minorHAnsi" w:cstheme="minorBidi"/>
          <w:sz w:val="24"/>
          <w:szCs w:val="24"/>
        </w:rPr>
        <w:t xml:space="preserve">To view the document search website, go to </w:t>
      </w:r>
      <w:hyperlink r:id="rId15" w:history="1">
        <w:r w:rsidRPr="007227BC">
          <w:rPr>
            <w:rStyle w:val="Hyperlink"/>
            <w:rFonts w:asciiTheme="minorHAnsi" w:eastAsiaTheme="minorHAnsi" w:hAnsiTheme="minorHAnsi" w:cstheme="minorBidi"/>
            <w:sz w:val="24"/>
            <w:szCs w:val="24"/>
            <w:u w:val="none"/>
            <w:lang w:bidi="ar-SA"/>
          </w:rPr>
          <w:t>Michigan.gov/</w:t>
        </w:r>
        <w:r w:rsidR="009F08F2" w:rsidRPr="007227BC">
          <w:rPr>
            <w:rStyle w:val="Hyperlink"/>
            <w:rFonts w:asciiTheme="minorHAnsi" w:eastAsiaTheme="minorHAnsi" w:hAnsiTheme="minorHAnsi" w:cstheme="minorBidi"/>
            <w:sz w:val="24"/>
            <w:szCs w:val="24"/>
            <w:u w:val="none"/>
            <w:lang w:bidi="ar-SA"/>
          </w:rPr>
          <w:t>LAFD</w:t>
        </w:r>
      </w:hyperlink>
      <w:r w:rsidRPr="005B11D4">
        <w:rPr>
          <w:rFonts w:asciiTheme="minorHAnsi" w:hAnsiTheme="minorHAnsi" w:cstheme="minorBidi"/>
          <w:sz w:val="24"/>
          <w:szCs w:val="24"/>
        </w:rPr>
        <w:t>, click on “File and Search Reports,” and then “Document Search.”</w:t>
      </w:r>
    </w:p>
    <w:p w14:paraId="55C0B089" w14:textId="77777777" w:rsidR="00FB3361" w:rsidRPr="00A00517" w:rsidRDefault="00FB3361" w:rsidP="002608DD">
      <w:pPr>
        <w:pStyle w:val="ListParagraph"/>
        <w:rPr>
          <w:rFonts w:asciiTheme="minorHAnsi" w:hAnsiTheme="minorHAnsi" w:cstheme="minorHAnsi"/>
          <w:sz w:val="20"/>
          <w:szCs w:val="20"/>
        </w:rPr>
      </w:pPr>
    </w:p>
    <w:p w14:paraId="657F1F87" w14:textId="77777777" w:rsidR="00A00517" w:rsidRPr="00A00517" w:rsidRDefault="00A00517" w:rsidP="002608DD">
      <w:pPr>
        <w:pStyle w:val="ListParagraph"/>
        <w:rPr>
          <w:rFonts w:asciiTheme="minorHAnsi" w:hAnsiTheme="minorHAnsi" w:cstheme="minorHAnsi"/>
          <w:sz w:val="20"/>
          <w:szCs w:val="20"/>
        </w:rPr>
      </w:pPr>
    </w:p>
    <w:p w14:paraId="37668B90" w14:textId="1ABFF474" w:rsidR="008C5117" w:rsidRPr="005B11D4" w:rsidRDefault="008C5117" w:rsidP="002608DD">
      <w:pPr>
        <w:pStyle w:val="ListParagraph"/>
        <w:widowControl/>
        <w:numPr>
          <w:ilvl w:val="0"/>
          <w:numId w:val="1"/>
        </w:numPr>
        <w:autoSpaceDE/>
        <w:autoSpaceDN/>
        <w:spacing w:after="200"/>
        <w:contextualSpacing/>
        <w:rPr>
          <w:rFonts w:asciiTheme="minorHAnsi" w:hAnsiTheme="minorHAnsi" w:cstheme="minorHAnsi"/>
          <w:b/>
          <w:bCs/>
          <w:sz w:val="28"/>
          <w:szCs w:val="28"/>
        </w:rPr>
      </w:pPr>
      <w:r w:rsidRPr="005B11D4">
        <w:rPr>
          <w:rFonts w:asciiTheme="minorHAnsi" w:hAnsiTheme="minorHAnsi" w:cstheme="minorHAnsi"/>
          <w:b/>
          <w:bCs/>
          <w:sz w:val="28"/>
          <w:szCs w:val="28"/>
        </w:rPr>
        <w:t>Treasury Guid</w:t>
      </w:r>
      <w:r w:rsidR="00FB3361" w:rsidRPr="005B11D4">
        <w:rPr>
          <w:rFonts w:asciiTheme="minorHAnsi" w:hAnsiTheme="minorHAnsi" w:cstheme="minorHAnsi"/>
          <w:b/>
          <w:bCs/>
          <w:sz w:val="28"/>
          <w:szCs w:val="28"/>
        </w:rPr>
        <w:t>elines</w:t>
      </w:r>
    </w:p>
    <w:p w14:paraId="77C8CBD9" w14:textId="77777777" w:rsidR="009B121B" w:rsidRPr="00A00517" w:rsidRDefault="009B121B" w:rsidP="002608DD">
      <w:pPr>
        <w:pStyle w:val="ListParagraph"/>
        <w:widowControl/>
        <w:autoSpaceDE/>
        <w:autoSpaceDN/>
        <w:spacing w:after="200"/>
        <w:ind w:left="1080"/>
        <w:contextualSpacing/>
        <w:rPr>
          <w:rFonts w:asciiTheme="minorHAnsi" w:hAnsiTheme="minorHAnsi" w:cstheme="minorHAnsi"/>
          <w:b/>
          <w:bCs/>
          <w:sz w:val="20"/>
          <w:szCs w:val="20"/>
        </w:rPr>
      </w:pPr>
    </w:p>
    <w:p w14:paraId="081109BD" w14:textId="56B9F7DC" w:rsidR="008C5117" w:rsidRPr="005B11D4" w:rsidRDefault="008C5117" w:rsidP="002608DD">
      <w:pPr>
        <w:pStyle w:val="ListParagraph"/>
        <w:widowControl/>
        <w:numPr>
          <w:ilvl w:val="1"/>
          <w:numId w:val="1"/>
        </w:numPr>
        <w:tabs>
          <w:tab w:val="left" w:pos="10170"/>
        </w:tabs>
        <w:autoSpaceDE/>
        <w:autoSpaceDN/>
        <w:spacing w:after="200"/>
        <w:ind w:left="1440" w:right="830"/>
        <w:contextualSpacing/>
        <w:rPr>
          <w:rFonts w:asciiTheme="minorHAnsi" w:hAnsiTheme="minorHAnsi" w:cstheme="minorHAnsi"/>
          <w:b/>
          <w:bCs/>
          <w:sz w:val="28"/>
          <w:szCs w:val="28"/>
        </w:rPr>
      </w:pPr>
      <w:r w:rsidRPr="005B11D4">
        <w:rPr>
          <w:rFonts w:asciiTheme="minorHAnsi" w:hAnsiTheme="minorHAnsi" w:cstheme="minorHAnsi"/>
          <w:sz w:val="24"/>
          <w:szCs w:val="24"/>
        </w:rPr>
        <w:t>A separate filing shall be made for each municipal security to be issued. If a municipal security is to be sold in more than one series, a separate filing shall be submitted for each series, unless all series are to be sold concurrently with the same source of repayment.</w:t>
      </w:r>
    </w:p>
    <w:p w14:paraId="321E55A7" w14:textId="77777777" w:rsidR="008C5117" w:rsidRPr="00A00517" w:rsidRDefault="008C5117" w:rsidP="002608DD">
      <w:pPr>
        <w:pStyle w:val="ListParagraph"/>
        <w:widowControl/>
        <w:tabs>
          <w:tab w:val="left" w:pos="10170"/>
        </w:tabs>
        <w:autoSpaceDE/>
        <w:autoSpaceDN/>
        <w:spacing w:after="200"/>
        <w:ind w:left="1800" w:right="830"/>
        <w:contextualSpacing/>
        <w:rPr>
          <w:rFonts w:asciiTheme="minorHAnsi" w:hAnsiTheme="minorHAnsi" w:cstheme="minorHAnsi"/>
          <w:b/>
          <w:bCs/>
          <w:sz w:val="20"/>
          <w:szCs w:val="20"/>
        </w:rPr>
      </w:pPr>
    </w:p>
    <w:p w14:paraId="4951774E" w14:textId="51DD5F74" w:rsidR="008C5117" w:rsidRPr="005B11D4" w:rsidRDefault="009B121B" w:rsidP="002608DD">
      <w:pPr>
        <w:pStyle w:val="ListParagraph"/>
        <w:widowControl/>
        <w:numPr>
          <w:ilvl w:val="1"/>
          <w:numId w:val="1"/>
        </w:numPr>
        <w:tabs>
          <w:tab w:val="left" w:pos="10170"/>
        </w:tabs>
        <w:autoSpaceDE/>
        <w:autoSpaceDN/>
        <w:spacing w:after="200"/>
        <w:ind w:left="1440" w:right="830"/>
        <w:contextualSpacing/>
        <w:rPr>
          <w:rFonts w:asciiTheme="minorHAnsi" w:hAnsiTheme="minorHAnsi" w:cstheme="minorHAnsi"/>
          <w:b/>
          <w:bCs/>
          <w:sz w:val="28"/>
          <w:szCs w:val="28"/>
        </w:rPr>
      </w:pPr>
      <w:r w:rsidRPr="005B11D4">
        <w:rPr>
          <w:rFonts w:asciiTheme="minorHAnsi" w:hAnsiTheme="minorHAnsi" w:cstheme="minorHAnsi"/>
          <w:sz w:val="24"/>
          <w:szCs w:val="24"/>
        </w:rPr>
        <w:t>W</w:t>
      </w:r>
      <w:r w:rsidR="008C5117" w:rsidRPr="005B11D4">
        <w:rPr>
          <w:rFonts w:asciiTheme="minorHAnsi" w:hAnsiTheme="minorHAnsi" w:cstheme="minorHAnsi"/>
          <w:sz w:val="24"/>
          <w:szCs w:val="24"/>
        </w:rPr>
        <w:t>hen</w:t>
      </w:r>
      <w:r w:rsidRPr="005B11D4">
        <w:rPr>
          <w:rFonts w:asciiTheme="minorHAnsi" w:hAnsiTheme="minorHAnsi" w:cstheme="minorHAnsi"/>
          <w:sz w:val="24"/>
          <w:szCs w:val="24"/>
        </w:rPr>
        <w:t xml:space="preserve"> a Prior Approval Application is necessary</w:t>
      </w:r>
      <w:r w:rsidR="00A77069" w:rsidRPr="005B11D4">
        <w:rPr>
          <w:rFonts w:asciiTheme="minorHAnsi" w:hAnsiTheme="minorHAnsi" w:cstheme="minorHAnsi"/>
          <w:sz w:val="24"/>
          <w:szCs w:val="24"/>
        </w:rPr>
        <w:t xml:space="preserve"> for</w:t>
      </w:r>
      <w:r w:rsidR="008C5117" w:rsidRPr="005B11D4">
        <w:rPr>
          <w:rFonts w:asciiTheme="minorHAnsi" w:hAnsiTheme="minorHAnsi" w:cstheme="minorHAnsi"/>
          <w:sz w:val="24"/>
          <w:szCs w:val="24"/>
        </w:rPr>
        <w:t xml:space="preserve"> the issuer of a municipal security </w:t>
      </w:r>
      <w:r w:rsidR="00A77069" w:rsidRPr="005B11D4">
        <w:rPr>
          <w:rFonts w:asciiTheme="minorHAnsi" w:hAnsiTheme="minorHAnsi" w:cstheme="minorHAnsi"/>
          <w:sz w:val="24"/>
          <w:szCs w:val="24"/>
        </w:rPr>
        <w:t>and the</w:t>
      </w:r>
      <w:r w:rsidR="008C5117" w:rsidRPr="005B11D4">
        <w:rPr>
          <w:rFonts w:asciiTheme="minorHAnsi" w:hAnsiTheme="minorHAnsi" w:cstheme="minorHAnsi"/>
          <w:sz w:val="24"/>
          <w:szCs w:val="24"/>
        </w:rPr>
        <w:t xml:space="preserve"> </w:t>
      </w:r>
      <w:r w:rsidR="00A77069" w:rsidRPr="005B11D4">
        <w:rPr>
          <w:rFonts w:asciiTheme="minorHAnsi" w:hAnsiTheme="minorHAnsi" w:cstheme="minorHAnsi"/>
          <w:sz w:val="24"/>
          <w:szCs w:val="24"/>
        </w:rPr>
        <w:t xml:space="preserve">issuing </w:t>
      </w:r>
      <w:r w:rsidR="008C5117" w:rsidRPr="005B11D4">
        <w:rPr>
          <w:rFonts w:asciiTheme="minorHAnsi" w:hAnsiTheme="minorHAnsi" w:cstheme="minorHAnsi"/>
          <w:sz w:val="24"/>
          <w:szCs w:val="24"/>
        </w:rPr>
        <w:t xml:space="preserve">municipality </w:t>
      </w:r>
      <w:r w:rsidR="00A77069" w:rsidRPr="005B11D4">
        <w:rPr>
          <w:rFonts w:asciiTheme="minorHAnsi" w:hAnsiTheme="minorHAnsi" w:cstheme="minorHAnsi"/>
          <w:sz w:val="24"/>
          <w:szCs w:val="24"/>
        </w:rPr>
        <w:t>has</w:t>
      </w:r>
      <w:r w:rsidR="008C5117" w:rsidRPr="005B11D4">
        <w:rPr>
          <w:rFonts w:asciiTheme="minorHAnsi" w:hAnsiTheme="minorHAnsi" w:cstheme="minorHAnsi"/>
          <w:sz w:val="24"/>
          <w:szCs w:val="24"/>
        </w:rPr>
        <w:t xml:space="preserve"> a contractual agreement with one or more other municipalities relating to the proposed municipal security, or when a municipality other than the issuer shall have pledged revenues or its full faith and credit to secure repayment of the municipal security, then each municipality shall separately file a Prior Approval Application pursuant to Section 303(7)</w:t>
      </w:r>
      <w:r w:rsidR="00A77069" w:rsidRPr="005B11D4">
        <w:rPr>
          <w:rFonts w:asciiTheme="minorHAnsi" w:hAnsiTheme="minorHAnsi" w:cstheme="minorHAnsi"/>
          <w:sz w:val="24"/>
          <w:szCs w:val="24"/>
        </w:rPr>
        <w:t xml:space="preserve"> regardless of their status under Section 303(3)</w:t>
      </w:r>
      <w:r w:rsidR="008C5117" w:rsidRPr="005B11D4">
        <w:rPr>
          <w:rFonts w:asciiTheme="minorHAnsi" w:hAnsiTheme="minorHAnsi" w:cstheme="minorHAnsi"/>
          <w:sz w:val="24"/>
          <w:szCs w:val="24"/>
        </w:rPr>
        <w:t>. Only the issuing municipality is required to file the filing fee.</w:t>
      </w:r>
      <w:r w:rsidR="00635952" w:rsidRPr="005B11D4">
        <w:rPr>
          <w:rFonts w:asciiTheme="minorHAnsi" w:hAnsiTheme="minorHAnsi" w:cstheme="minorHAnsi"/>
          <w:sz w:val="24"/>
          <w:szCs w:val="24"/>
        </w:rPr>
        <w:t xml:space="preserve"> See exception in #4.c. below.</w:t>
      </w:r>
    </w:p>
    <w:p w14:paraId="0665F19A" w14:textId="77777777" w:rsidR="009B121B" w:rsidRPr="00A00517" w:rsidRDefault="009B121B" w:rsidP="002608DD">
      <w:pPr>
        <w:pStyle w:val="ListParagraph"/>
        <w:tabs>
          <w:tab w:val="left" w:pos="10170"/>
        </w:tabs>
        <w:ind w:right="830"/>
        <w:rPr>
          <w:rFonts w:asciiTheme="minorHAnsi" w:hAnsiTheme="minorHAnsi" w:cstheme="minorHAnsi"/>
          <w:b/>
          <w:bCs/>
          <w:sz w:val="20"/>
          <w:szCs w:val="20"/>
        </w:rPr>
      </w:pPr>
    </w:p>
    <w:p w14:paraId="53E7EAA6" w14:textId="34779933" w:rsidR="001511DD" w:rsidRPr="005B11D4" w:rsidRDefault="00635952" w:rsidP="002608DD">
      <w:pPr>
        <w:pStyle w:val="ListParagraph"/>
        <w:widowControl/>
        <w:numPr>
          <w:ilvl w:val="1"/>
          <w:numId w:val="1"/>
        </w:numPr>
        <w:tabs>
          <w:tab w:val="left" w:pos="1440"/>
          <w:tab w:val="left" w:pos="10170"/>
        </w:tabs>
        <w:autoSpaceDE/>
        <w:autoSpaceDN/>
        <w:spacing w:after="200"/>
        <w:ind w:left="1440"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In situations where a drain district is issuing a municipal security on their own and repaying with special assessments, with no contractual agreements, </w:t>
      </w:r>
      <w:r w:rsidR="001511DD" w:rsidRPr="005B11D4">
        <w:rPr>
          <w:rFonts w:asciiTheme="minorHAnsi" w:hAnsiTheme="minorHAnsi" w:cstheme="minorHAnsi"/>
          <w:sz w:val="24"/>
          <w:szCs w:val="24"/>
        </w:rPr>
        <w:t>and</w:t>
      </w:r>
      <w:r w:rsidRPr="005B11D4">
        <w:rPr>
          <w:rFonts w:asciiTheme="minorHAnsi" w:hAnsiTheme="minorHAnsi" w:cstheme="minorHAnsi"/>
          <w:sz w:val="24"/>
          <w:szCs w:val="24"/>
        </w:rPr>
        <w:t xml:space="preserve"> obtains a full faith and credit pledge from the county, and the drain district qualifies pursuant to Section 303(3)</w:t>
      </w:r>
      <w:r w:rsidR="001511DD" w:rsidRPr="005B11D4">
        <w:rPr>
          <w:rFonts w:asciiTheme="minorHAnsi" w:hAnsiTheme="minorHAnsi" w:cstheme="minorHAnsi"/>
          <w:sz w:val="24"/>
          <w:szCs w:val="24"/>
        </w:rPr>
        <w:t>, there is no requirement for the county to receive qualified status or submit a Prior Approval Application in order for the drain district to issue the municipal security.</w:t>
      </w:r>
    </w:p>
    <w:p w14:paraId="2247C15F" w14:textId="77777777" w:rsidR="000541E1" w:rsidRPr="00A00517" w:rsidRDefault="000541E1" w:rsidP="002608DD">
      <w:pPr>
        <w:pStyle w:val="ListParagraph"/>
        <w:tabs>
          <w:tab w:val="left" w:pos="10170"/>
        </w:tabs>
        <w:ind w:right="830"/>
        <w:rPr>
          <w:sz w:val="20"/>
          <w:szCs w:val="20"/>
        </w:rPr>
      </w:pPr>
    </w:p>
    <w:p w14:paraId="1C0B0833" w14:textId="310E21EB" w:rsidR="006711D7" w:rsidRPr="005B11D4" w:rsidRDefault="006711D7" w:rsidP="002608DD">
      <w:pPr>
        <w:pStyle w:val="ListParagraph"/>
        <w:widowControl/>
        <w:numPr>
          <w:ilvl w:val="1"/>
          <w:numId w:val="1"/>
        </w:numPr>
        <w:tabs>
          <w:tab w:val="left" w:pos="10170"/>
        </w:tabs>
        <w:autoSpaceDE/>
        <w:autoSpaceDN/>
        <w:spacing w:after="200"/>
        <w:ind w:left="1440" w:right="830"/>
        <w:contextualSpacing/>
        <w:rPr>
          <w:rFonts w:asciiTheme="minorHAnsi" w:hAnsiTheme="minorHAnsi" w:cstheme="minorHAnsi"/>
          <w:sz w:val="24"/>
          <w:szCs w:val="24"/>
        </w:rPr>
      </w:pPr>
      <w:r w:rsidRPr="005B11D4">
        <w:rPr>
          <w:rFonts w:asciiTheme="minorHAnsi" w:hAnsiTheme="minorHAnsi" w:cstheme="minorHAnsi"/>
          <w:sz w:val="24"/>
          <w:szCs w:val="24"/>
        </w:rPr>
        <w:t>O</w:t>
      </w:r>
      <w:r w:rsidR="004E19C3" w:rsidRPr="005B11D4">
        <w:rPr>
          <w:rFonts w:asciiTheme="minorHAnsi" w:hAnsiTheme="minorHAnsi" w:cstheme="minorHAnsi"/>
          <w:sz w:val="24"/>
          <w:szCs w:val="24"/>
        </w:rPr>
        <w:t>rders of Approval will remain in effect for one year from the date of the approval letter. Municipalities that have not issued after one year and still desire to issue will need to re-submit a Prior Approval Application.</w:t>
      </w:r>
    </w:p>
    <w:p w14:paraId="5FE89D55" w14:textId="77777777" w:rsidR="00EA1BFC" w:rsidRPr="00A00517" w:rsidRDefault="00EA1BFC" w:rsidP="002608DD">
      <w:pPr>
        <w:pStyle w:val="ListParagraph"/>
        <w:tabs>
          <w:tab w:val="left" w:pos="10170"/>
        </w:tabs>
        <w:ind w:right="830"/>
        <w:rPr>
          <w:rFonts w:asciiTheme="minorHAnsi" w:hAnsiTheme="minorHAnsi" w:cstheme="minorHAnsi"/>
          <w:sz w:val="20"/>
          <w:szCs w:val="20"/>
        </w:rPr>
      </w:pPr>
    </w:p>
    <w:p w14:paraId="57D6A0EE" w14:textId="2C19F540" w:rsidR="00EA1BFC" w:rsidRPr="005B11D4" w:rsidRDefault="00EA1BFC" w:rsidP="002608DD">
      <w:pPr>
        <w:pStyle w:val="ListParagraph"/>
        <w:widowControl/>
        <w:numPr>
          <w:ilvl w:val="1"/>
          <w:numId w:val="1"/>
        </w:numPr>
        <w:tabs>
          <w:tab w:val="left" w:pos="10170"/>
        </w:tabs>
        <w:autoSpaceDE/>
        <w:autoSpaceDN/>
        <w:spacing w:after="200"/>
        <w:ind w:left="1440"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Order of Approval letters may be amended under the following circumstances. The request letter from the </w:t>
      </w:r>
      <w:r w:rsidR="002A610F" w:rsidRPr="005B11D4">
        <w:rPr>
          <w:rFonts w:asciiTheme="minorHAnsi" w:hAnsiTheme="minorHAnsi" w:cstheme="minorHAnsi"/>
          <w:sz w:val="24"/>
          <w:szCs w:val="24"/>
        </w:rPr>
        <w:t>municipality</w:t>
      </w:r>
      <w:r w:rsidRPr="005B11D4">
        <w:rPr>
          <w:rFonts w:asciiTheme="minorHAnsi" w:hAnsiTheme="minorHAnsi" w:cstheme="minorHAnsi"/>
          <w:sz w:val="24"/>
          <w:szCs w:val="24"/>
        </w:rPr>
        <w:t xml:space="preserve"> shall be emailed to </w:t>
      </w:r>
      <w:hyperlink r:id="rId16" w:history="1">
        <w:r w:rsidR="00A01165" w:rsidRPr="002608DD">
          <w:rPr>
            <w:rStyle w:val="Hyperlink"/>
            <w:rFonts w:asciiTheme="minorHAnsi" w:eastAsiaTheme="minorHAnsi" w:hAnsiTheme="minorHAnsi" w:cstheme="minorBidi"/>
            <w:sz w:val="24"/>
            <w:szCs w:val="24"/>
            <w:u w:val="none"/>
            <w:lang w:bidi="ar-SA"/>
          </w:rPr>
          <w:t>Treas_MunicipalFinance@michigan.gov</w:t>
        </w:r>
      </w:hyperlink>
      <w:r w:rsidRPr="005B11D4">
        <w:rPr>
          <w:rFonts w:asciiTheme="minorHAnsi" w:hAnsiTheme="minorHAnsi" w:cstheme="minorHAnsi"/>
          <w:sz w:val="24"/>
          <w:szCs w:val="24"/>
        </w:rPr>
        <w:t>.</w:t>
      </w:r>
    </w:p>
    <w:p w14:paraId="4C4C58B7" w14:textId="77777777" w:rsidR="00EA1BFC" w:rsidRPr="00A00517" w:rsidRDefault="00EA1BFC" w:rsidP="002608DD">
      <w:pPr>
        <w:pStyle w:val="ListParagraph"/>
        <w:tabs>
          <w:tab w:val="left" w:pos="10170"/>
        </w:tabs>
        <w:ind w:right="830"/>
        <w:rPr>
          <w:rFonts w:asciiTheme="minorHAnsi" w:hAnsiTheme="minorHAnsi" w:cstheme="minorHAnsi"/>
          <w:sz w:val="20"/>
          <w:szCs w:val="20"/>
        </w:rPr>
      </w:pPr>
    </w:p>
    <w:p w14:paraId="6DBF10A6" w14:textId="665D681C" w:rsidR="00EA1BFC" w:rsidRPr="005B11D4" w:rsidRDefault="00EA1BFC" w:rsidP="002608DD">
      <w:pPr>
        <w:widowControl/>
        <w:numPr>
          <w:ilvl w:val="0"/>
          <w:numId w:val="24"/>
        </w:numPr>
        <w:tabs>
          <w:tab w:val="left" w:pos="10170"/>
        </w:tabs>
        <w:autoSpaceDE/>
        <w:autoSpaceDN/>
        <w:ind w:left="1800" w:right="830"/>
        <w:rPr>
          <w:rFonts w:asciiTheme="minorHAnsi" w:hAnsiTheme="minorHAnsi" w:cstheme="minorHAnsi"/>
          <w:sz w:val="24"/>
          <w:szCs w:val="24"/>
        </w:rPr>
      </w:pPr>
      <w:r w:rsidRPr="005B11D4">
        <w:rPr>
          <w:rFonts w:asciiTheme="minorHAnsi" w:hAnsiTheme="minorHAnsi" w:cstheme="minorHAnsi"/>
          <w:sz w:val="24"/>
          <w:szCs w:val="24"/>
        </w:rPr>
        <w:t>The title or name of the bond is being changed.</w:t>
      </w:r>
      <w:r w:rsidR="006E367F">
        <w:rPr>
          <w:rFonts w:asciiTheme="minorHAnsi" w:hAnsiTheme="minorHAnsi" w:cstheme="minorHAnsi"/>
          <w:sz w:val="24"/>
          <w:szCs w:val="24"/>
        </w:rPr>
        <w:t xml:space="preserve"> </w:t>
      </w:r>
      <w:r w:rsidRPr="005B11D4">
        <w:rPr>
          <w:rFonts w:asciiTheme="minorHAnsi" w:hAnsiTheme="minorHAnsi" w:cstheme="minorHAnsi"/>
          <w:sz w:val="24"/>
          <w:szCs w:val="24"/>
        </w:rPr>
        <w:t xml:space="preserve">For example, a bond deal was supposed to close in </w:t>
      </w:r>
      <w:r w:rsidR="00A01165" w:rsidRPr="005B11D4">
        <w:rPr>
          <w:rFonts w:asciiTheme="minorHAnsi" w:hAnsiTheme="minorHAnsi" w:cstheme="minorHAnsi"/>
          <w:sz w:val="24"/>
          <w:szCs w:val="24"/>
        </w:rPr>
        <w:t>20</w:t>
      </w:r>
      <w:r w:rsidR="00A01165">
        <w:rPr>
          <w:rFonts w:asciiTheme="minorHAnsi" w:hAnsiTheme="minorHAnsi" w:cstheme="minorHAnsi"/>
          <w:sz w:val="24"/>
          <w:szCs w:val="24"/>
        </w:rPr>
        <w:t>X1</w:t>
      </w:r>
      <w:r w:rsidR="00A01165" w:rsidRPr="005B11D4">
        <w:rPr>
          <w:rFonts w:asciiTheme="minorHAnsi" w:hAnsiTheme="minorHAnsi" w:cstheme="minorHAnsi"/>
          <w:sz w:val="24"/>
          <w:szCs w:val="24"/>
        </w:rPr>
        <w:t xml:space="preserve"> </w:t>
      </w:r>
      <w:r w:rsidRPr="005B11D4">
        <w:rPr>
          <w:rFonts w:asciiTheme="minorHAnsi" w:hAnsiTheme="minorHAnsi" w:cstheme="minorHAnsi"/>
          <w:sz w:val="24"/>
          <w:szCs w:val="24"/>
        </w:rPr>
        <w:t xml:space="preserve">but due to delays it is now closing in </w:t>
      </w:r>
      <w:r w:rsidR="00A01165" w:rsidRPr="005B11D4">
        <w:rPr>
          <w:rFonts w:asciiTheme="minorHAnsi" w:hAnsiTheme="minorHAnsi" w:cstheme="minorHAnsi"/>
          <w:sz w:val="24"/>
          <w:szCs w:val="24"/>
        </w:rPr>
        <w:t>20</w:t>
      </w:r>
      <w:r w:rsidR="00A01165">
        <w:rPr>
          <w:rFonts w:asciiTheme="minorHAnsi" w:hAnsiTheme="minorHAnsi" w:cstheme="minorHAnsi"/>
          <w:sz w:val="24"/>
          <w:szCs w:val="24"/>
        </w:rPr>
        <w:t>X2</w:t>
      </w:r>
      <w:r w:rsidRPr="005B11D4">
        <w:rPr>
          <w:rFonts w:asciiTheme="minorHAnsi" w:hAnsiTheme="minorHAnsi" w:cstheme="minorHAnsi"/>
          <w:sz w:val="24"/>
          <w:szCs w:val="24"/>
        </w:rPr>
        <w:t xml:space="preserve">. This requires a letter from the </w:t>
      </w:r>
      <w:r w:rsidR="002A610F" w:rsidRPr="005B11D4">
        <w:rPr>
          <w:rFonts w:asciiTheme="minorHAnsi" w:hAnsiTheme="minorHAnsi" w:cstheme="minorHAnsi"/>
          <w:sz w:val="24"/>
          <w:szCs w:val="24"/>
        </w:rPr>
        <w:t>municipality</w:t>
      </w:r>
      <w:r w:rsidRPr="005B11D4">
        <w:rPr>
          <w:rFonts w:asciiTheme="minorHAnsi" w:hAnsiTheme="minorHAnsi" w:cstheme="minorHAnsi"/>
          <w:sz w:val="24"/>
          <w:szCs w:val="24"/>
        </w:rPr>
        <w:t xml:space="preserve"> requesting the change.</w:t>
      </w:r>
      <w:r w:rsidR="006E367F">
        <w:rPr>
          <w:rFonts w:asciiTheme="minorHAnsi" w:hAnsiTheme="minorHAnsi" w:cstheme="minorHAnsi"/>
          <w:sz w:val="24"/>
          <w:szCs w:val="24"/>
        </w:rPr>
        <w:t xml:space="preserve"> </w:t>
      </w:r>
      <w:r w:rsidRPr="005B11D4">
        <w:rPr>
          <w:rFonts w:asciiTheme="minorHAnsi" w:hAnsiTheme="minorHAnsi" w:cstheme="minorHAnsi"/>
          <w:sz w:val="24"/>
          <w:szCs w:val="24"/>
        </w:rPr>
        <w:t>This does not require a new authorizing resolution. The expiration date of the Amended Order of Approval does not get extended beyond the original expiration date.</w:t>
      </w:r>
    </w:p>
    <w:p w14:paraId="1FA57E2E" w14:textId="2119CCDA" w:rsidR="00EA1BFC" w:rsidRPr="005B11D4" w:rsidRDefault="00EA1BFC" w:rsidP="002608DD">
      <w:pPr>
        <w:widowControl/>
        <w:numPr>
          <w:ilvl w:val="0"/>
          <w:numId w:val="24"/>
        </w:numPr>
        <w:tabs>
          <w:tab w:val="left" w:pos="1800"/>
          <w:tab w:val="left" w:pos="10170"/>
        </w:tabs>
        <w:autoSpaceDE/>
        <w:autoSpaceDN/>
        <w:ind w:left="1800" w:right="830"/>
        <w:rPr>
          <w:rFonts w:asciiTheme="minorHAnsi" w:hAnsiTheme="minorHAnsi" w:cstheme="minorHAnsi"/>
          <w:sz w:val="24"/>
          <w:szCs w:val="24"/>
        </w:rPr>
      </w:pPr>
      <w:r w:rsidRPr="005B11D4">
        <w:rPr>
          <w:rFonts w:asciiTheme="minorHAnsi" w:hAnsiTheme="minorHAnsi" w:cstheme="minorHAnsi"/>
          <w:sz w:val="24"/>
          <w:szCs w:val="24"/>
        </w:rPr>
        <w:t xml:space="preserve">The final maturity date may be extended up to one year, as long it does not conflict with the authorizing resolution. This requires a letter from the </w:t>
      </w:r>
      <w:r w:rsidR="002A610F" w:rsidRPr="005B11D4">
        <w:rPr>
          <w:rFonts w:asciiTheme="minorHAnsi" w:hAnsiTheme="minorHAnsi" w:cstheme="minorHAnsi"/>
          <w:sz w:val="24"/>
          <w:szCs w:val="24"/>
        </w:rPr>
        <w:t>municipality</w:t>
      </w:r>
      <w:r w:rsidRPr="005B11D4">
        <w:rPr>
          <w:rFonts w:asciiTheme="minorHAnsi" w:hAnsiTheme="minorHAnsi" w:cstheme="minorHAnsi"/>
          <w:sz w:val="24"/>
          <w:szCs w:val="24"/>
        </w:rPr>
        <w:t xml:space="preserve"> requesting the change, an explanation of why the change is necessary, and an updated debt service schedule. The expiration date of the Amended Order of Approval does not get extended beyond the original expiration date. A new Prior Approval Application is necessary for final maturities that need to extend beyond one year.</w:t>
      </w:r>
    </w:p>
    <w:p w14:paraId="732E24F2" w14:textId="73C086A9" w:rsidR="00EA1BFC" w:rsidRPr="005B11D4" w:rsidRDefault="00EA1BFC" w:rsidP="002608DD">
      <w:pPr>
        <w:widowControl/>
        <w:numPr>
          <w:ilvl w:val="0"/>
          <w:numId w:val="24"/>
        </w:numPr>
        <w:tabs>
          <w:tab w:val="left" w:pos="10170"/>
        </w:tabs>
        <w:autoSpaceDE/>
        <w:autoSpaceDN/>
        <w:ind w:left="1800" w:right="830"/>
        <w:rPr>
          <w:rFonts w:ascii="Calibri" w:hAnsi="Calibri" w:cs="Calibri"/>
          <w:sz w:val="24"/>
          <w:szCs w:val="24"/>
        </w:rPr>
      </w:pPr>
      <w:r w:rsidRPr="005B11D4">
        <w:rPr>
          <w:rFonts w:ascii="Calibri" w:hAnsi="Calibri" w:cs="Calibri"/>
          <w:sz w:val="24"/>
          <w:szCs w:val="24"/>
        </w:rPr>
        <w:t>An Order of Approval would not be amended to increase the amount of issuance. This would require a new Prior Approval Application.</w:t>
      </w:r>
    </w:p>
    <w:p w14:paraId="0848A596" w14:textId="77777777" w:rsidR="004E19C3" w:rsidRPr="00A00517" w:rsidRDefault="004E19C3" w:rsidP="002608DD">
      <w:pPr>
        <w:pStyle w:val="ListParagraph"/>
        <w:rPr>
          <w:rFonts w:asciiTheme="minorHAnsi" w:hAnsiTheme="minorHAnsi" w:cstheme="minorHAnsi"/>
          <w:sz w:val="20"/>
          <w:szCs w:val="20"/>
        </w:rPr>
      </w:pPr>
    </w:p>
    <w:p w14:paraId="578AF0E7" w14:textId="02D4996A" w:rsidR="004E19C3" w:rsidRPr="005B11D4" w:rsidRDefault="004E19C3" w:rsidP="002608DD">
      <w:pPr>
        <w:pStyle w:val="ListParagraph"/>
        <w:widowControl/>
        <w:numPr>
          <w:ilvl w:val="1"/>
          <w:numId w:val="1"/>
        </w:numPr>
        <w:autoSpaceDE/>
        <w:autoSpaceDN/>
        <w:spacing w:after="200"/>
        <w:ind w:left="1440" w:right="830"/>
        <w:contextualSpacing/>
        <w:rPr>
          <w:rFonts w:asciiTheme="minorHAnsi" w:hAnsiTheme="minorHAnsi" w:cstheme="minorHAnsi"/>
          <w:sz w:val="24"/>
          <w:szCs w:val="24"/>
        </w:rPr>
      </w:pPr>
      <w:r w:rsidRPr="005B11D4">
        <w:rPr>
          <w:rFonts w:asciiTheme="minorHAnsi" w:hAnsiTheme="minorHAnsi" w:cstheme="minorHAnsi"/>
          <w:sz w:val="24"/>
          <w:szCs w:val="24"/>
        </w:rPr>
        <w:t>School districts, public school academies, and intermediate school districts shall</w:t>
      </w:r>
      <w:r w:rsidR="00911B2E" w:rsidRPr="005B11D4">
        <w:rPr>
          <w:rFonts w:asciiTheme="minorHAnsi" w:hAnsiTheme="minorHAnsi" w:cstheme="minorHAnsi"/>
          <w:sz w:val="24"/>
          <w:szCs w:val="24"/>
        </w:rPr>
        <w:t xml:space="preserve"> file a Prior Approval Application when obtaining a line of credit under MCL 380.1225(8) regardless of whether they qualify pursuant to Sectio</w:t>
      </w:r>
      <w:r w:rsidR="00635952" w:rsidRPr="005B11D4">
        <w:rPr>
          <w:rFonts w:asciiTheme="minorHAnsi" w:hAnsiTheme="minorHAnsi" w:cstheme="minorHAnsi"/>
          <w:sz w:val="24"/>
          <w:szCs w:val="24"/>
        </w:rPr>
        <w:t>n</w:t>
      </w:r>
      <w:r w:rsidR="00911B2E" w:rsidRPr="005B11D4">
        <w:rPr>
          <w:rFonts w:asciiTheme="minorHAnsi" w:hAnsiTheme="minorHAnsi" w:cstheme="minorHAnsi"/>
          <w:sz w:val="24"/>
          <w:szCs w:val="24"/>
        </w:rPr>
        <w:t xml:space="preserve"> 303(3).</w:t>
      </w:r>
    </w:p>
    <w:p w14:paraId="6E464AA4" w14:textId="77777777" w:rsidR="006711D7" w:rsidRPr="00A00517" w:rsidRDefault="006711D7" w:rsidP="002608DD">
      <w:pPr>
        <w:pStyle w:val="ListParagraph"/>
        <w:ind w:right="830"/>
        <w:rPr>
          <w:rFonts w:asciiTheme="minorHAnsi" w:hAnsiTheme="minorHAnsi" w:cstheme="minorHAnsi"/>
          <w:sz w:val="20"/>
          <w:szCs w:val="20"/>
        </w:rPr>
      </w:pPr>
    </w:p>
    <w:p w14:paraId="6A923772" w14:textId="77373577" w:rsidR="009B121B" w:rsidRPr="005B11D4" w:rsidRDefault="00A77069"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8"/>
          <w:szCs w:val="28"/>
        </w:rPr>
      </w:pPr>
      <w:r w:rsidRPr="005B11D4">
        <w:rPr>
          <w:rFonts w:asciiTheme="minorHAnsi" w:hAnsiTheme="minorHAnsi" w:cstheme="minorHAnsi"/>
          <w:sz w:val="24"/>
          <w:szCs w:val="24"/>
        </w:rPr>
        <w:t xml:space="preserve">Municipalities whose Qualifying Statement under Section 303(3) was denied must </w:t>
      </w:r>
      <w:r w:rsidR="00CB6007" w:rsidRPr="005B11D4">
        <w:rPr>
          <w:rFonts w:asciiTheme="minorHAnsi" w:hAnsiTheme="minorHAnsi" w:cstheme="minorHAnsi"/>
          <w:sz w:val="24"/>
          <w:szCs w:val="24"/>
        </w:rPr>
        <w:t>have a Prior Approval Application approved prior to entering into agreements pursuant to Section 315(1)(a).</w:t>
      </w:r>
    </w:p>
    <w:p w14:paraId="7B3CDE0A" w14:textId="77777777" w:rsidR="00CB6007" w:rsidRPr="00A00517" w:rsidRDefault="00CB6007" w:rsidP="002608DD">
      <w:pPr>
        <w:pStyle w:val="ListParagraph"/>
        <w:ind w:right="830"/>
        <w:rPr>
          <w:rFonts w:asciiTheme="minorHAnsi" w:hAnsiTheme="minorHAnsi" w:cstheme="minorHAnsi"/>
          <w:b/>
          <w:bCs/>
        </w:rPr>
      </w:pPr>
    </w:p>
    <w:p w14:paraId="47B16357" w14:textId="570FA715" w:rsidR="00CB6007" w:rsidRPr="00FB3361" w:rsidRDefault="00CB6007"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FB3361">
        <w:rPr>
          <w:rFonts w:asciiTheme="minorHAnsi" w:hAnsiTheme="minorHAnsi" w:cstheme="minorHAnsi"/>
          <w:sz w:val="24"/>
          <w:szCs w:val="24"/>
        </w:rPr>
        <w:t>Municipalities that do not qualify, pursuant to Section 303(3), shall not mail or otherwise distribute, as a sales document to prospective purchasers, the Official Statement or Preliminary Official Statement without other prior approval of the municipal security by Treasury.</w:t>
      </w:r>
    </w:p>
    <w:p w14:paraId="771B313D" w14:textId="77777777" w:rsidR="00CB6007" w:rsidRPr="00FB3361" w:rsidRDefault="00CB6007" w:rsidP="002608DD">
      <w:pPr>
        <w:pStyle w:val="ListParagraph"/>
        <w:ind w:right="830"/>
        <w:rPr>
          <w:rFonts w:asciiTheme="minorHAnsi" w:hAnsiTheme="minorHAnsi" w:cstheme="minorHAnsi"/>
          <w:b/>
          <w:bCs/>
          <w:sz w:val="24"/>
          <w:szCs w:val="24"/>
        </w:rPr>
      </w:pPr>
    </w:p>
    <w:p w14:paraId="5354CBCC" w14:textId="5176F921" w:rsidR="00CB6007" w:rsidRPr="00FB3361" w:rsidRDefault="00FB3361"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FB3361">
        <w:rPr>
          <w:rFonts w:asciiTheme="minorHAnsi" w:hAnsiTheme="minorHAnsi" w:cstheme="minorHAnsi"/>
          <w:sz w:val="24"/>
          <w:szCs w:val="24"/>
        </w:rPr>
        <w:t>“Negotiated Sale," as used in Section 309, is defined by Treasury to mean a sale that is limited to one or more bidders, identified by the issuing municipality prior to the sale.</w:t>
      </w:r>
    </w:p>
    <w:p w14:paraId="6DA1D7EE" w14:textId="77777777" w:rsidR="00FB3361" w:rsidRPr="00A00517" w:rsidRDefault="00FB3361" w:rsidP="002608DD">
      <w:pPr>
        <w:pStyle w:val="ListParagraph"/>
        <w:ind w:right="830"/>
        <w:rPr>
          <w:rFonts w:asciiTheme="minorHAnsi" w:hAnsiTheme="minorHAnsi" w:cstheme="minorHAnsi"/>
          <w:b/>
          <w:bCs/>
          <w:sz w:val="20"/>
          <w:szCs w:val="20"/>
        </w:rPr>
      </w:pPr>
    </w:p>
    <w:p w14:paraId="26ED033C" w14:textId="5094811F" w:rsidR="00FB3361" w:rsidRPr="00FB3361" w:rsidRDefault="00FB3361"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FB3361">
        <w:rPr>
          <w:rFonts w:asciiTheme="minorHAnsi" w:hAnsiTheme="minorHAnsi" w:cstheme="minorHAnsi"/>
          <w:sz w:val="24"/>
          <w:szCs w:val="24"/>
        </w:rPr>
        <w:t>"Competitive Sale," as used in Section 309, is defined by Treasury to mean a sale that is not a negotiated sale.</w:t>
      </w:r>
    </w:p>
    <w:p w14:paraId="05B3BCC8" w14:textId="77777777" w:rsidR="00FB3361" w:rsidRPr="00A00517" w:rsidRDefault="00FB3361" w:rsidP="002608DD">
      <w:pPr>
        <w:pStyle w:val="ListParagraph"/>
        <w:ind w:right="830"/>
        <w:rPr>
          <w:rFonts w:asciiTheme="minorHAnsi" w:hAnsiTheme="minorHAnsi" w:cstheme="minorHAnsi"/>
          <w:b/>
          <w:bCs/>
          <w:sz w:val="20"/>
          <w:szCs w:val="20"/>
        </w:rPr>
      </w:pPr>
    </w:p>
    <w:p w14:paraId="65BF4EA4" w14:textId="587AE76F" w:rsidR="00FB3361" w:rsidRPr="006F2564" w:rsidRDefault="00FB3361"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FB3361">
        <w:rPr>
          <w:rFonts w:asciiTheme="minorHAnsi" w:hAnsiTheme="minorHAnsi" w:cstheme="minorHAnsi"/>
          <w:sz w:val="24"/>
          <w:szCs w:val="24"/>
        </w:rPr>
        <w:t>"Lowest Interest Cost," as used in Section 309(3), is defined by Treasury to mean true interest cost which is the rate that will discount all future cash payments so that the sum of the present value of all cash flows will equal the bond proceeds.</w:t>
      </w:r>
    </w:p>
    <w:p w14:paraId="2073452D" w14:textId="77777777" w:rsidR="006F2564" w:rsidRPr="00A00517" w:rsidRDefault="006F2564" w:rsidP="002608DD">
      <w:pPr>
        <w:pStyle w:val="ListParagraph"/>
        <w:ind w:right="830"/>
        <w:rPr>
          <w:rFonts w:asciiTheme="minorHAnsi" w:hAnsiTheme="minorHAnsi" w:cstheme="minorHAnsi"/>
          <w:b/>
          <w:bCs/>
          <w:sz w:val="20"/>
          <w:szCs w:val="20"/>
        </w:rPr>
      </w:pPr>
    </w:p>
    <w:p w14:paraId="1422EE1B" w14:textId="540A58EF" w:rsidR="006F2564" w:rsidRPr="006F2564" w:rsidRDefault="006F2564" w:rsidP="002608DD">
      <w:pPr>
        <w:pStyle w:val="ListParagraph"/>
        <w:widowControl/>
        <w:numPr>
          <w:ilvl w:val="1"/>
          <w:numId w:val="1"/>
        </w:numPr>
        <w:autoSpaceDE/>
        <w:autoSpaceDN/>
        <w:spacing w:after="200"/>
        <w:ind w:left="1440" w:right="830"/>
        <w:contextualSpacing/>
        <w:rPr>
          <w:rFonts w:asciiTheme="minorHAnsi" w:hAnsiTheme="minorHAnsi" w:cstheme="minorHAnsi"/>
          <w:sz w:val="24"/>
          <w:szCs w:val="24"/>
        </w:rPr>
      </w:pPr>
      <w:r w:rsidRPr="006F2564">
        <w:rPr>
          <w:rFonts w:asciiTheme="minorHAnsi" w:hAnsiTheme="minorHAnsi" w:cstheme="minorHAnsi"/>
          <w:sz w:val="24"/>
          <w:szCs w:val="24"/>
        </w:rPr>
        <w:t xml:space="preserve">When a notice of sale is required for a security, as required under Section 309(2), it must include all of the following information: </w:t>
      </w:r>
    </w:p>
    <w:p w14:paraId="1B1533DD" w14:textId="77777777" w:rsidR="006F2564" w:rsidRPr="00A00517" w:rsidRDefault="006F2564" w:rsidP="002608DD">
      <w:pPr>
        <w:pStyle w:val="ListParagraph"/>
        <w:ind w:right="830"/>
        <w:rPr>
          <w:rFonts w:asciiTheme="minorHAnsi" w:hAnsiTheme="minorHAnsi" w:cstheme="minorHAnsi"/>
          <w:sz w:val="20"/>
          <w:szCs w:val="20"/>
        </w:rPr>
      </w:pPr>
    </w:p>
    <w:p w14:paraId="177365A7" w14:textId="6AD3DE53"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 xml:space="preserve">The date, time, and location or locations for accepting bids </w:t>
      </w:r>
    </w:p>
    <w:p w14:paraId="410F6C45" w14:textId="5D04FF33"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Name of issuer</w:t>
      </w:r>
    </w:p>
    <w:p w14:paraId="07B95A2D" w14:textId="23BF3AD8"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 xml:space="preserve">Title of issue </w:t>
      </w:r>
    </w:p>
    <w:p w14:paraId="6CC53248" w14:textId="7A4138D9"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Amount of issue</w:t>
      </w:r>
    </w:p>
    <w:p w14:paraId="6426EE5D" w14:textId="332EC881"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Identification of location where "additional information" is available</w:t>
      </w:r>
    </w:p>
    <w:p w14:paraId="44934984" w14:textId="77777777" w:rsidR="006F2564" w:rsidRPr="00FF7A27" w:rsidRDefault="006F2564" w:rsidP="002608DD">
      <w:pPr>
        <w:pStyle w:val="ListParagraph"/>
        <w:widowControl/>
        <w:autoSpaceDE/>
        <w:autoSpaceDN/>
        <w:spacing w:after="200"/>
        <w:ind w:left="1440" w:right="830"/>
        <w:contextualSpacing/>
        <w:rPr>
          <w:rFonts w:asciiTheme="minorHAnsi" w:hAnsiTheme="minorHAnsi" w:cstheme="minorHAnsi"/>
          <w:sz w:val="20"/>
          <w:szCs w:val="20"/>
        </w:rPr>
      </w:pPr>
    </w:p>
    <w:p w14:paraId="61781DB9" w14:textId="77777777" w:rsidR="006F2564" w:rsidRPr="00FB3361" w:rsidRDefault="006F2564" w:rsidP="002608DD">
      <w:pPr>
        <w:pStyle w:val="ListParagraph"/>
        <w:widowControl/>
        <w:autoSpaceDE/>
        <w:autoSpaceDN/>
        <w:spacing w:after="200"/>
        <w:ind w:left="1440" w:right="830"/>
        <w:contextualSpacing/>
        <w:rPr>
          <w:rFonts w:asciiTheme="minorHAnsi" w:hAnsiTheme="minorHAnsi" w:cstheme="minorHAnsi"/>
          <w:sz w:val="24"/>
          <w:szCs w:val="24"/>
        </w:rPr>
      </w:pPr>
      <w:r w:rsidRPr="00FB3361">
        <w:rPr>
          <w:rFonts w:asciiTheme="minorHAnsi" w:hAnsiTheme="minorHAnsi" w:cstheme="minorHAnsi"/>
          <w:sz w:val="24"/>
          <w:szCs w:val="24"/>
        </w:rPr>
        <w:t xml:space="preserve">At a minimum, "additional information" must include all of the following: </w:t>
      </w:r>
    </w:p>
    <w:p w14:paraId="58193B11" w14:textId="77777777" w:rsidR="006F2564" w:rsidRPr="00FF7A27" w:rsidRDefault="006F2564" w:rsidP="002608DD">
      <w:pPr>
        <w:pStyle w:val="ListParagraph"/>
        <w:widowControl/>
        <w:autoSpaceDE/>
        <w:autoSpaceDN/>
        <w:spacing w:after="200"/>
        <w:ind w:left="1440" w:right="830"/>
        <w:contextualSpacing/>
        <w:rPr>
          <w:rFonts w:asciiTheme="minorHAnsi" w:hAnsiTheme="minorHAnsi" w:cstheme="minorHAnsi"/>
          <w:sz w:val="20"/>
          <w:szCs w:val="20"/>
        </w:rPr>
      </w:pPr>
    </w:p>
    <w:p w14:paraId="5AFBD47D" w14:textId="24CED774"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 xml:space="preserve">The denomination or denominations </w:t>
      </w:r>
    </w:p>
    <w:p w14:paraId="0A13AD09" w14:textId="2E2C47C5"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The date of the security</w:t>
      </w:r>
    </w:p>
    <w:p w14:paraId="2FE1DBC8" w14:textId="73CA271B"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The maximum interest rate allowable</w:t>
      </w:r>
    </w:p>
    <w:p w14:paraId="06B95343" w14:textId="2D4B2F25"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Any applicable discount</w:t>
      </w:r>
    </w:p>
    <w:p w14:paraId="0EBBEF62" w14:textId="385C6D7E"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 xml:space="preserve">The maturity schedule </w:t>
      </w:r>
    </w:p>
    <w:p w14:paraId="5ADB455D" w14:textId="4CE14673"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Any early redemption schedule</w:t>
      </w:r>
    </w:p>
    <w:p w14:paraId="2900D48F" w14:textId="79589525"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The first interest payment date of the security</w:t>
      </w:r>
    </w:p>
    <w:p w14:paraId="1FE72846" w14:textId="565EB7CF"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The purpose and security pledged for the security</w:t>
      </w:r>
    </w:p>
    <w:p w14:paraId="0200D35C" w14:textId="0ABE5459"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The party providing and paying for the legal opinion and printing of the security</w:t>
      </w:r>
    </w:p>
    <w:p w14:paraId="74B9204C" w14:textId="77777777" w:rsidR="006F2564" w:rsidRPr="00FF7A27" w:rsidRDefault="006F2564" w:rsidP="002608DD">
      <w:pPr>
        <w:pStyle w:val="ListParagraph"/>
        <w:widowControl/>
        <w:autoSpaceDE/>
        <w:autoSpaceDN/>
        <w:spacing w:after="200"/>
        <w:ind w:left="1440"/>
        <w:contextualSpacing/>
        <w:rPr>
          <w:rFonts w:asciiTheme="minorHAnsi" w:hAnsiTheme="minorHAnsi" w:cstheme="minorHAnsi"/>
          <w:sz w:val="20"/>
          <w:szCs w:val="20"/>
        </w:rPr>
      </w:pPr>
    </w:p>
    <w:p w14:paraId="7D19066F" w14:textId="73B014D2" w:rsidR="006F2564" w:rsidRPr="00FB3361" w:rsidRDefault="006F2564" w:rsidP="002608DD">
      <w:pPr>
        <w:pStyle w:val="ListParagraph"/>
        <w:widowControl/>
        <w:numPr>
          <w:ilvl w:val="1"/>
          <w:numId w:val="1"/>
        </w:numPr>
        <w:tabs>
          <w:tab w:val="left" w:pos="1440"/>
        </w:tabs>
        <w:autoSpaceDE/>
        <w:autoSpaceDN/>
        <w:spacing w:after="200"/>
        <w:ind w:left="1440" w:right="830"/>
        <w:contextualSpacing/>
        <w:rPr>
          <w:rFonts w:asciiTheme="minorHAnsi" w:hAnsiTheme="minorHAnsi" w:cstheme="minorHAnsi"/>
          <w:sz w:val="24"/>
          <w:szCs w:val="24"/>
        </w:rPr>
      </w:pPr>
      <w:r w:rsidRPr="00FB3361">
        <w:rPr>
          <w:rFonts w:asciiTheme="minorHAnsi" w:hAnsiTheme="minorHAnsi" w:cstheme="minorHAnsi"/>
          <w:sz w:val="24"/>
          <w:szCs w:val="24"/>
        </w:rPr>
        <w:t xml:space="preserve">“Capital Improvement," as used in Section 517, is defined by Treasury to mean: </w:t>
      </w:r>
    </w:p>
    <w:p w14:paraId="4418C6C9" w14:textId="42B68D22"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Land</w:t>
      </w:r>
    </w:p>
    <w:p w14:paraId="058EED9B" w14:textId="70513108"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Real property subject to depreciation under generally accepted accounting principles</w:t>
      </w:r>
    </w:p>
    <w:p w14:paraId="573E0BF4" w14:textId="75D2FE62" w:rsidR="006F2564" w:rsidRPr="00FB3361" w:rsidRDefault="006F2564" w:rsidP="002608DD">
      <w:pPr>
        <w:pStyle w:val="ListParagraph"/>
        <w:widowControl/>
        <w:numPr>
          <w:ilvl w:val="2"/>
          <w:numId w:val="1"/>
        </w:numPr>
        <w:autoSpaceDE/>
        <w:autoSpaceDN/>
        <w:spacing w:after="200"/>
        <w:ind w:right="830"/>
        <w:contextualSpacing/>
        <w:rPr>
          <w:rFonts w:asciiTheme="minorHAnsi" w:hAnsiTheme="minorHAnsi" w:cstheme="minorHAnsi"/>
          <w:sz w:val="24"/>
          <w:szCs w:val="24"/>
        </w:rPr>
      </w:pPr>
      <w:r w:rsidRPr="00FB3361">
        <w:rPr>
          <w:rFonts w:asciiTheme="minorHAnsi" w:hAnsiTheme="minorHAnsi" w:cstheme="minorHAnsi"/>
          <w:sz w:val="24"/>
          <w:szCs w:val="24"/>
        </w:rPr>
        <w:t>Personal property subject to depreciation under generally accepted accounting principles</w:t>
      </w:r>
    </w:p>
    <w:p w14:paraId="287B6235" w14:textId="77777777" w:rsidR="006F2564" w:rsidRPr="00FF7A27" w:rsidRDefault="006F2564" w:rsidP="002608DD">
      <w:pPr>
        <w:pStyle w:val="BodyText"/>
        <w:rPr>
          <w:sz w:val="20"/>
          <w:szCs w:val="20"/>
        </w:rPr>
      </w:pPr>
    </w:p>
    <w:p w14:paraId="66B9174A" w14:textId="77777777" w:rsidR="00FB3361" w:rsidRPr="00FF7A27" w:rsidRDefault="00FB3361" w:rsidP="002608DD">
      <w:pPr>
        <w:pStyle w:val="BodyText"/>
        <w:rPr>
          <w:sz w:val="20"/>
          <w:szCs w:val="20"/>
        </w:rPr>
      </w:pPr>
    </w:p>
    <w:p w14:paraId="74EBCB21" w14:textId="36DCC8F0" w:rsidR="00307CDE" w:rsidRDefault="00307CDE" w:rsidP="002608DD">
      <w:pPr>
        <w:pStyle w:val="ListParagraph"/>
        <w:widowControl/>
        <w:numPr>
          <w:ilvl w:val="0"/>
          <w:numId w:val="1"/>
        </w:numPr>
        <w:autoSpaceDE/>
        <w:autoSpaceDN/>
        <w:spacing w:after="200"/>
        <w:contextualSpacing/>
        <w:rPr>
          <w:rFonts w:asciiTheme="minorHAnsi" w:hAnsiTheme="minorHAnsi" w:cstheme="minorHAnsi"/>
          <w:b/>
          <w:bCs/>
          <w:sz w:val="28"/>
          <w:szCs w:val="28"/>
        </w:rPr>
      </w:pPr>
      <w:r>
        <w:rPr>
          <w:rFonts w:asciiTheme="minorHAnsi" w:hAnsiTheme="minorHAnsi" w:cstheme="minorHAnsi"/>
          <w:b/>
          <w:bCs/>
          <w:sz w:val="28"/>
          <w:szCs w:val="28"/>
        </w:rPr>
        <w:t>Expedited Prior Approval Application Review</w:t>
      </w:r>
    </w:p>
    <w:p w14:paraId="03ACCBB2" w14:textId="77777777" w:rsidR="000B7CF5" w:rsidRPr="00FF7A27" w:rsidRDefault="000B7CF5" w:rsidP="002608DD">
      <w:pPr>
        <w:pStyle w:val="ListParagraph"/>
        <w:widowControl/>
        <w:autoSpaceDE/>
        <w:autoSpaceDN/>
        <w:spacing w:after="200"/>
        <w:ind w:left="1080"/>
        <w:contextualSpacing/>
        <w:rPr>
          <w:rFonts w:asciiTheme="minorHAnsi" w:hAnsiTheme="minorHAnsi" w:cstheme="minorHAnsi"/>
          <w:b/>
          <w:bCs/>
          <w:sz w:val="20"/>
          <w:szCs w:val="20"/>
        </w:rPr>
      </w:pPr>
    </w:p>
    <w:p w14:paraId="4F3E2E2F" w14:textId="3A75E6D2" w:rsidR="00307CDE" w:rsidRPr="007227BC" w:rsidRDefault="000B7CF5" w:rsidP="002608DD">
      <w:pPr>
        <w:pStyle w:val="ListParagraph"/>
        <w:widowControl/>
        <w:numPr>
          <w:ilvl w:val="1"/>
          <w:numId w:val="1"/>
        </w:numPr>
        <w:tabs>
          <w:tab w:val="left" w:pos="1440"/>
        </w:tabs>
        <w:autoSpaceDE/>
        <w:autoSpaceDN/>
        <w:spacing w:after="200"/>
        <w:ind w:left="1440" w:right="830"/>
        <w:contextualSpacing/>
        <w:rPr>
          <w:rFonts w:asciiTheme="minorHAnsi" w:hAnsiTheme="minorHAnsi" w:cstheme="minorBidi"/>
          <w:b/>
          <w:sz w:val="24"/>
          <w:szCs w:val="24"/>
        </w:rPr>
      </w:pPr>
      <w:r w:rsidRPr="131AC83F">
        <w:rPr>
          <w:rFonts w:asciiTheme="minorHAnsi" w:hAnsiTheme="minorHAnsi" w:cstheme="minorBidi"/>
          <w:sz w:val="24"/>
          <w:szCs w:val="24"/>
        </w:rPr>
        <w:t>Upon submitting an application online, a municipality may email a copy of the check for the filing fee and payment vouche</w:t>
      </w:r>
      <w:r w:rsidRPr="005B11D4">
        <w:rPr>
          <w:rFonts w:asciiTheme="minorHAnsi" w:hAnsiTheme="minorHAnsi" w:cstheme="minorBidi"/>
          <w:sz w:val="24"/>
          <w:szCs w:val="24"/>
        </w:rPr>
        <w:t xml:space="preserve">r to </w:t>
      </w:r>
      <w:hyperlink r:id="rId17" w:history="1">
        <w:r w:rsidRPr="007227BC">
          <w:rPr>
            <w:rStyle w:val="Hyperlink"/>
            <w:rFonts w:asciiTheme="minorHAnsi" w:eastAsiaTheme="minorHAnsi" w:hAnsiTheme="minorHAnsi" w:cstheme="minorBidi"/>
            <w:sz w:val="24"/>
            <w:szCs w:val="24"/>
            <w:u w:val="none"/>
            <w:lang w:bidi="ar-SA"/>
          </w:rPr>
          <w:t>Treas_MunicipalFinance@michigan.gov</w:t>
        </w:r>
      </w:hyperlink>
      <w:r w:rsidRPr="005B11D4">
        <w:rPr>
          <w:rFonts w:asciiTheme="minorHAnsi" w:hAnsiTheme="minorHAnsi" w:cstheme="minorBidi"/>
          <w:sz w:val="24"/>
          <w:szCs w:val="24"/>
        </w:rPr>
        <w:t>. Thi</w:t>
      </w:r>
      <w:r w:rsidRPr="131AC83F">
        <w:rPr>
          <w:rFonts w:asciiTheme="minorHAnsi" w:hAnsiTheme="minorHAnsi" w:cstheme="minorBidi"/>
          <w:sz w:val="24"/>
          <w:szCs w:val="24"/>
        </w:rPr>
        <w:t>s will be accepted as proof of payment.</w:t>
      </w:r>
    </w:p>
    <w:p w14:paraId="1D03FD23" w14:textId="77777777" w:rsidR="00A01165" w:rsidRPr="000B7CF5" w:rsidRDefault="00A01165" w:rsidP="002608DD">
      <w:pPr>
        <w:pStyle w:val="ListParagraph"/>
        <w:widowControl/>
        <w:tabs>
          <w:tab w:val="left" w:pos="1440"/>
        </w:tabs>
        <w:autoSpaceDE/>
        <w:autoSpaceDN/>
        <w:spacing w:after="200"/>
        <w:ind w:left="1440" w:right="830"/>
        <w:contextualSpacing/>
        <w:rPr>
          <w:rFonts w:asciiTheme="minorHAnsi" w:hAnsiTheme="minorHAnsi" w:cstheme="minorBidi"/>
          <w:b/>
          <w:sz w:val="24"/>
          <w:szCs w:val="24"/>
        </w:rPr>
      </w:pPr>
    </w:p>
    <w:p w14:paraId="65CD2F1E" w14:textId="6F7305AD" w:rsidR="000B7CF5" w:rsidRPr="000B7CF5" w:rsidRDefault="000B7CF5"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0B7CF5">
        <w:rPr>
          <w:rFonts w:asciiTheme="minorHAnsi" w:hAnsiTheme="minorHAnsi" w:cstheme="minorHAnsi"/>
          <w:sz w:val="24"/>
          <w:szCs w:val="24"/>
        </w:rPr>
        <w:t>A copy of the check and payment voucher should be attached as a single pdf file with the file name being the six-digit muni code followed by “P A check.” For example: 332020 P A check.</w:t>
      </w:r>
    </w:p>
    <w:p w14:paraId="3E6FE5BC" w14:textId="77777777" w:rsidR="000B7CF5" w:rsidRPr="00FF7A27" w:rsidRDefault="000B7CF5" w:rsidP="002608DD">
      <w:pPr>
        <w:pStyle w:val="ListParagraph"/>
        <w:widowControl/>
        <w:autoSpaceDE/>
        <w:autoSpaceDN/>
        <w:spacing w:after="200"/>
        <w:ind w:left="1800" w:right="830"/>
        <w:contextualSpacing/>
        <w:rPr>
          <w:rFonts w:asciiTheme="minorHAnsi" w:hAnsiTheme="minorHAnsi" w:cstheme="minorHAnsi"/>
          <w:b/>
          <w:bCs/>
          <w:sz w:val="20"/>
          <w:szCs w:val="20"/>
        </w:rPr>
      </w:pPr>
    </w:p>
    <w:p w14:paraId="66582AC8" w14:textId="218D8DF8" w:rsidR="000B7CF5" w:rsidRPr="000B7CF5" w:rsidRDefault="000B7CF5" w:rsidP="002608DD">
      <w:pPr>
        <w:pStyle w:val="ListParagraph"/>
        <w:widowControl/>
        <w:numPr>
          <w:ilvl w:val="1"/>
          <w:numId w:val="1"/>
        </w:numPr>
        <w:autoSpaceDE/>
        <w:autoSpaceDN/>
        <w:spacing w:after="200"/>
        <w:ind w:left="1080" w:right="830" w:firstLine="0"/>
        <w:contextualSpacing/>
        <w:rPr>
          <w:rFonts w:asciiTheme="minorHAnsi" w:hAnsiTheme="minorHAnsi" w:cstheme="minorHAnsi"/>
          <w:b/>
          <w:bCs/>
          <w:sz w:val="24"/>
          <w:szCs w:val="24"/>
        </w:rPr>
      </w:pPr>
      <w:r w:rsidRPr="000B7CF5">
        <w:rPr>
          <w:rFonts w:asciiTheme="minorHAnsi" w:hAnsiTheme="minorHAnsi" w:cstheme="minorHAnsi"/>
          <w:sz w:val="24"/>
          <w:szCs w:val="24"/>
        </w:rPr>
        <w:t>The email subject line should also be the six-digit muni code followed by “P A check.”</w:t>
      </w:r>
    </w:p>
    <w:p w14:paraId="74A5EA06" w14:textId="77777777" w:rsidR="000B7CF5" w:rsidRPr="00FF7A27" w:rsidRDefault="000B7CF5" w:rsidP="002608DD">
      <w:pPr>
        <w:pStyle w:val="ListParagraph"/>
        <w:ind w:right="830"/>
        <w:rPr>
          <w:sz w:val="20"/>
          <w:szCs w:val="20"/>
        </w:rPr>
      </w:pPr>
    </w:p>
    <w:p w14:paraId="6A776F69" w14:textId="4A89D83E" w:rsidR="000B7CF5" w:rsidRPr="000B7CF5" w:rsidRDefault="000B7CF5"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0B7CF5">
        <w:rPr>
          <w:rFonts w:asciiTheme="minorHAnsi" w:hAnsiTheme="minorHAnsi" w:cstheme="minorHAnsi"/>
          <w:sz w:val="24"/>
          <w:szCs w:val="24"/>
        </w:rPr>
        <w:t>Do not include a copy of the check with the supporting documents you upload online, as those will be posted on our publicly available web site.</w:t>
      </w:r>
    </w:p>
    <w:p w14:paraId="152BA9D8" w14:textId="77777777" w:rsidR="000B7CF5" w:rsidRPr="00FF7A27" w:rsidRDefault="000B7CF5" w:rsidP="002608DD">
      <w:pPr>
        <w:pStyle w:val="ListParagraph"/>
        <w:ind w:right="830"/>
        <w:rPr>
          <w:sz w:val="20"/>
          <w:szCs w:val="20"/>
        </w:rPr>
      </w:pPr>
    </w:p>
    <w:p w14:paraId="1A2982BE" w14:textId="1F4BB970" w:rsidR="000B7CF5" w:rsidRPr="000B7CF5" w:rsidRDefault="000B7CF5"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0B7CF5">
        <w:rPr>
          <w:rFonts w:asciiTheme="minorHAnsi" w:hAnsiTheme="minorHAnsi" w:cstheme="minorHAnsi"/>
          <w:sz w:val="24"/>
          <w:szCs w:val="24"/>
        </w:rPr>
        <w:t>Mail the live check and payment voucher via United States Postal Service mail as instructed on the voucher.</w:t>
      </w:r>
    </w:p>
    <w:p w14:paraId="59EAA785" w14:textId="77777777" w:rsidR="000B7CF5" w:rsidRPr="00FF7A27" w:rsidRDefault="000B7CF5" w:rsidP="002608DD">
      <w:pPr>
        <w:pStyle w:val="ListParagraph"/>
        <w:ind w:right="830"/>
        <w:rPr>
          <w:sz w:val="20"/>
          <w:szCs w:val="20"/>
        </w:rPr>
      </w:pPr>
    </w:p>
    <w:p w14:paraId="5B9924BC" w14:textId="7001171D" w:rsidR="000B7CF5" w:rsidRPr="000B7CF5" w:rsidRDefault="000B7CF5"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0B7CF5">
        <w:rPr>
          <w:rFonts w:asciiTheme="minorHAnsi" w:hAnsiTheme="minorHAnsi" w:cstheme="minorHAnsi"/>
          <w:sz w:val="24"/>
          <w:szCs w:val="24"/>
        </w:rPr>
        <w:t>Should the live check not b</w:t>
      </w:r>
      <w:r w:rsidRPr="005B11D4">
        <w:rPr>
          <w:rFonts w:asciiTheme="minorHAnsi" w:hAnsiTheme="minorHAnsi" w:cstheme="minorHAnsi"/>
          <w:sz w:val="24"/>
          <w:szCs w:val="24"/>
        </w:rPr>
        <w:t>e received by Treasury withi</w:t>
      </w:r>
      <w:r w:rsidRPr="000B7CF5">
        <w:rPr>
          <w:rFonts w:asciiTheme="minorHAnsi" w:hAnsiTheme="minorHAnsi" w:cstheme="minorHAnsi"/>
          <w:sz w:val="24"/>
          <w:szCs w:val="24"/>
        </w:rPr>
        <w:t>n one month of the application’s submission, the municipality may receive a denial of their subsequent year qualifying statement under Section 303(3)(o). Future applications will also be denied until all filing fees have been paid in full.</w:t>
      </w:r>
    </w:p>
    <w:p w14:paraId="5B5C0ED4" w14:textId="77777777" w:rsidR="000B7CF5" w:rsidRPr="00FF7A27" w:rsidRDefault="000B7CF5" w:rsidP="002608DD">
      <w:pPr>
        <w:pStyle w:val="ListParagraph"/>
        <w:ind w:right="830"/>
        <w:rPr>
          <w:sz w:val="20"/>
          <w:szCs w:val="20"/>
        </w:rPr>
      </w:pPr>
    </w:p>
    <w:p w14:paraId="752FF672" w14:textId="2DBDA312" w:rsidR="00E153C5" w:rsidRPr="00A06EA6" w:rsidRDefault="000B7CF5"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0B7CF5">
        <w:rPr>
          <w:rFonts w:asciiTheme="minorHAnsi" w:hAnsiTheme="minorHAnsi" w:cstheme="minorHAnsi"/>
          <w:sz w:val="24"/>
          <w:szCs w:val="24"/>
        </w:rPr>
        <w:t xml:space="preserve">For </w:t>
      </w:r>
      <w:r>
        <w:rPr>
          <w:rFonts w:asciiTheme="minorHAnsi" w:hAnsiTheme="minorHAnsi" w:cstheme="minorHAnsi"/>
          <w:sz w:val="24"/>
          <w:szCs w:val="24"/>
        </w:rPr>
        <w:t>S</w:t>
      </w:r>
      <w:r w:rsidRPr="000B7CF5">
        <w:rPr>
          <w:rFonts w:asciiTheme="minorHAnsi" w:hAnsiTheme="minorHAnsi" w:cstheme="minorHAnsi"/>
          <w:sz w:val="24"/>
          <w:szCs w:val="24"/>
        </w:rPr>
        <w:t xml:space="preserve">ecurity </w:t>
      </w:r>
      <w:r>
        <w:rPr>
          <w:rFonts w:asciiTheme="minorHAnsi" w:hAnsiTheme="minorHAnsi" w:cstheme="minorHAnsi"/>
          <w:sz w:val="24"/>
          <w:szCs w:val="24"/>
        </w:rPr>
        <w:t>R</w:t>
      </w:r>
      <w:r w:rsidRPr="000B7CF5">
        <w:rPr>
          <w:rFonts w:asciiTheme="minorHAnsi" w:hAnsiTheme="minorHAnsi" w:cstheme="minorHAnsi"/>
          <w:sz w:val="24"/>
          <w:szCs w:val="24"/>
        </w:rPr>
        <w:t>eport filing fees, continue to send via United States Postal Service mail as is current practice. Do not email a copy of the check for security report filing fees.</w:t>
      </w:r>
    </w:p>
    <w:p w14:paraId="1490BB4D" w14:textId="77777777" w:rsidR="00A06EA6" w:rsidRPr="00FF7A27" w:rsidRDefault="00A06EA6" w:rsidP="002608DD">
      <w:pPr>
        <w:pStyle w:val="BodyText"/>
        <w:ind w:right="830"/>
        <w:rPr>
          <w:sz w:val="20"/>
          <w:szCs w:val="20"/>
        </w:rPr>
      </w:pPr>
    </w:p>
    <w:p w14:paraId="71600AFB" w14:textId="77777777" w:rsidR="000B7CF5" w:rsidRPr="00FF7A27" w:rsidRDefault="000B7CF5" w:rsidP="002608DD">
      <w:pPr>
        <w:pStyle w:val="ListParagraph"/>
        <w:ind w:right="830"/>
        <w:rPr>
          <w:sz w:val="20"/>
          <w:szCs w:val="20"/>
        </w:rPr>
      </w:pPr>
    </w:p>
    <w:p w14:paraId="3816A728" w14:textId="7F6369CF" w:rsidR="00856E04" w:rsidRPr="008427A0" w:rsidRDefault="00E806A1" w:rsidP="002608DD">
      <w:pPr>
        <w:pStyle w:val="ListParagraph"/>
        <w:widowControl/>
        <w:numPr>
          <w:ilvl w:val="0"/>
          <w:numId w:val="1"/>
        </w:numPr>
        <w:autoSpaceDE/>
        <w:autoSpaceDN/>
        <w:spacing w:after="200"/>
        <w:ind w:right="830"/>
        <w:contextualSpacing/>
        <w:rPr>
          <w:rFonts w:asciiTheme="minorHAnsi" w:hAnsiTheme="minorHAnsi" w:cstheme="minorBidi"/>
          <w:b/>
          <w:bCs/>
          <w:sz w:val="28"/>
          <w:szCs w:val="28"/>
        </w:rPr>
      </w:pPr>
      <w:r w:rsidRPr="777337B4">
        <w:rPr>
          <w:rFonts w:asciiTheme="minorHAnsi" w:hAnsiTheme="minorHAnsi" w:cstheme="minorBidi"/>
          <w:b/>
          <w:bCs/>
          <w:sz w:val="28"/>
          <w:szCs w:val="28"/>
        </w:rPr>
        <w:t>Net Present Value Loss Exemptions</w:t>
      </w:r>
    </w:p>
    <w:p w14:paraId="566AE37C" w14:textId="77777777" w:rsidR="00586171" w:rsidRPr="00FF7A27" w:rsidRDefault="00586171" w:rsidP="002608DD">
      <w:pPr>
        <w:pStyle w:val="ListParagraph"/>
        <w:widowControl/>
        <w:autoSpaceDE/>
        <w:autoSpaceDN/>
        <w:spacing w:after="200"/>
        <w:ind w:left="1080" w:right="830"/>
        <w:contextualSpacing/>
        <w:rPr>
          <w:rFonts w:asciiTheme="minorHAnsi" w:hAnsiTheme="minorHAnsi" w:cstheme="minorHAnsi"/>
          <w:b/>
          <w:bCs/>
          <w:sz w:val="20"/>
          <w:szCs w:val="20"/>
        </w:rPr>
      </w:pPr>
    </w:p>
    <w:p w14:paraId="70B0DC74" w14:textId="69BB31E9" w:rsidR="00E806A1" w:rsidRPr="008427A0" w:rsidRDefault="00E806A1" w:rsidP="002608DD">
      <w:pPr>
        <w:pStyle w:val="ListParagraph"/>
        <w:widowControl/>
        <w:numPr>
          <w:ilvl w:val="1"/>
          <w:numId w:val="1"/>
        </w:numPr>
        <w:autoSpaceDE/>
        <w:autoSpaceDN/>
        <w:spacing w:after="200"/>
        <w:ind w:left="1440" w:right="830"/>
        <w:contextualSpacing/>
        <w:rPr>
          <w:rFonts w:asciiTheme="minorHAnsi" w:hAnsiTheme="minorHAnsi" w:cstheme="minorHAnsi"/>
          <w:b/>
          <w:bCs/>
          <w:sz w:val="24"/>
          <w:szCs w:val="24"/>
        </w:rPr>
      </w:pPr>
      <w:r w:rsidRPr="008427A0">
        <w:rPr>
          <w:rFonts w:asciiTheme="minorHAnsi" w:hAnsiTheme="minorHAnsi" w:cstheme="minorHAnsi"/>
          <w:sz w:val="24"/>
          <w:szCs w:val="24"/>
        </w:rPr>
        <w:t>Public Act 34 of 2001, the Revised Municipal Finance Act, Section 611, states an issuer may only issue a refunding security when the net present value of the principal and interest to be paid on the refunding security, including the cost of issuance, is less than the net present value of the principal and interest to be paid on the outstanding security being refunded. A municipality may obtain an exemption from the net present value savings requirement if Treasury determines a reasonable basis for that exception exists. A reasonable basis, for purposes of Sect</w:t>
      </w:r>
      <w:r w:rsidRPr="005B11D4">
        <w:rPr>
          <w:rFonts w:asciiTheme="minorHAnsi" w:hAnsiTheme="minorHAnsi" w:cstheme="minorHAnsi"/>
          <w:sz w:val="24"/>
          <w:szCs w:val="24"/>
        </w:rPr>
        <w:t>ion 611</w:t>
      </w:r>
      <w:r w:rsidR="004B17AB" w:rsidRPr="005B11D4">
        <w:rPr>
          <w:rFonts w:asciiTheme="minorHAnsi" w:hAnsiTheme="minorHAnsi" w:cstheme="minorHAnsi"/>
          <w:sz w:val="24"/>
          <w:szCs w:val="24"/>
        </w:rPr>
        <w:t>,</w:t>
      </w:r>
      <w:r w:rsidRPr="005B11D4">
        <w:rPr>
          <w:rFonts w:asciiTheme="minorHAnsi" w:hAnsiTheme="minorHAnsi" w:cstheme="minorHAnsi"/>
          <w:sz w:val="24"/>
          <w:szCs w:val="24"/>
        </w:rPr>
        <w:t xml:space="preserve"> includes </w:t>
      </w:r>
      <w:r w:rsidR="001213ED" w:rsidRPr="005B11D4">
        <w:rPr>
          <w:rFonts w:asciiTheme="minorHAnsi" w:hAnsiTheme="minorHAnsi" w:cstheme="minorHAnsi"/>
          <w:sz w:val="24"/>
          <w:szCs w:val="24"/>
        </w:rPr>
        <w:t xml:space="preserve">four acceptable </w:t>
      </w:r>
      <w:r w:rsidRPr="005B11D4">
        <w:rPr>
          <w:rFonts w:asciiTheme="minorHAnsi" w:hAnsiTheme="minorHAnsi" w:cstheme="minorHAnsi"/>
          <w:sz w:val="24"/>
          <w:szCs w:val="24"/>
        </w:rPr>
        <w:t>situations</w:t>
      </w:r>
      <w:r w:rsidR="001213ED" w:rsidRPr="005B11D4">
        <w:rPr>
          <w:rFonts w:asciiTheme="minorHAnsi" w:hAnsiTheme="minorHAnsi" w:cstheme="minorHAnsi"/>
          <w:sz w:val="24"/>
          <w:szCs w:val="24"/>
        </w:rPr>
        <w:t>, one of which is</w:t>
      </w:r>
      <w:r w:rsidRPr="005B11D4">
        <w:rPr>
          <w:rFonts w:asciiTheme="minorHAnsi" w:hAnsiTheme="minorHAnsi" w:cstheme="minorHAnsi"/>
          <w:sz w:val="24"/>
          <w:szCs w:val="24"/>
        </w:rPr>
        <w:t xml:space="preserve"> wh</w:t>
      </w:r>
      <w:r w:rsidRPr="008427A0">
        <w:rPr>
          <w:rFonts w:asciiTheme="minorHAnsi" w:hAnsiTheme="minorHAnsi" w:cstheme="minorHAnsi"/>
          <w:sz w:val="24"/>
          <w:szCs w:val="24"/>
        </w:rPr>
        <w:t xml:space="preserve">ere the refunding is necessary to reduce or eliminate requirements of ordinances or covenants applicable to the existing outstanding security. </w:t>
      </w:r>
      <w:r w:rsidR="00A01165">
        <w:rPr>
          <w:rFonts w:asciiTheme="minorHAnsi" w:hAnsiTheme="minorHAnsi" w:cstheme="minorHAnsi"/>
          <w:sz w:val="24"/>
          <w:szCs w:val="24"/>
        </w:rPr>
        <w:t xml:space="preserve">The other three acceptable situations are shown in </w:t>
      </w:r>
      <w:r w:rsidR="007227BC">
        <w:rPr>
          <w:rFonts w:asciiTheme="minorHAnsi" w:hAnsiTheme="minorHAnsi" w:cstheme="minorHAnsi"/>
          <w:sz w:val="24"/>
          <w:szCs w:val="24"/>
        </w:rPr>
        <w:t>#6.</w:t>
      </w:r>
      <w:r w:rsidR="00A01165">
        <w:rPr>
          <w:rFonts w:asciiTheme="minorHAnsi" w:hAnsiTheme="minorHAnsi" w:cstheme="minorHAnsi"/>
          <w:sz w:val="24"/>
          <w:szCs w:val="24"/>
        </w:rPr>
        <w:t xml:space="preserve">d. below. </w:t>
      </w:r>
    </w:p>
    <w:p w14:paraId="3E44B492" w14:textId="77777777" w:rsidR="00E806A1" w:rsidRPr="00FF7A27" w:rsidRDefault="00E806A1" w:rsidP="002608DD">
      <w:pPr>
        <w:pStyle w:val="ListParagraph"/>
        <w:widowControl/>
        <w:autoSpaceDE/>
        <w:autoSpaceDN/>
        <w:spacing w:after="200"/>
        <w:ind w:left="1800"/>
        <w:contextualSpacing/>
        <w:rPr>
          <w:rFonts w:asciiTheme="minorHAnsi" w:hAnsiTheme="minorHAnsi" w:cstheme="minorHAnsi"/>
          <w:b/>
          <w:bCs/>
          <w:sz w:val="20"/>
          <w:szCs w:val="20"/>
        </w:rPr>
      </w:pPr>
    </w:p>
    <w:p w14:paraId="092BD92B" w14:textId="201A2719" w:rsidR="00E806A1" w:rsidRPr="008427A0" w:rsidRDefault="00E806A1" w:rsidP="002608DD">
      <w:pPr>
        <w:pStyle w:val="ListParagraph"/>
        <w:widowControl/>
        <w:numPr>
          <w:ilvl w:val="1"/>
          <w:numId w:val="1"/>
        </w:numPr>
        <w:tabs>
          <w:tab w:val="left" w:pos="10170"/>
        </w:tabs>
        <w:autoSpaceDE/>
        <w:autoSpaceDN/>
        <w:spacing w:after="200"/>
        <w:ind w:left="1440" w:right="830"/>
        <w:contextualSpacing/>
        <w:rPr>
          <w:rFonts w:asciiTheme="minorHAnsi" w:hAnsiTheme="minorHAnsi" w:cstheme="minorHAnsi"/>
          <w:b/>
          <w:bCs/>
          <w:sz w:val="24"/>
          <w:szCs w:val="24"/>
        </w:rPr>
      </w:pPr>
      <w:r w:rsidRPr="008427A0">
        <w:rPr>
          <w:rFonts w:asciiTheme="minorHAnsi" w:hAnsiTheme="minorHAnsi" w:cstheme="minorHAnsi"/>
          <w:sz w:val="24"/>
          <w:szCs w:val="24"/>
        </w:rPr>
        <w:t>A covenant is an enforceable promise to do, or refrain from doing, some act, generally intended to maintain the level of risk assumed at the time of issuance, and to provide assurances that are legally enforceable. Generally, with respect to municipal bonds, covenants may be found explic</w:t>
      </w:r>
      <w:r w:rsidR="00704066" w:rsidRPr="008427A0">
        <w:rPr>
          <w:rFonts w:asciiTheme="minorHAnsi" w:hAnsiTheme="minorHAnsi" w:cstheme="minorHAnsi"/>
          <w:sz w:val="24"/>
          <w:szCs w:val="24"/>
        </w:rPr>
        <w:t>itly</w:t>
      </w:r>
      <w:r w:rsidRPr="008427A0">
        <w:rPr>
          <w:rFonts w:asciiTheme="minorHAnsi" w:hAnsiTheme="minorHAnsi" w:cstheme="minorHAnsi"/>
          <w:sz w:val="24"/>
          <w:szCs w:val="24"/>
        </w:rPr>
        <w:t xml:space="preserve"> stated in the bond contract, resolution, or indenture. Typical bond covenants include cove</w:t>
      </w:r>
      <w:r w:rsidR="00704066" w:rsidRPr="008427A0">
        <w:rPr>
          <w:rFonts w:asciiTheme="minorHAnsi" w:hAnsiTheme="minorHAnsi" w:cstheme="minorHAnsi"/>
          <w:sz w:val="24"/>
          <w:szCs w:val="24"/>
        </w:rPr>
        <w:t>nants</w:t>
      </w:r>
      <w:r w:rsidRPr="008427A0">
        <w:rPr>
          <w:rFonts w:asciiTheme="minorHAnsi" w:hAnsiTheme="minorHAnsi" w:cstheme="minorHAnsi"/>
          <w:sz w:val="24"/>
          <w:szCs w:val="24"/>
        </w:rPr>
        <w:t xml:space="preserve"> to maintain casualty insurance on the financed project; to complete, maintain, and operate the project in a manner to ensure revenue to meet the bond obligations; not to encumber or sell the project; not to issue parity bonds unless certain earnings tests are met; or not to violate Inte</w:t>
      </w:r>
      <w:r w:rsidR="00704066" w:rsidRPr="008427A0">
        <w:rPr>
          <w:rFonts w:asciiTheme="minorHAnsi" w:hAnsiTheme="minorHAnsi" w:cstheme="minorHAnsi"/>
          <w:sz w:val="24"/>
          <w:szCs w:val="24"/>
        </w:rPr>
        <w:t>rnal</w:t>
      </w:r>
      <w:r w:rsidRPr="008427A0">
        <w:rPr>
          <w:rFonts w:asciiTheme="minorHAnsi" w:hAnsiTheme="minorHAnsi" w:cstheme="minorHAnsi"/>
          <w:sz w:val="24"/>
          <w:szCs w:val="24"/>
        </w:rPr>
        <w:t xml:space="preserve"> Revenue Service regulations or take other actions that would cause the bonds to become arb</w:t>
      </w:r>
      <w:r w:rsidR="00704066" w:rsidRPr="008427A0">
        <w:rPr>
          <w:rFonts w:asciiTheme="minorHAnsi" w:hAnsiTheme="minorHAnsi" w:cstheme="minorHAnsi"/>
          <w:sz w:val="24"/>
          <w:szCs w:val="24"/>
        </w:rPr>
        <w:t>itrage</w:t>
      </w:r>
      <w:r w:rsidRPr="008427A0">
        <w:rPr>
          <w:rFonts w:asciiTheme="minorHAnsi" w:hAnsiTheme="minorHAnsi" w:cstheme="minorHAnsi"/>
          <w:sz w:val="24"/>
          <w:szCs w:val="24"/>
        </w:rPr>
        <w:t xml:space="preserve"> bonds. </w:t>
      </w:r>
    </w:p>
    <w:p w14:paraId="72370DE0" w14:textId="77777777" w:rsidR="00E806A1" w:rsidRPr="008427A0" w:rsidRDefault="00E806A1" w:rsidP="002608DD">
      <w:pPr>
        <w:pStyle w:val="ListParagraph"/>
        <w:tabs>
          <w:tab w:val="left" w:pos="10170"/>
        </w:tabs>
        <w:ind w:right="830"/>
        <w:rPr>
          <w:rFonts w:asciiTheme="minorHAnsi" w:hAnsiTheme="minorHAnsi" w:cstheme="minorHAnsi"/>
          <w:sz w:val="24"/>
          <w:szCs w:val="24"/>
        </w:rPr>
      </w:pPr>
    </w:p>
    <w:p w14:paraId="2F453AF6" w14:textId="5506E4E4" w:rsidR="00B450DE" w:rsidRPr="005B11D4" w:rsidRDefault="00E806A1" w:rsidP="002608DD">
      <w:pPr>
        <w:pStyle w:val="ListParagraph"/>
        <w:widowControl/>
        <w:numPr>
          <w:ilvl w:val="1"/>
          <w:numId w:val="1"/>
        </w:numPr>
        <w:tabs>
          <w:tab w:val="left" w:pos="10170"/>
        </w:tabs>
        <w:autoSpaceDE/>
        <w:autoSpaceDN/>
        <w:spacing w:after="200"/>
        <w:ind w:left="1440" w:right="830"/>
        <w:contextualSpacing/>
        <w:rPr>
          <w:rFonts w:asciiTheme="minorHAnsi" w:hAnsiTheme="minorHAnsi" w:cstheme="minorHAnsi"/>
          <w:b/>
          <w:bCs/>
          <w:sz w:val="24"/>
          <w:szCs w:val="24"/>
        </w:rPr>
      </w:pPr>
      <w:r w:rsidRPr="008427A0">
        <w:rPr>
          <w:rFonts w:asciiTheme="minorHAnsi" w:hAnsiTheme="minorHAnsi" w:cstheme="minorHAnsi"/>
          <w:sz w:val="24"/>
          <w:szCs w:val="24"/>
        </w:rPr>
        <w:t xml:space="preserve">Although the maturity date is an essential term of an ordinance, resolution, indenture, loan </w:t>
      </w:r>
      <w:r w:rsidR="00777F42" w:rsidRPr="008427A0">
        <w:rPr>
          <w:rFonts w:asciiTheme="minorHAnsi" w:hAnsiTheme="minorHAnsi" w:cstheme="minorHAnsi"/>
          <w:sz w:val="24"/>
          <w:szCs w:val="24"/>
        </w:rPr>
        <w:t>contract</w:t>
      </w:r>
      <w:r w:rsidRPr="008427A0">
        <w:rPr>
          <w:rFonts w:asciiTheme="minorHAnsi" w:hAnsiTheme="minorHAnsi" w:cstheme="minorHAnsi"/>
          <w:sz w:val="24"/>
          <w:szCs w:val="24"/>
        </w:rPr>
        <w:t xml:space="preserve"> agreement, or other evidence of indebtedness, </w:t>
      </w:r>
      <w:r w:rsidR="00777F42" w:rsidRPr="008427A0">
        <w:rPr>
          <w:rFonts w:asciiTheme="minorHAnsi" w:hAnsiTheme="minorHAnsi" w:cstheme="minorHAnsi"/>
          <w:sz w:val="24"/>
          <w:szCs w:val="24"/>
        </w:rPr>
        <w:t>Treasury</w:t>
      </w:r>
      <w:r w:rsidRPr="008427A0">
        <w:rPr>
          <w:rFonts w:asciiTheme="minorHAnsi" w:hAnsiTheme="minorHAnsi" w:cstheme="minorHAnsi"/>
          <w:sz w:val="24"/>
          <w:szCs w:val="24"/>
        </w:rPr>
        <w:t xml:space="preserve"> has determined that the ma</w:t>
      </w:r>
      <w:r w:rsidR="00777F42" w:rsidRPr="008427A0">
        <w:rPr>
          <w:rFonts w:asciiTheme="minorHAnsi" w:hAnsiTheme="minorHAnsi" w:cstheme="minorHAnsi"/>
          <w:sz w:val="24"/>
          <w:szCs w:val="24"/>
        </w:rPr>
        <w:t>turity</w:t>
      </w:r>
      <w:r w:rsidRPr="008427A0">
        <w:rPr>
          <w:rFonts w:asciiTheme="minorHAnsi" w:hAnsiTheme="minorHAnsi" w:cstheme="minorHAnsi"/>
          <w:sz w:val="24"/>
          <w:szCs w:val="24"/>
        </w:rPr>
        <w:t xml:space="preserve"> date is not considered to be a "covenant" for the purposes of Section 611(2)(b), and the modification or extension </w:t>
      </w:r>
      <w:r w:rsidRPr="00E806A1">
        <w:rPr>
          <w:rFonts w:asciiTheme="minorHAnsi" w:hAnsiTheme="minorHAnsi" w:cstheme="minorHAnsi"/>
          <w:sz w:val="24"/>
          <w:szCs w:val="24"/>
        </w:rPr>
        <w:t>of a maturity date does not constitute a reduction or elimin</w:t>
      </w:r>
      <w:r w:rsidRPr="005B11D4">
        <w:rPr>
          <w:rFonts w:asciiTheme="minorHAnsi" w:hAnsiTheme="minorHAnsi" w:cstheme="minorHAnsi"/>
          <w:sz w:val="24"/>
          <w:szCs w:val="24"/>
        </w:rPr>
        <w:t>ation of requirements of ordinances or covenants applicable to the existing outstanding security with re</w:t>
      </w:r>
      <w:r w:rsidR="00777F42" w:rsidRPr="005B11D4">
        <w:rPr>
          <w:rFonts w:asciiTheme="minorHAnsi" w:hAnsiTheme="minorHAnsi" w:cstheme="minorHAnsi"/>
          <w:sz w:val="24"/>
          <w:szCs w:val="24"/>
        </w:rPr>
        <w:t>s</w:t>
      </w:r>
      <w:r w:rsidRPr="005B11D4">
        <w:rPr>
          <w:rFonts w:asciiTheme="minorHAnsi" w:hAnsiTheme="minorHAnsi" w:cstheme="minorHAnsi"/>
          <w:sz w:val="24"/>
          <w:szCs w:val="24"/>
        </w:rPr>
        <w:t xml:space="preserve">pect to Section 611(2)(b). </w:t>
      </w:r>
      <w:r w:rsidR="00777F42" w:rsidRPr="005B11D4">
        <w:rPr>
          <w:rFonts w:asciiTheme="minorHAnsi" w:hAnsiTheme="minorHAnsi" w:cstheme="minorHAnsi"/>
          <w:sz w:val="24"/>
          <w:szCs w:val="24"/>
        </w:rPr>
        <w:t>Treasury</w:t>
      </w:r>
      <w:r w:rsidRPr="005B11D4">
        <w:rPr>
          <w:rFonts w:asciiTheme="minorHAnsi" w:hAnsiTheme="minorHAnsi" w:cstheme="minorHAnsi"/>
          <w:sz w:val="24"/>
          <w:szCs w:val="24"/>
        </w:rPr>
        <w:t xml:space="preserve"> expresses no opinion as to whether the maturity date is a covenant for purposes other than</w:t>
      </w:r>
      <w:r w:rsidR="00586171" w:rsidRPr="005B11D4">
        <w:rPr>
          <w:rFonts w:asciiTheme="minorHAnsi" w:hAnsiTheme="minorHAnsi" w:cstheme="minorHAnsi"/>
          <w:sz w:val="24"/>
          <w:szCs w:val="24"/>
        </w:rPr>
        <w:t xml:space="preserve"> Section 611(2)(b).</w:t>
      </w:r>
      <w:r w:rsidRPr="005B11D4">
        <w:rPr>
          <w:rFonts w:asciiTheme="minorHAnsi" w:hAnsiTheme="minorHAnsi" w:cstheme="minorHAnsi"/>
          <w:sz w:val="24"/>
          <w:szCs w:val="24"/>
        </w:rPr>
        <w:t xml:space="preserve"> </w:t>
      </w:r>
    </w:p>
    <w:p w14:paraId="39981915" w14:textId="77777777" w:rsidR="001213ED" w:rsidRPr="00FF7A27" w:rsidRDefault="001213ED" w:rsidP="002608DD">
      <w:pPr>
        <w:pStyle w:val="ListParagraph"/>
        <w:tabs>
          <w:tab w:val="left" w:pos="10170"/>
        </w:tabs>
        <w:ind w:right="830"/>
        <w:rPr>
          <w:rFonts w:asciiTheme="minorHAnsi" w:hAnsiTheme="minorHAnsi" w:cstheme="minorHAnsi"/>
          <w:b/>
          <w:bCs/>
          <w:sz w:val="20"/>
          <w:szCs w:val="20"/>
        </w:rPr>
      </w:pPr>
    </w:p>
    <w:p w14:paraId="1D46A0EB" w14:textId="2682CF7A" w:rsidR="001213ED" w:rsidRPr="005B11D4" w:rsidRDefault="00011F2F" w:rsidP="002608DD">
      <w:pPr>
        <w:pStyle w:val="ListParagraph"/>
        <w:widowControl/>
        <w:numPr>
          <w:ilvl w:val="1"/>
          <w:numId w:val="1"/>
        </w:numPr>
        <w:tabs>
          <w:tab w:val="left" w:pos="10170"/>
        </w:tabs>
        <w:autoSpaceDE/>
        <w:autoSpaceDN/>
        <w:spacing w:after="200"/>
        <w:ind w:left="1440"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Other three </w:t>
      </w:r>
      <w:r w:rsidR="001213ED" w:rsidRPr="005B11D4">
        <w:rPr>
          <w:rFonts w:asciiTheme="minorHAnsi" w:hAnsiTheme="minorHAnsi" w:cstheme="minorHAnsi"/>
          <w:sz w:val="24"/>
          <w:szCs w:val="24"/>
        </w:rPr>
        <w:t>acceptable situations that are a “reasonable basis” for purposes of Section 611 include the following:</w:t>
      </w:r>
    </w:p>
    <w:p w14:paraId="354C1A47" w14:textId="77777777" w:rsidR="001213ED" w:rsidRPr="00FF7A27" w:rsidRDefault="001213ED" w:rsidP="002608DD">
      <w:pPr>
        <w:pStyle w:val="ListParagraph"/>
        <w:tabs>
          <w:tab w:val="left" w:pos="10170"/>
        </w:tabs>
        <w:ind w:right="830"/>
        <w:rPr>
          <w:rFonts w:asciiTheme="minorHAnsi" w:hAnsiTheme="minorHAnsi" w:cstheme="minorHAnsi"/>
          <w:sz w:val="20"/>
          <w:szCs w:val="20"/>
        </w:rPr>
      </w:pPr>
    </w:p>
    <w:p w14:paraId="4F095D46" w14:textId="3F678193" w:rsidR="001213ED" w:rsidRPr="005B11D4" w:rsidRDefault="001213ED" w:rsidP="002608DD">
      <w:pPr>
        <w:pStyle w:val="ListParagraph"/>
        <w:widowControl/>
        <w:numPr>
          <w:ilvl w:val="2"/>
          <w:numId w:val="1"/>
        </w:numPr>
        <w:tabs>
          <w:tab w:val="left" w:pos="10170"/>
        </w:tabs>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Refunding is required by a state or federal agency</w:t>
      </w:r>
      <w:r w:rsidR="000D24AA">
        <w:rPr>
          <w:rFonts w:asciiTheme="minorHAnsi" w:hAnsiTheme="minorHAnsi" w:cstheme="minorHAnsi"/>
          <w:sz w:val="24"/>
          <w:szCs w:val="24"/>
        </w:rPr>
        <w:t>.</w:t>
      </w:r>
    </w:p>
    <w:p w14:paraId="282C77A7" w14:textId="3EB7F03E" w:rsidR="001213ED" w:rsidRPr="005B11D4" w:rsidRDefault="001213ED" w:rsidP="002608DD">
      <w:pPr>
        <w:pStyle w:val="ListParagraph"/>
        <w:widowControl/>
        <w:numPr>
          <w:ilvl w:val="2"/>
          <w:numId w:val="1"/>
        </w:numPr>
        <w:tabs>
          <w:tab w:val="left" w:pos="10170"/>
        </w:tabs>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Refunding is necessary to avoid a potential default on an outstanding security</w:t>
      </w:r>
      <w:r w:rsidR="000D24AA">
        <w:rPr>
          <w:rFonts w:asciiTheme="minorHAnsi" w:hAnsiTheme="minorHAnsi" w:cstheme="minorHAnsi"/>
          <w:sz w:val="24"/>
          <w:szCs w:val="24"/>
        </w:rPr>
        <w:t>.</w:t>
      </w:r>
    </w:p>
    <w:p w14:paraId="63522870" w14:textId="54F9B4E8" w:rsidR="001213ED" w:rsidRPr="005B11D4" w:rsidRDefault="001213ED" w:rsidP="002608DD">
      <w:pPr>
        <w:pStyle w:val="ListParagraph"/>
        <w:widowControl/>
        <w:numPr>
          <w:ilvl w:val="2"/>
          <w:numId w:val="1"/>
        </w:numPr>
        <w:tabs>
          <w:tab w:val="left" w:pos="10170"/>
        </w:tabs>
        <w:autoSpaceDE/>
        <w:autoSpaceDN/>
        <w:spacing w:after="200"/>
        <w:ind w:right="830"/>
        <w:contextualSpacing/>
        <w:rPr>
          <w:rFonts w:asciiTheme="minorHAnsi" w:hAnsiTheme="minorHAnsi" w:cstheme="minorHAnsi"/>
          <w:sz w:val="24"/>
          <w:szCs w:val="24"/>
        </w:rPr>
      </w:pPr>
      <w:r w:rsidRPr="005B11D4">
        <w:rPr>
          <w:rFonts w:asciiTheme="minorHAnsi" w:hAnsiTheme="minorHAnsi" w:cstheme="minorHAnsi"/>
          <w:sz w:val="24"/>
          <w:szCs w:val="24"/>
        </w:rPr>
        <w:t>Refunding of a bond anticipation note under Section 413</w:t>
      </w:r>
      <w:r w:rsidR="000D24AA">
        <w:rPr>
          <w:rFonts w:asciiTheme="minorHAnsi" w:hAnsiTheme="minorHAnsi" w:cstheme="minorHAnsi"/>
          <w:sz w:val="24"/>
          <w:szCs w:val="24"/>
        </w:rPr>
        <w:t>.</w:t>
      </w:r>
    </w:p>
    <w:p w14:paraId="75833074" w14:textId="77777777" w:rsidR="00A55EAA" w:rsidRPr="00FF7A27" w:rsidRDefault="00A55EAA" w:rsidP="002608DD">
      <w:pPr>
        <w:pStyle w:val="ListParagraph"/>
        <w:rPr>
          <w:rFonts w:asciiTheme="minorHAnsi" w:hAnsiTheme="minorHAnsi" w:cstheme="minorHAnsi"/>
          <w:sz w:val="20"/>
          <w:szCs w:val="20"/>
        </w:rPr>
      </w:pPr>
    </w:p>
    <w:p w14:paraId="093F5C66" w14:textId="77777777" w:rsidR="00C55BF0" w:rsidRPr="00FF7A27" w:rsidRDefault="00C55BF0" w:rsidP="002608DD">
      <w:pPr>
        <w:pStyle w:val="ListParagraph"/>
        <w:rPr>
          <w:rFonts w:asciiTheme="minorHAnsi" w:hAnsiTheme="minorHAnsi" w:cstheme="minorHAnsi"/>
          <w:sz w:val="20"/>
          <w:szCs w:val="20"/>
        </w:rPr>
      </w:pPr>
    </w:p>
    <w:p w14:paraId="62D331BC" w14:textId="77777777" w:rsidR="00A55EAA" w:rsidRPr="0035472E" w:rsidRDefault="00A55EAA" w:rsidP="002608DD">
      <w:pPr>
        <w:pStyle w:val="ListParagraph"/>
        <w:widowControl/>
        <w:numPr>
          <w:ilvl w:val="0"/>
          <w:numId w:val="1"/>
        </w:numPr>
        <w:autoSpaceDE/>
        <w:autoSpaceDN/>
        <w:spacing w:after="200"/>
        <w:contextualSpacing/>
        <w:rPr>
          <w:rFonts w:asciiTheme="minorHAnsi" w:hAnsiTheme="minorHAnsi" w:cstheme="minorHAnsi"/>
          <w:b/>
          <w:bCs/>
          <w:sz w:val="28"/>
          <w:szCs w:val="28"/>
        </w:rPr>
      </w:pPr>
      <w:r w:rsidRPr="0035472E">
        <w:rPr>
          <w:rFonts w:asciiTheme="minorHAnsi" w:hAnsiTheme="minorHAnsi" w:cstheme="minorHAnsi"/>
          <w:b/>
          <w:bCs/>
          <w:sz w:val="28"/>
          <w:szCs w:val="28"/>
        </w:rPr>
        <w:t>Resources</w:t>
      </w:r>
    </w:p>
    <w:p w14:paraId="5B27EFFB" w14:textId="77777777" w:rsidR="00A55EAA" w:rsidRPr="00FF7A27" w:rsidRDefault="00A55EAA" w:rsidP="002608DD">
      <w:pPr>
        <w:pStyle w:val="ListParagraph"/>
        <w:widowControl/>
        <w:autoSpaceDE/>
        <w:autoSpaceDN/>
        <w:spacing w:after="200"/>
        <w:ind w:left="1080"/>
        <w:contextualSpacing/>
        <w:rPr>
          <w:rFonts w:asciiTheme="minorHAnsi" w:hAnsiTheme="minorHAnsi" w:cstheme="minorHAnsi"/>
          <w:b/>
          <w:bCs/>
          <w:sz w:val="20"/>
          <w:szCs w:val="20"/>
        </w:rPr>
      </w:pPr>
    </w:p>
    <w:p w14:paraId="262E6599" w14:textId="262A3910" w:rsidR="00A55EAA" w:rsidRPr="0035472E" w:rsidRDefault="00A55EAA" w:rsidP="002608DD">
      <w:pPr>
        <w:pStyle w:val="ListParagraph"/>
        <w:widowControl/>
        <w:numPr>
          <w:ilvl w:val="0"/>
          <w:numId w:val="18"/>
        </w:numPr>
        <w:autoSpaceDE/>
        <w:autoSpaceDN/>
        <w:spacing w:after="200"/>
        <w:ind w:right="830"/>
        <w:contextualSpacing/>
        <w:rPr>
          <w:rFonts w:asciiTheme="minorHAnsi" w:hAnsiTheme="minorHAnsi" w:cstheme="minorHAnsi"/>
          <w:sz w:val="24"/>
          <w:szCs w:val="24"/>
        </w:rPr>
      </w:pPr>
      <w:r w:rsidRPr="0035472E">
        <w:rPr>
          <w:rFonts w:asciiTheme="minorHAnsi" w:hAnsiTheme="minorHAnsi" w:cstheme="minorHAnsi"/>
          <w:sz w:val="24"/>
          <w:szCs w:val="24"/>
        </w:rPr>
        <w:t xml:space="preserve">Treasury has an online video library which includes videos on the borrowing process, including </w:t>
      </w:r>
      <w:r w:rsidR="0035472E" w:rsidRPr="0035472E">
        <w:rPr>
          <w:rFonts w:asciiTheme="minorHAnsi" w:hAnsiTheme="minorHAnsi" w:cstheme="minorHAnsi"/>
          <w:sz w:val="24"/>
          <w:szCs w:val="24"/>
        </w:rPr>
        <w:t>Prior Approval Applications</w:t>
      </w:r>
      <w:r w:rsidRPr="0035472E">
        <w:rPr>
          <w:rFonts w:asciiTheme="minorHAnsi" w:hAnsiTheme="minorHAnsi" w:cstheme="minorHAnsi"/>
          <w:sz w:val="24"/>
          <w:szCs w:val="24"/>
        </w:rPr>
        <w:t xml:space="preserve">. Visit Michigan.gov/MunicipalFinance, </w:t>
      </w:r>
      <w:r w:rsidR="00E153C5">
        <w:rPr>
          <w:rFonts w:asciiTheme="minorHAnsi" w:hAnsiTheme="minorHAnsi" w:cstheme="minorHAnsi"/>
          <w:sz w:val="24"/>
          <w:szCs w:val="24"/>
        </w:rPr>
        <w:t>in the middle</w:t>
      </w:r>
      <w:r w:rsidRPr="0035472E">
        <w:rPr>
          <w:rFonts w:asciiTheme="minorHAnsi" w:hAnsiTheme="minorHAnsi" w:cstheme="minorHAnsi"/>
          <w:sz w:val="24"/>
          <w:szCs w:val="24"/>
        </w:rPr>
        <w:t xml:space="preserve"> of the page click on “</w:t>
      </w:r>
      <w:r w:rsidR="00E153C5">
        <w:rPr>
          <w:rFonts w:asciiTheme="minorHAnsi" w:hAnsiTheme="minorHAnsi" w:cstheme="minorHAnsi"/>
          <w:sz w:val="24"/>
          <w:szCs w:val="24"/>
        </w:rPr>
        <w:t>Municipal Finance</w:t>
      </w:r>
      <w:r w:rsidRPr="0035472E">
        <w:rPr>
          <w:rFonts w:asciiTheme="minorHAnsi" w:hAnsiTheme="minorHAnsi" w:cstheme="minorHAnsi"/>
          <w:sz w:val="24"/>
          <w:szCs w:val="24"/>
        </w:rPr>
        <w:t>,” then click on “</w:t>
      </w:r>
      <w:hyperlink r:id="rId18" w:history="1">
        <w:r w:rsidR="00E153C5" w:rsidRPr="002608DD">
          <w:rPr>
            <w:rStyle w:val="Hyperlink"/>
            <w:rFonts w:asciiTheme="minorHAnsi" w:hAnsiTheme="minorHAnsi" w:cstheme="minorHAnsi"/>
            <w:sz w:val="24"/>
            <w:szCs w:val="24"/>
            <w:u w:val="none"/>
          </w:rPr>
          <w:t xml:space="preserve">Municipal Finance </w:t>
        </w:r>
        <w:r w:rsidRPr="002608DD">
          <w:rPr>
            <w:rStyle w:val="Hyperlink"/>
            <w:rFonts w:asciiTheme="minorHAnsi" w:hAnsiTheme="minorHAnsi" w:cstheme="minorHAnsi"/>
            <w:sz w:val="24"/>
            <w:szCs w:val="24"/>
            <w:u w:val="none"/>
          </w:rPr>
          <w:t>Video Library</w:t>
        </w:r>
      </w:hyperlink>
      <w:r w:rsidRPr="002608DD">
        <w:rPr>
          <w:rFonts w:asciiTheme="minorHAnsi" w:hAnsiTheme="minorHAnsi" w:cstheme="minorHAnsi"/>
          <w:sz w:val="24"/>
          <w:szCs w:val="24"/>
        </w:rPr>
        <w:t>.</w:t>
      </w:r>
      <w:r w:rsidRPr="0035472E">
        <w:rPr>
          <w:rFonts w:asciiTheme="minorHAnsi" w:hAnsiTheme="minorHAnsi" w:cstheme="minorHAnsi"/>
          <w:sz w:val="24"/>
          <w:szCs w:val="24"/>
        </w:rPr>
        <w:t>”</w:t>
      </w:r>
      <w:r w:rsidR="006E367F">
        <w:rPr>
          <w:rFonts w:asciiTheme="minorHAnsi" w:hAnsiTheme="minorHAnsi" w:cstheme="minorHAnsi"/>
          <w:sz w:val="24"/>
          <w:szCs w:val="24"/>
        </w:rPr>
        <w:t xml:space="preserve"> </w:t>
      </w:r>
      <w:r w:rsidR="00F90D15" w:rsidRPr="006711D7">
        <w:rPr>
          <w:rFonts w:asciiTheme="minorHAnsi" w:hAnsiTheme="minorHAnsi" w:cstheme="minorHAnsi"/>
          <w:sz w:val="24"/>
          <w:szCs w:val="24"/>
        </w:rPr>
        <w:t>At the bottom of the page, click on “Municipal Finance – Borrowing in the State of Michigan.”</w:t>
      </w:r>
    </w:p>
    <w:p w14:paraId="5CFC6A42" w14:textId="77777777" w:rsidR="00A55EAA" w:rsidRPr="00FF7A27" w:rsidRDefault="00A55EAA" w:rsidP="002608DD">
      <w:pPr>
        <w:pStyle w:val="ListParagraph"/>
        <w:widowControl/>
        <w:autoSpaceDE/>
        <w:autoSpaceDN/>
        <w:spacing w:after="200"/>
        <w:ind w:left="1440"/>
        <w:contextualSpacing/>
        <w:rPr>
          <w:rFonts w:asciiTheme="minorHAnsi" w:hAnsiTheme="minorHAnsi" w:cstheme="minorHAnsi"/>
          <w:sz w:val="20"/>
          <w:szCs w:val="20"/>
        </w:rPr>
      </w:pPr>
    </w:p>
    <w:p w14:paraId="5A855159" w14:textId="7B9697B9" w:rsidR="00A55EAA" w:rsidRPr="0035472E" w:rsidRDefault="00A55EAA" w:rsidP="002608DD">
      <w:pPr>
        <w:pStyle w:val="ListParagraph"/>
        <w:widowControl/>
        <w:numPr>
          <w:ilvl w:val="0"/>
          <w:numId w:val="18"/>
        </w:numPr>
        <w:autoSpaceDE/>
        <w:autoSpaceDN/>
        <w:spacing w:after="200"/>
        <w:ind w:right="830"/>
        <w:contextualSpacing/>
        <w:rPr>
          <w:rFonts w:asciiTheme="minorHAnsi" w:hAnsiTheme="minorHAnsi" w:cstheme="minorHAnsi"/>
          <w:sz w:val="24"/>
          <w:szCs w:val="24"/>
        </w:rPr>
      </w:pPr>
      <w:r w:rsidRPr="0035472E">
        <w:rPr>
          <w:rFonts w:asciiTheme="minorHAnsi" w:hAnsiTheme="minorHAnsi" w:cstheme="minorHAnsi"/>
          <w:sz w:val="24"/>
          <w:szCs w:val="24"/>
        </w:rPr>
        <w:t>A borrowing process flowchart is available at Michigan.gov/MunicipalFinance.</w:t>
      </w:r>
      <w:bookmarkStart w:id="3" w:name="_Hlk195175626"/>
      <w:r w:rsidRPr="0035472E">
        <w:rPr>
          <w:rFonts w:asciiTheme="minorHAnsi" w:hAnsiTheme="minorHAnsi" w:cstheme="minorHAnsi"/>
          <w:sz w:val="24"/>
          <w:szCs w:val="24"/>
        </w:rPr>
        <w:t xml:space="preserve"> </w:t>
      </w:r>
      <w:r w:rsidR="00E153C5">
        <w:rPr>
          <w:rFonts w:asciiTheme="minorHAnsi" w:hAnsiTheme="minorHAnsi" w:cstheme="minorHAnsi"/>
          <w:sz w:val="24"/>
          <w:szCs w:val="24"/>
        </w:rPr>
        <w:t>In the middle</w:t>
      </w:r>
      <w:r w:rsidRPr="0035472E">
        <w:rPr>
          <w:rFonts w:asciiTheme="minorHAnsi" w:hAnsiTheme="minorHAnsi" w:cstheme="minorHAnsi"/>
          <w:sz w:val="24"/>
          <w:szCs w:val="24"/>
        </w:rPr>
        <w:t xml:space="preserve"> of the page click on</w:t>
      </w:r>
      <w:r w:rsidR="00E153C5">
        <w:rPr>
          <w:rFonts w:asciiTheme="minorHAnsi" w:hAnsiTheme="minorHAnsi" w:cstheme="minorHAnsi"/>
          <w:sz w:val="24"/>
          <w:szCs w:val="24"/>
        </w:rPr>
        <w:t xml:space="preserve"> “Municipal Finance” then</w:t>
      </w:r>
      <w:r w:rsidRPr="0035472E">
        <w:rPr>
          <w:rFonts w:asciiTheme="minorHAnsi" w:hAnsiTheme="minorHAnsi" w:cstheme="minorHAnsi"/>
          <w:sz w:val="24"/>
          <w:szCs w:val="24"/>
        </w:rPr>
        <w:t xml:space="preserve"> “</w:t>
      </w:r>
      <w:hyperlink r:id="rId19" w:history="1">
        <w:r w:rsidRPr="002608DD">
          <w:rPr>
            <w:rStyle w:val="Hyperlink"/>
            <w:rFonts w:asciiTheme="minorHAnsi" w:hAnsiTheme="minorHAnsi" w:cstheme="minorHAnsi"/>
            <w:sz w:val="24"/>
            <w:szCs w:val="24"/>
            <w:u w:val="none"/>
          </w:rPr>
          <w:t>Borrowing Process Flowchart</w:t>
        </w:r>
      </w:hyperlink>
      <w:r w:rsidRPr="0035472E">
        <w:rPr>
          <w:rFonts w:asciiTheme="minorHAnsi" w:hAnsiTheme="minorHAnsi" w:cstheme="minorHAnsi"/>
          <w:sz w:val="24"/>
          <w:szCs w:val="24"/>
        </w:rPr>
        <w:t>.”</w:t>
      </w:r>
      <w:bookmarkEnd w:id="3"/>
    </w:p>
    <w:p w14:paraId="3FD4140C" w14:textId="77777777" w:rsidR="0035472E" w:rsidRPr="00FF7A27" w:rsidRDefault="0035472E" w:rsidP="002608DD">
      <w:pPr>
        <w:pStyle w:val="ListParagraph"/>
        <w:ind w:right="830"/>
        <w:rPr>
          <w:rFonts w:asciiTheme="minorHAnsi" w:hAnsiTheme="minorHAnsi" w:cstheme="minorHAnsi"/>
          <w:sz w:val="20"/>
          <w:szCs w:val="20"/>
        </w:rPr>
      </w:pPr>
    </w:p>
    <w:p w14:paraId="34B28639" w14:textId="15CD020D" w:rsidR="0035472E" w:rsidRPr="0035472E" w:rsidRDefault="0035472E" w:rsidP="002608DD">
      <w:pPr>
        <w:pStyle w:val="ListParagraph"/>
        <w:widowControl/>
        <w:numPr>
          <w:ilvl w:val="0"/>
          <w:numId w:val="18"/>
        </w:numPr>
        <w:autoSpaceDE/>
        <w:autoSpaceDN/>
        <w:spacing w:after="200"/>
        <w:ind w:right="830"/>
        <w:contextualSpacing/>
        <w:rPr>
          <w:rFonts w:asciiTheme="minorHAnsi" w:hAnsiTheme="minorHAnsi" w:cstheme="minorHAnsi"/>
          <w:sz w:val="24"/>
          <w:szCs w:val="24"/>
        </w:rPr>
      </w:pPr>
      <w:bookmarkStart w:id="4" w:name="sevenC"/>
      <w:r w:rsidRPr="0035472E">
        <w:rPr>
          <w:rFonts w:asciiTheme="minorHAnsi" w:hAnsiTheme="minorHAnsi" w:cstheme="minorHAnsi"/>
          <w:sz w:val="24"/>
          <w:szCs w:val="24"/>
        </w:rPr>
        <w:t xml:space="preserve">A rating exemption </w:t>
      </w:r>
      <w:bookmarkEnd w:id="4"/>
      <w:r w:rsidRPr="0035472E">
        <w:rPr>
          <w:rFonts w:asciiTheme="minorHAnsi" w:hAnsiTheme="minorHAnsi" w:cstheme="minorHAnsi"/>
          <w:sz w:val="24"/>
          <w:szCs w:val="24"/>
        </w:rPr>
        <w:t xml:space="preserve">flowchart is available at Michigan.gov/MunicipalFinance. </w:t>
      </w:r>
      <w:r w:rsidR="00E153C5">
        <w:rPr>
          <w:rFonts w:asciiTheme="minorHAnsi" w:hAnsiTheme="minorHAnsi" w:cstheme="minorHAnsi"/>
          <w:sz w:val="24"/>
          <w:szCs w:val="24"/>
        </w:rPr>
        <w:t>In the middle</w:t>
      </w:r>
      <w:r w:rsidRPr="0035472E">
        <w:rPr>
          <w:rFonts w:asciiTheme="minorHAnsi" w:hAnsiTheme="minorHAnsi" w:cstheme="minorHAnsi"/>
          <w:sz w:val="24"/>
          <w:szCs w:val="24"/>
        </w:rPr>
        <w:t xml:space="preserve"> of the page click on</w:t>
      </w:r>
      <w:r w:rsidR="00E153C5">
        <w:rPr>
          <w:rFonts w:asciiTheme="minorHAnsi" w:hAnsiTheme="minorHAnsi" w:cstheme="minorHAnsi"/>
          <w:sz w:val="24"/>
          <w:szCs w:val="24"/>
        </w:rPr>
        <w:t xml:space="preserve"> “Municipal Finance” then</w:t>
      </w:r>
      <w:r w:rsidRPr="0035472E">
        <w:rPr>
          <w:rFonts w:asciiTheme="minorHAnsi" w:hAnsiTheme="minorHAnsi" w:cstheme="minorHAnsi"/>
          <w:sz w:val="24"/>
          <w:szCs w:val="24"/>
        </w:rPr>
        <w:t xml:space="preserve"> “</w:t>
      </w:r>
      <w:hyperlink r:id="rId20" w:history="1">
        <w:r w:rsidRPr="002608DD">
          <w:rPr>
            <w:rStyle w:val="Hyperlink"/>
            <w:rFonts w:asciiTheme="minorHAnsi" w:hAnsiTheme="minorHAnsi" w:cstheme="minorHAnsi"/>
            <w:sz w:val="24"/>
            <w:szCs w:val="24"/>
            <w:u w:val="none"/>
          </w:rPr>
          <w:t>Rating Exemption Flowchart</w:t>
        </w:r>
      </w:hyperlink>
      <w:r w:rsidRPr="0035472E">
        <w:rPr>
          <w:rFonts w:asciiTheme="minorHAnsi" w:hAnsiTheme="minorHAnsi" w:cstheme="minorHAnsi"/>
          <w:sz w:val="24"/>
          <w:szCs w:val="24"/>
        </w:rPr>
        <w:t>.”</w:t>
      </w:r>
    </w:p>
    <w:p w14:paraId="478EA856" w14:textId="77777777" w:rsidR="00A55EAA" w:rsidRPr="00FF7A27" w:rsidRDefault="00A55EAA" w:rsidP="002608DD">
      <w:pPr>
        <w:pStyle w:val="ListParagraph"/>
        <w:widowControl/>
        <w:autoSpaceDE/>
        <w:autoSpaceDN/>
        <w:spacing w:after="200"/>
        <w:ind w:left="1440" w:right="830"/>
        <w:contextualSpacing/>
        <w:rPr>
          <w:rFonts w:asciiTheme="minorHAnsi" w:hAnsiTheme="minorHAnsi" w:cstheme="minorHAnsi"/>
          <w:sz w:val="20"/>
          <w:szCs w:val="20"/>
        </w:rPr>
      </w:pPr>
    </w:p>
    <w:p w14:paraId="46DCBF63" w14:textId="23E72074" w:rsidR="00A55EAA" w:rsidRPr="0035472E" w:rsidRDefault="00A55EAA" w:rsidP="002608DD">
      <w:pPr>
        <w:pStyle w:val="ListParagraph"/>
        <w:widowControl/>
        <w:numPr>
          <w:ilvl w:val="0"/>
          <w:numId w:val="18"/>
        </w:numPr>
        <w:autoSpaceDE/>
        <w:autoSpaceDN/>
        <w:spacing w:after="200"/>
        <w:ind w:right="830"/>
        <w:contextualSpacing/>
        <w:rPr>
          <w:rFonts w:asciiTheme="minorHAnsi" w:hAnsiTheme="minorHAnsi" w:cstheme="minorHAnsi"/>
          <w:sz w:val="24"/>
          <w:szCs w:val="24"/>
        </w:rPr>
      </w:pPr>
      <w:r w:rsidRPr="0035472E">
        <w:rPr>
          <w:rFonts w:asciiTheme="minorHAnsi" w:hAnsiTheme="minorHAnsi" w:cstheme="minorHAnsi"/>
          <w:sz w:val="24"/>
          <w:szCs w:val="24"/>
        </w:rPr>
        <w:t xml:space="preserve">For those looking for more information on municipal securities terminology, the Municipal Securities Rulemaking Board (MSRB) has a Glossary of Municipal Securities Terms at </w:t>
      </w:r>
      <w:hyperlink r:id="rId21" w:history="1">
        <w:r w:rsidRPr="007227BC">
          <w:rPr>
            <w:rStyle w:val="Hyperlink"/>
            <w:rFonts w:asciiTheme="minorHAnsi" w:hAnsiTheme="minorHAnsi" w:cstheme="minorHAnsi"/>
            <w:sz w:val="24"/>
            <w:szCs w:val="24"/>
            <w:u w:val="none"/>
          </w:rPr>
          <w:t>MSRB.org/glossary</w:t>
        </w:r>
      </w:hyperlink>
      <w:r w:rsidRPr="0035472E">
        <w:rPr>
          <w:rFonts w:asciiTheme="minorHAnsi" w:hAnsiTheme="minorHAnsi" w:cstheme="minorHAnsi"/>
          <w:sz w:val="24"/>
          <w:szCs w:val="24"/>
        </w:rPr>
        <w:t>.</w:t>
      </w:r>
    </w:p>
    <w:p w14:paraId="1DA71222" w14:textId="77777777" w:rsidR="00A55EAA" w:rsidRPr="00FF7A27" w:rsidRDefault="00A55EAA" w:rsidP="002608DD">
      <w:pPr>
        <w:pStyle w:val="BodyText"/>
        <w:spacing w:before="7"/>
        <w:ind w:right="830"/>
        <w:rPr>
          <w:rFonts w:asciiTheme="minorHAnsi" w:hAnsiTheme="minorHAnsi" w:cstheme="minorHAnsi"/>
          <w:sz w:val="20"/>
          <w:szCs w:val="20"/>
        </w:rPr>
      </w:pPr>
    </w:p>
    <w:p w14:paraId="56F71197" w14:textId="3DF5B9F6" w:rsidR="0049073E" w:rsidRPr="0035472E" w:rsidRDefault="00A55EAA" w:rsidP="002608DD">
      <w:pPr>
        <w:pStyle w:val="BodyText"/>
        <w:ind w:left="720" w:right="830"/>
        <w:rPr>
          <w:rFonts w:asciiTheme="minorHAnsi" w:hAnsiTheme="minorHAnsi" w:cstheme="minorBidi"/>
        </w:rPr>
      </w:pPr>
      <w:r w:rsidRPr="3D9D2041">
        <w:rPr>
          <w:rFonts w:asciiTheme="minorHAnsi" w:hAnsiTheme="minorHAnsi" w:cstheme="minorBidi"/>
        </w:rPr>
        <w:t xml:space="preserve">If you have any questions, please email our office at </w:t>
      </w:r>
      <w:hyperlink r:id="rId22" w:history="1">
        <w:r w:rsidRPr="007227BC">
          <w:rPr>
            <w:rStyle w:val="Hyperlink"/>
            <w:rFonts w:asciiTheme="minorHAnsi" w:hAnsiTheme="minorHAnsi" w:cstheme="minorHAnsi"/>
            <w:u w:val="none"/>
          </w:rPr>
          <w:t>Treas_MunicipalFinance@michigan.gov</w:t>
        </w:r>
      </w:hyperlink>
      <w:r w:rsidRPr="005B11D4">
        <w:rPr>
          <w:rFonts w:asciiTheme="minorHAnsi" w:hAnsiTheme="minorHAnsi" w:cstheme="minorBidi"/>
        </w:rPr>
        <w:t xml:space="preserve">. </w:t>
      </w:r>
    </w:p>
    <w:sectPr w:rsidR="0049073E" w:rsidRPr="0035472E" w:rsidSect="00E6558E">
      <w:headerReference w:type="default" r:id="rId23"/>
      <w:footerReference w:type="default" r:id="rId24"/>
      <w:pgSz w:w="12240" w:h="15840"/>
      <w:pgMar w:top="36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D133" w14:textId="77777777" w:rsidR="00A06581" w:rsidRDefault="00A06581" w:rsidP="00265770">
      <w:r>
        <w:separator/>
      </w:r>
    </w:p>
  </w:endnote>
  <w:endnote w:type="continuationSeparator" w:id="0">
    <w:p w14:paraId="49BC70B9" w14:textId="77777777" w:rsidR="00A06581" w:rsidRDefault="00A06581" w:rsidP="00265770">
      <w:r>
        <w:continuationSeparator/>
      </w:r>
    </w:p>
  </w:endnote>
  <w:endnote w:type="continuationNotice" w:id="1">
    <w:p w14:paraId="111142BE" w14:textId="77777777" w:rsidR="00A06581" w:rsidRDefault="00A06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7B1D" w14:textId="08745E03" w:rsidR="00EC77E9" w:rsidRPr="00EC77E9" w:rsidRDefault="00EC77E9" w:rsidP="00EC77E9">
    <w:pPr>
      <w:pStyle w:val="Footer"/>
      <w:jc w:val="center"/>
      <w:rPr>
        <w:rFonts w:asciiTheme="minorHAnsi" w:hAnsiTheme="minorHAnsi" w:cstheme="minorHAnsi"/>
        <w:sz w:val="16"/>
        <w:szCs w:val="16"/>
      </w:rPr>
    </w:pPr>
    <w:r w:rsidRPr="00EC77E9">
      <w:rPr>
        <w:rFonts w:asciiTheme="minorHAnsi" w:hAnsiTheme="minorHAnsi" w:cstheme="minorHAnsi"/>
        <w:sz w:val="16"/>
        <w:szCs w:val="16"/>
      </w:rPr>
      <w:t>P.O. BOX 30728 • LANSING, MICHIGAN 48909-8228</w:t>
    </w:r>
  </w:p>
  <w:p w14:paraId="6C232C54" w14:textId="734740E0" w:rsidR="00EC77E9" w:rsidRPr="00EC77E9" w:rsidRDefault="00EC77E9" w:rsidP="00EC77E9">
    <w:pPr>
      <w:pStyle w:val="Footer"/>
      <w:jc w:val="center"/>
      <w:rPr>
        <w:rFonts w:asciiTheme="minorHAnsi" w:hAnsiTheme="minorHAnsi" w:cstheme="minorHAnsi"/>
        <w:sz w:val="16"/>
        <w:szCs w:val="16"/>
      </w:rPr>
    </w:pPr>
    <w:r w:rsidRPr="00EC77E9">
      <w:rPr>
        <w:rFonts w:asciiTheme="minorHAnsi" w:hAnsiTheme="minorHAnsi" w:cstheme="minorHAnsi"/>
        <w:sz w:val="16"/>
        <w:szCs w:val="16"/>
      </w:rPr>
      <w:t>www.michigan.gov/treasury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6FD1" w14:textId="77777777" w:rsidR="00A06581" w:rsidRDefault="00A06581" w:rsidP="00265770">
      <w:r>
        <w:separator/>
      </w:r>
    </w:p>
  </w:footnote>
  <w:footnote w:type="continuationSeparator" w:id="0">
    <w:p w14:paraId="116713F6" w14:textId="77777777" w:rsidR="00A06581" w:rsidRDefault="00A06581" w:rsidP="00265770">
      <w:r>
        <w:continuationSeparator/>
      </w:r>
    </w:p>
  </w:footnote>
  <w:footnote w:type="continuationNotice" w:id="1">
    <w:p w14:paraId="476C6C2D" w14:textId="77777777" w:rsidR="00A06581" w:rsidRDefault="00A06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B6E2" w14:textId="28026EB6" w:rsidR="00EC77E9" w:rsidRPr="009B5829" w:rsidRDefault="00FD4F73">
    <w:pPr>
      <w:pStyle w:val="Header"/>
      <w:rPr>
        <w:rFonts w:asciiTheme="minorHAnsi" w:hAnsiTheme="minorHAnsi" w:cstheme="minorHAnsi"/>
        <w:sz w:val="24"/>
        <w:szCs w:val="24"/>
      </w:rPr>
    </w:pPr>
    <w:r w:rsidRPr="009B5829">
      <w:rPr>
        <w:rFonts w:asciiTheme="minorHAnsi" w:hAnsiTheme="minorHAnsi" w:cstheme="minorHAnsi"/>
        <w:sz w:val="24"/>
        <w:szCs w:val="24"/>
      </w:rPr>
      <w:t>Numbered Letter 202</w:t>
    </w:r>
    <w:r w:rsidR="009B5829" w:rsidRPr="009B5829">
      <w:rPr>
        <w:rFonts w:asciiTheme="minorHAnsi" w:hAnsiTheme="minorHAnsi" w:cstheme="minorHAnsi"/>
        <w:sz w:val="24"/>
        <w:szCs w:val="24"/>
      </w:rPr>
      <w:t>5-2</w:t>
    </w:r>
  </w:p>
  <w:p w14:paraId="33A3923D" w14:textId="542C58D4" w:rsidR="00BA6E86" w:rsidRPr="00BA6E86" w:rsidRDefault="00BA6E86">
    <w:pPr>
      <w:pStyle w:val="Header"/>
      <w:rPr>
        <w:rFonts w:asciiTheme="minorHAnsi" w:hAnsiTheme="minorHAnsi" w:cstheme="minorHAnsi"/>
        <w:sz w:val="24"/>
        <w:szCs w:val="24"/>
      </w:rPr>
    </w:pPr>
    <w:r w:rsidRPr="00BA6E86">
      <w:rPr>
        <w:rFonts w:asciiTheme="minorHAnsi" w:hAnsiTheme="minorHAnsi" w:cstheme="minorHAnsi"/>
        <w:sz w:val="24"/>
        <w:szCs w:val="24"/>
      </w:rPr>
      <w:t>Prior Approval Applications</w:t>
    </w:r>
  </w:p>
  <w:p w14:paraId="69875F98" w14:textId="7B9C3B80" w:rsidR="00E6558E" w:rsidRPr="00884188" w:rsidRDefault="00884188">
    <w:pPr>
      <w:pStyle w:val="Header"/>
      <w:rPr>
        <w:rFonts w:asciiTheme="minorHAnsi" w:hAnsiTheme="minorHAnsi" w:cstheme="minorHAnsi"/>
        <w:color w:val="FF0000"/>
        <w:sz w:val="24"/>
        <w:szCs w:val="24"/>
      </w:rPr>
    </w:pPr>
    <w:r>
      <w:rPr>
        <w:rFonts w:asciiTheme="minorHAnsi" w:hAnsiTheme="minorHAnsi" w:cstheme="minorHAnsi"/>
        <w:color w:val="FF0000"/>
        <w:sz w:val="24"/>
        <w:szCs w:val="24"/>
      </w:rPr>
      <w:t xml:space="preserve">MONTH </w:t>
    </w:r>
    <w:r w:rsidR="00A06EA6">
      <w:rPr>
        <w:rFonts w:asciiTheme="minorHAnsi" w:hAnsiTheme="minorHAnsi" w:cstheme="minorHAnsi"/>
        <w:color w:val="FF0000"/>
        <w:sz w:val="24"/>
        <w:szCs w:val="24"/>
      </w:rPr>
      <w:t>DAY</w:t>
    </w:r>
    <w:r w:rsidR="00B450DE" w:rsidRPr="00884188">
      <w:rPr>
        <w:rFonts w:asciiTheme="minorHAnsi" w:hAnsiTheme="minorHAnsi" w:cstheme="minorHAnsi"/>
        <w:color w:val="FF0000"/>
        <w:sz w:val="24"/>
        <w:szCs w:val="24"/>
      </w:rPr>
      <w:t>,</w:t>
    </w:r>
    <w:r w:rsidR="00E6558E" w:rsidRPr="00884188">
      <w:rPr>
        <w:rFonts w:asciiTheme="minorHAnsi" w:hAnsiTheme="minorHAnsi" w:cstheme="minorHAnsi"/>
        <w:color w:val="FF0000"/>
        <w:sz w:val="24"/>
        <w:szCs w:val="24"/>
      </w:rPr>
      <w:t xml:space="preserve"> 202</w:t>
    </w:r>
    <w:r w:rsidR="009B5829">
      <w:rPr>
        <w:rFonts w:asciiTheme="minorHAnsi" w:hAnsiTheme="minorHAnsi" w:cstheme="minorHAnsi"/>
        <w:color w:val="FF0000"/>
        <w:sz w:val="24"/>
        <w:szCs w:val="24"/>
      </w:rPr>
      <w:t>5</w:t>
    </w:r>
  </w:p>
  <w:p w14:paraId="764F672F" w14:textId="2A0B5CB5" w:rsidR="00FD4F73" w:rsidRPr="00FD4F73" w:rsidRDefault="00FD4F73">
    <w:pPr>
      <w:pStyle w:val="Header"/>
      <w:rPr>
        <w:rFonts w:asciiTheme="minorHAnsi" w:hAnsiTheme="minorHAnsi" w:cstheme="minorHAnsi"/>
        <w:sz w:val="24"/>
        <w:szCs w:val="24"/>
      </w:rPr>
    </w:pPr>
    <w:r w:rsidRPr="00821005">
      <w:rPr>
        <w:rFonts w:asciiTheme="minorHAnsi" w:hAnsiTheme="minorHAnsi" w:cstheme="minorHAnsi"/>
        <w:sz w:val="24"/>
        <w:szCs w:val="24"/>
      </w:rPr>
      <w:t xml:space="preserve">Page </w:t>
    </w:r>
    <w:r w:rsidR="00E6558E" w:rsidRPr="00821005">
      <w:rPr>
        <w:rFonts w:asciiTheme="minorHAnsi" w:hAnsiTheme="minorHAnsi" w:cstheme="minorHAnsi"/>
        <w:sz w:val="24"/>
        <w:szCs w:val="24"/>
      </w:rPr>
      <w:fldChar w:fldCharType="begin"/>
    </w:r>
    <w:r w:rsidR="00E6558E" w:rsidRPr="00821005">
      <w:rPr>
        <w:rFonts w:asciiTheme="minorHAnsi" w:hAnsiTheme="minorHAnsi" w:cstheme="minorHAnsi"/>
        <w:sz w:val="24"/>
        <w:szCs w:val="24"/>
      </w:rPr>
      <w:instrText xml:space="preserve"> PAGE   \* MERGEFORMAT </w:instrText>
    </w:r>
    <w:r w:rsidR="00E6558E" w:rsidRPr="00821005">
      <w:rPr>
        <w:rFonts w:asciiTheme="minorHAnsi" w:hAnsiTheme="minorHAnsi" w:cstheme="minorHAnsi"/>
        <w:sz w:val="24"/>
        <w:szCs w:val="24"/>
      </w:rPr>
      <w:fldChar w:fldCharType="separate"/>
    </w:r>
    <w:r w:rsidR="00E6558E" w:rsidRPr="00821005">
      <w:rPr>
        <w:rFonts w:asciiTheme="minorHAnsi" w:hAnsiTheme="minorHAnsi" w:cstheme="minorHAnsi"/>
        <w:noProof/>
        <w:sz w:val="24"/>
        <w:szCs w:val="24"/>
      </w:rPr>
      <w:t>1</w:t>
    </w:r>
    <w:r w:rsidR="00E6558E" w:rsidRPr="00821005">
      <w:rPr>
        <w:rFonts w:asciiTheme="minorHAnsi" w:hAnsiTheme="minorHAnsi" w:cstheme="minorHAnsi"/>
        <w:noProof/>
        <w:sz w:val="24"/>
        <w:szCs w:val="24"/>
      </w:rPr>
      <w:fldChar w:fldCharType="end"/>
    </w:r>
    <w:r w:rsidR="00E6558E" w:rsidRPr="00821005">
      <w:rPr>
        <w:rFonts w:asciiTheme="minorHAnsi" w:hAnsiTheme="minorHAnsi" w:cstheme="minorHAnsi"/>
        <w:sz w:val="24"/>
        <w:szCs w:val="24"/>
      </w:rPr>
      <w:t xml:space="preserve"> of </w:t>
    </w:r>
    <w:r w:rsidR="00E13114">
      <w:rPr>
        <w:rFonts w:asciiTheme="minorHAnsi" w:hAnsiTheme="minorHAnsi" w:cstheme="minorHAnsi"/>
        <w:sz w:val="24"/>
        <w:szCs w:val="24"/>
      </w:rPr>
      <w:t>8</w:t>
    </w:r>
  </w:p>
  <w:p w14:paraId="6C4197D2" w14:textId="77777777" w:rsidR="00FD4F73" w:rsidRDefault="00FD4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54B"/>
    <w:multiLevelType w:val="hybridMultilevel"/>
    <w:tmpl w:val="0BA65098"/>
    <w:lvl w:ilvl="0" w:tplc="FFFFFFFF">
      <w:start w:val="1"/>
      <w:numFmt w:val="lowerLetter"/>
      <w:lvlText w:val="%1."/>
      <w:lvlJc w:val="left"/>
      <w:pPr>
        <w:ind w:left="1440" w:hanging="360"/>
      </w:pPr>
      <w:rPr>
        <w:rFonts w:hint="default"/>
        <w:color w:val="auto"/>
      </w:rPr>
    </w:lvl>
    <w:lvl w:ilvl="1" w:tplc="FFFFFFFF">
      <w:start w:val="1"/>
      <w:numFmt w:val="decimal"/>
      <w:lvlText w:val="%2."/>
      <w:lvlJc w:val="left"/>
      <w:pPr>
        <w:ind w:left="2160" w:hanging="360"/>
      </w:pPr>
      <w:rPr>
        <w:rFonts w:eastAsia="Arial" w:hint="default"/>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1D49B7"/>
    <w:multiLevelType w:val="hybridMultilevel"/>
    <w:tmpl w:val="B78058B4"/>
    <w:lvl w:ilvl="0" w:tplc="48C04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C6EC5"/>
    <w:multiLevelType w:val="hybridMultilevel"/>
    <w:tmpl w:val="712663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639D8"/>
    <w:multiLevelType w:val="hybridMultilevel"/>
    <w:tmpl w:val="95D453E4"/>
    <w:lvl w:ilvl="0" w:tplc="F0FCB3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20DDF"/>
    <w:multiLevelType w:val="hybridMultilevel"/>
    <w:tmpl w:val="EE0031A8"/>
    <w:lvl w:ilvl="0" w:tplc="C1F0CB0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C955E5"/>
    <w:multiLevelType w:val="multilevel"/>
    <w:tmpl w:val="1A70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E4AC5"/>
    <w:multiLevelType w:val="hybridMultilevel"/>
    <w:tmpl w:val="457E59D0"/>
    <w:lvl w:ilvl="0" w:tplc="772C48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973903"/>
    <w:multiLevelType w:val="hybridMultilevel"/>
    <w:tmpl w:val="EAAC5ECA"/>
    <w:lvl w:ilvl="0" w:tplc="21E48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D4BB6"/>
    <w:multiLevelType w:val="hybridMultilevel"/>
    <w:tmpl w:val="EAB6F424"/>
    <w:lvl w:ilvl="0" w:tplc="5014860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7E0D76"/>
    <w:multiLevelType w:val="multilevel"/>
    <w:tmpl w:val="162C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B70F53"/>
    <w:multiLevelType w:val="multilevel"/>
    <w:tmpl w:val="334E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C25BB"/>
    <w:multiLevelType w:val="hybridMultilevel"/>
    <w:tmpl w:val="7E285DC6"/>
    <w:lvl w:ilvl="0" w:tplc="1B7E03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B93208"/>
    <w:multiLevelType w:val="hybridMultilevel"/>
    <w:tmpl w:val="1F182372"/>
    <w:lvl w:ilvl="0" w:tplc="51B01F0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97338"/>
    <w:multiLevelType w:val="hybridMultilevel"/>
    <w:tmpl w:val="C548DB7E"/>
    <w:lvl w:ilvl="0" w:tplc="4EE4D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5F5CBF"/>
    <w:multiLevelType w:val="hybridMultilevel"/>
    <w:tmpl w:val="AAC611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85229A8"/>
    <w:multiLevelType w:val="hybridMultilevel"/>
    <w:tmpl w:val="B270EB30"/>
    <w:lvl w:ilvl="0" w:tplc="8D7A270A">
      <w:start w:val="1"/>
      <w:numFmt w:val="lowerLetter"/>
      <w:lvlText w:val="%1."/>
      <w:lvlJc w:val="left"/>
      <w:pPr>
        <w:ind w:left="1440" w:hanging="360"/>
      </w:pPr>
      <w:rPr>
        <w:rFonts w:hint="default"/>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8349D6"/>
    <w:multiLevelType w:val="hybridMultilevel"/>
    <w:tmpl w:val="1D8857F2"/>
    <w:lvl w:ilvl="0" w:tplc="0AFA644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82C0E"/>
    <w:multiLevelType w:val="hybridMultilevel"/>
    <w:tmpl w:val="67EEB724"/>
    <w:lvl w:ilvl="0" w:tplc="F46C6F2A">
      <w:start w:val="1"/>
      <w:numFmt w:val="lowerLetter"/>
      <w:lvlText w:val="%1."/>
      <w:lvlJc w:val="left"/>
      <w:pPr>
        <w:ind w:left="1440" w:hanging="360"/>
      </w:pPr>
      <w:rPr>
        <w:rFonts w:hint="default"/>
        <w:color w:val="auto"/>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22789B"/>
    <w:multiLevelType w:val="hybridMultilevel"/>
    <w:tmpl w:val="43C8C968"/>
    <w:lvl w:ilvl="0" w:tplc="FFFFFFFF">
      <w:start w:val="1"/>
      <w:numFmt w:val="lowerLetter"/>
      <w:lvlText w:val="%1."/>
      <w:lvlJc w:val="left"/>
      <w:pPr>
        <w:ind w:left="1440" w:hanging="360"/>
      </w:pPr>
      <w:rPr>
        <w:rFonts w:hint="default"/>
        <w:color w:val="auto"/>
      </w:rPr>
    </w:lvl>
    <w:lvl w:ilvl="1" w:tplc="FFFFFFFF">
      <w:start w:val="1"/>
      <w:numFmt w:val="decimal"/>
      <w:lvlText w:val="%2."/>
      <w:lvlJc w:val="left"/>
      <w:pPr>
        <w:ind w:left="2160" w:hanging="360"/>
      </w:pPr>
      <w:rPr>
        <w:rFonts w:eastAsia="Arial" w:hint="default"/>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A4B3A3F"/>
    <w:multiLevelType w:val="hybridMultilevel"/>
    <w:tmpl w:val="69067D90"/>
    <w:lvl w:ilvl="0" w:tplc="A77241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DB47F4B"/>
    <w:multiLevelType w:val="hybridMultilevel"/>
    <w:tmpl w:val="D12E5748"/>
    <w:lvl w:ilvl="0" w:tplc="D00C047C">
      <w:start w:val="1"/>
      <w:numFmt w:val="decimal"/>
      <w:lvlText w:val="%1."/>
      <w:lvlJc w:val="left"/>
      <w:pPr>
        <w:ind w:left="1080" w:hanging="360"/>
      </w:pPr>
      <w:rPr>
        <w:rFonts w:hint="default"/>
        <w:b/>
        <w:bCs/>
        <w:sz w:val="28"/>
        <w:szCs w:val="28"/>
      </w:rPr>
    </w:lvl>
    <w:lvl w:ilvl="1" w:tplc="3D18229A">
      <w:start w:val="1"/>
      <w:numFmt w:val="lowerLetter"/>
      <w:lvlText w:val="%2."/>
      <w:lvlJc w:val="left"/>
      <w:pPr>
        <w:ind w:left="1800" w:hanging="360"/>
      </w:pPr>
      <w:rPr>
        <w:b w:val="0"/>
        <w:bCs w:val="0"/>
        <w:color w:val="auto"/>
        <w:sz w:val="24"/>
        <w:szCs w:val="24"/>
      </w:rPr>
    </w:lvl>
    <w:lvl w:ilvl="2" w:tplc="04090001">
      <w:start w:val="1"/>
      <w:numFmt w:val="bullet"/>
      <w:lvlText w:val=""/>
      <w:lvlJc w:val="left"/>
      <w:pPr>
        <w:ind w:left="2160" w:hanging="360"/>
      </w:pPr>
      <w:rPr>
        <w:rFonts w:ascii="Symbol" w:hAnsi="Symbol" w:hint="default"/>
      </w:rPr>
    </w:lvl>
    <w:lvl w:ilvl="3" w:tplc="D92E6E0A">
      <w:numFmt w:val="bullet"/>
      <w:lvlText w:val="•"/>
      <w:lvlJc w:val="left"/>
      <w:pPr>
        <w:ind w:left="3240" w:hanging="360"/>
      </w:pPr>
      <w:rPr>
        <w:rFonts w:ascii="Calibri" w:eastAsia="Arial"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BE3B9C"/>
    <w:multiLevelType w:val="multilevel"/>
    <w:tmpl w:val="21ECB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584654"/>
    <w:multiLevelType w:val="hybridMultilevel"/>
    <w:tmpl w:val="6EE0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9792C"/>
    <w:multiLevelType w:val="hybridMultilevel"/>
    <w:tmpl w:val="6BA2BDF2"/>
    <w:lvl w:ilvl="0" w:tplc="04090015">
      <w:start w:val="1"/>
      <w:numFmt w:val="upperLetter"/>
      <w:lvlText w:val="%1."/>
      <w:lvlJc w:val="left"/>
      <w:pPr>
        <w:ind w:left="1440" w:hanging="360"/>
      </w:pPr>
    </w:lvl>
    <w:lvl w:ilvl="1" w:tplc="FDCABCCE">
      <w:start w:val="1"/>
      <w:numFmt w:val="decimal"/>
      <w:lvlText w:val="%2."/>
      <w:lvlJc w:val="left"/>
      <w:pPr>
        <w:ind w:left="2160" w:hanging="360"/>
      </w:pPr>
      <w:rPr>
        <w:rFonts w:asciiTheme="minorHAnsi" w:eastAsia="Times New Roman" w:hAnsiTheme="minorHAnsi" w:cstheme="minorHAnsi"/>
      </w:rPr>
    </w:lvl>
    <w:lvl w:ilvl="2" w:tplc="6BA6211C">
      <w:start w:val="3"/>
      <w:numFmt w:val="lowerLetter"/>
      <w:lvlText w:val="%3."/>
      <w:lvlJc w:val="left"/>
      <w:pPr>
        <w:ind w:left="3060" w:hanging="360"/>
      </w:pPr>
      <w:rPr>
        <w:rFonts w:asciiTheme="minorHAnsi" w:eastAsia="Arial" w:hAnsiTheme="minorHAnsi" w:cstheme="minorHAnsi" w:hint="default"/>
        <w:color w:val="auto"/>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A924E2"/>
    <w:multiLevelType w:val="multilevel"/>
    <w:tmpl w:val="73A0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951160"/>
    <w:multiLevelType w:val="hybridMultilevel"/>
    <w:tmpl w:val="8292B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FF32ED"/>
    <w:multiLevelType w:val="hybridMultilevel"/>
    <w:tmpl w:val="B7EC4D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BE21503"/>
    <w:multiLevelType w:val="hybridMultilevel"/>
    <w:tmpl w:val="F70C4C82"/>
    <w:lvl w:ilvl="0" w:tplc="B824F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8672A4"/>
    <w:multiLevelType w:val="hybridMultilevel"/>
    <w:tmpl w:val="BEC65B16"/>
    <w:lvl w:ilvl="0" w:tplc="85A81B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553019">
    <w:abstractNumId w:val="20"/>
  </w:num>
  <w:num w:numId="2" w16cid:durableId="420444327">
    <w:abstractNumId w:val="19"/>
  </w:num>
  <w:num w:numId="3" w16cid:durableId="422382951">
    <w:abstractNumId w:val="8"/>
  </w:num>
  <w:num w:numId="4" w16cid:durableId="135993410">
    <w:abstractNumId w:val="1"/>
  </w:num>
  <w:num w:numId="5" w16cid:durableId="476338893">
    <w:abstractNumId w:val="6"/>
  </w:num>
  <w:num w:numId="6" w16cid:durableId="811823698">
    <w:abstractNumId w:val="16"/>
  </w:num>
  <w:num w:numId="7" w16cid:durableId="317151588">
    <w:abstractNumId w:val="13"/>
  </w:num>
  <w:num w:numId="8" w16cid:durableId="97726439">
    <w:abstractNumId w:val="17"/>
  </w:num>
  <w:num w:numId="9" w16cid:durableId="1049917474">
    <w:abstractNumId w:val="21"/>
  </w:num>
  <w:num w:numId="10" w16cid:durableId="670135787">
    <w:abstractNumId w:val="5"/>
  </w:num>
  <w:num w:numId="11" w16cid:durableId="1724408444">
    <w:abstractNumId w:val="9"/>
  </w:num>
  <w:num w:numId="12" w16cid:durableId="2095125566">
    <w:abstractNumId w:val="24"/>
  </w:num>
  <w:num w:numId="13" w16cid:durableId="926420934">
    <w:abstractNumId w:val="4"/>
  </w:num>
  <w:num w:numId="14" w16cid:durableId="670914482">
    <w:abstractNumId w:val="23"/>
  </w:num>
  <w:num w:numId="15" w16cid:durableId="1879584134">
    <w:abstractNumId w:val="10"/>
  </w:num>
  <w:num w:numId="16" w16cid:durableId="661078889">
    <w:abstractNumId w:val="27"/>
  </w:num>
  <w:num w:numId="17" w16cid:durableId="198319371">
    <w:abstractNumId w:val="28"/>
  </w:num>
  <w:num w:numId="18" w16cid:durableId="2117016053">
    <w:abstractNumId w:val="15"/>
  </w:num>
  <w:num w:numId="19" w16cid:durableId="1139424376">
    <w:abstractNumId w:val="3"/>
  </w:num>
  <w:num w:numId="20" w16cid:durableId="1856184829">
    <w:abstractNumId w:val="11"/>
  </w:num>
  <w:num w:numId="21" w16cid:durableId="529151521">
    <w:abstractNumId w:val="22"/>
  </w:num>
  <w:num w:numId="22" w16cid:durableId="312029470">
    <w:abstractNumId w:val="0"/>
  </w:num>
  <w:num w:numId="23" w16cid:durableId="589001450">
    <w:abstractNumId w:val="18"/>
  </w:num>
  <w:num w:numId="24" w16cid:durableId="1258754531">
    <w:abstractNumId w:val="25"/>
  </w:num>
  <w:num w:numId="25" w16cid:durableId="1390038373">
    <w:abstractNumId w:val="7"/>
  </w:num>
  <w:num w:numId="26" w16cid:durableId="2141148639">
    <w:abstractNumId w:val="2"/>
  </w:num>
  <w:num w:numId="27" w16cid:durableId="1010570877">
    <w:abstractNumId w:val="26"/>
  </w:num>
  <w:num w:numId="28" w16cid:durableId="2105301382">
    <w:abstractNumId w:val="14"/>
  </w:num>
  <w:num w:numId="29" w16cid:durableId="1758014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zYwMDIwNDQxMzVS0lEKTi0uzszPAykwrQUAqN420iwAAAA="/>
  </w:docVars>
  <w:rsids>
    <w:rsidRoot w:val="00720F6C"/>
    <w:rsid w:val="00001366"/>
    <w:rsid w:val="00005A1C"/>
    <w:rsid w:val="00011F2F"/>
    <w:rsid w:val="00017A01"/>
    <w:rsid w:val="000217F7"/>
    <w:rsid w:val="0002788B"/>
    <w:rsid w:val="00030596"/>
    <w:rsid w:val="00041BD2"/>
    <w:rsid w:val="000441A2"/>
    <w:rsid w:val="00045153"/>
    <w:rsid w:val="000541E1"/>
    <w:rsid w:val="00076DD6"/>
    <w:rsid w:val="00082A5D"/>
    <w:rsid w:val="0008475B"/>
    <w:rsid w:val="000866FB"/>
    <w:rsid w:val="00095E0E"/>
    <w:rsid w:val="000A1B8F"/>
    <w:rsid w:val="000B7CF5"/>
    <w:rsid w:val="000D24AA"/>
    <w:rsid w:val="000E4C8B"/>
    <w:rsid w:val="000E7192"/>
    <w:rsid w:val="000F24F5"/>
    <w:rsid w:val="000F2B7D"/>
    <w:rsid w:val="00100FC8"/>
    <w:rsid w:val="001010A5"/>
    <w:rsid w:val="0010397C"/>
    <w:rsid w:val="00115660"/>
    <w:rsid w:val="001213ED"/>
    <w:rsid w:val="00122323"/>
    <w:rsid w:val="0012546E"/>
    <w:rsid w:val="00130DE1"/>
    <w:rsid w:val="00133ED6"/>
    <w:rsid w:val="00135EC4"/>
    <w:rsid w:val="00142210"/>
    <w:rsid w:val="00145BF6"/>
    <w:rsid w:val="001511DD"/>
    <w:rsid w:val="00152562"/>
    <w:rsid w:val="0015281B"/>
    <w:rsid w:val="00153EDF"/>
    <w:rsid w:val="00171D2A"/>
    <w:rsid w:val="001723D1"/>
    <w:rsid w:val="00173452"/>
    <w:rsid w:val="0018160D"/>
    <w:rsid w:val="001832A6"/>
    <w:rsid w:val="001868B1"/>
    <w:rsid w:val="001912FA"/>
    <w:rsid w:val="001932B6"/>
    <w:rsid w:val="001A36F0"/>
    <w:rsid w:val="001A3976"/>
    <w:rsid w:val="001E0D21"/>
    <w:rsid w:val="001E75B4"/>
    <w:rsid w:val="00200205"/>
    <w:rsid w:val="00202116"/>
    <w:rsid w:val="00204D3E"/>
    <w:rsid w:val="00205732"/>
    <w:rsid w:val="00217D2A"/>
    <w:rsid w:val="00224032"/>
    <w:rsid w:val="0022436B"/>
    <w:rsid w:val="00235574"/>
    <w:rsid w:val="00242B1B"/>
    <w:rsid w:val="002451E9"/>
    <w:rsid w:val="002608DD"/>
    <w:rsid w:val="0026112A"/>
    <w:rsid w:val="00261CF7"/>
    <w:rsid w:val="00265770"/>
    <w:rsid w:val="002742B7"/>
    <w:rsid w:val="0028518B"/>
    <w:rsid w:val="002856BE"/>
    <w:rsid w:val="002A610F"/>
    <w:rsid w:val="002B2C92"/>
    <w:rsid w:val="002C428D"/>
    <w:rsid w:val="002D5D64"/>
    <w:rsid w:val="002E7618"/>
    <w:rsid w:val="002F2CA3"/>
    <w:rsid w:val="00307CDE"/>
    <w:rsid w:val="00320BE4"/>
    <w:rsid w:val="003277A7"/>
    <w:rsid w:val="003308DC"/>
    <w:rsid w:val="0035472E"/>
    <w:rsid w:val="003632DF"/>
    <w:rsid w:val="00364ADD"/>
    <w:rsid w:val="00381576"/>
    <w:rsid w:val="00381711"/>
    <w:rsid w:val="00383AD8"/>
    <w:rsid w:val="003853BD"/>
    <w:rsid w:val="00393908"/>
    <w:rsid w:val="003A5304"/>
    <w:rsid w:val="003A5EB4"/>
    <w:rsid w:val="003B0A9F"/>
    <w:rsid w:val="003B6E38"/>
    <w:rsid w:val="003C06B7"/>
    <w:rsid w:val="003C1192"/>
    <w:rsid w:val="003D35F3"/>
    <w:rsid w:val="003D6627"/>
    <w:rsid w:val="003E1402"/>
    <w:rsid w:val="003F5157"/>
    <w:rsid w:val="003F7C9A"/>
    <w:rsid w:val="00405AF3"/>
    <w:rsid w:val="004272C5"/>
    <w:rsid w:val="004353C3"/>
    <w:rsid w:val="00437E24"/>
    <w:rsid w:val="00442E26"/>
    <w:rsid w:val="00451DF3"/>
    <w:rsid w:val="00457356"/>
    <w:rsid w:val="00461BDC"/>
    <w:rsid w:val="00461DD3"/>
    <w:rsid w:val="004626F8"/>
    <w:rsid w:val="00466F6B"/>
    <w:rsid w:val="00471440"/>
    <w:rsid w:val="00471F47"/>
    <w:rsid w:val="00472D6B"/>
    <w:rsid w:val="00473842"/>
    <w:rsid w:val="004834AA"/>
    <w:rsid w:val="00483BA8"/>
    <w:rsid w:val="0049073E"/>
    <w:rsid w:val="004916C3"/>
    <w:rsid w:val="00493CF1"/>
    <w:rsid w:val="004A2574"/>
    <w:rsid w:val="004B11B5"/>
    <w:rsid w:val="004B13EE"/>
    <w:rsid w:val="004B17AB"/>
    <w:rsid w:val="004B3D39"/>
    <w:rsid w:val="004C1824"/>
    <w:rsid w:val="004C474B"/>
    <w:rsid w:val="004D0E4E"/>
    <w:rsid w:val="004E11A8"/>
    <w:rsid w:val="004E19C3"/>
    <w:rsid w:val="004F6D4E"/>
    <w:rsid w:val="00502505"/>
    <w:rsid w:val="0051386C"/>
    <w:rsid w:val="00514FC3"/>
    <w:rsid w:val="00521931"/>
    <w:rsid w:val="00532110"/>
    <w:rsid w:val="005431A1"/>
    <w:rsid w:val="00543664"/>
    <w:rsid w:val="005518E8"/>
    <w:rsid w:val="00560A13"/>
    <w:rsid w:val="0056433F"/>
    <w:rsid w:val="00565304"/>
    <w:rsid w:val="00571549"/>
    <w:rsid w:val="00573FB1"/>
    <w:rsid w:val="00574947"/>
    <w:rsid w:val="00575798"/>
    <w:rsid w:val="0058396A"/>
    <w:rsid w:val="00584254"/>
    <w:rsid w:val="00586171"/>
    <w:rsid w:val="005A09CA"/>
    <w:rsid w:val="005A14A6"/>
    <w:rsid w:val="005A6433"/>
    <w:rsid w:val="005B11D4"/>
    <w:rsid w:val="005B11D6"/>
    <w:rsid w:val="005B1AC9"/>
    <w:rsid w:val="005B78BE"/>
    <w:rsid w:val="005B7DB2"/>
    <w:rsid w:val="005C3B3C"/>
    <w:rsid w:val="005E08B3"/>
    <w:rsid w:val="005E7292"/>
    <w:rsid w:val="00605BA6"/>
    <w:rsid w:val="00621AE9"/>
    <w:rsid w:val="00624B7F"/>
    <w:rsid w:val="006303AF"/>
    <w:rsid w:val="00635952"/>
    <w:rsid w:val="00656CEC"/>
    <w:rsid w:val="00665BCE"/>
    <w:rsid w:val="006711D7"/>
    <w:rsid w:val="00675731"/>
    <w:rsid w:val="00682620"/>
    <w:rsid w:val="00693642"/>
    <w:rsid w:val="006A3CA6"/>
    <w:rsid w:val="006B21B7"/>
    <w:rsid w:val="006C4584"/>
    <w:rsid w:val="006D6246"/>
    <w:rsid w:val="006E0740"/>
    <w:rsid w:val="006E367F"/>
    <w:rsid w:val="006F2564"/>
    <w:rsid w:val="007026C3"/>
    <w:rsid w:val="00704066"/>
    <w:rsid w:val="007169FC"/>
    <w:rsid w:val="00720F6C"/>
    <w:rsid w:val="007227BC"/>
    <w:rsid w:val="00722820"/>
    <w:rsid w:val="007234B0"/>
    <w:rsid w:val="0073607C"/>
    <w:rsid w:val="00750059"/>
    <w:rsid w:val="00751826"/>
    <w:rsid w:val="00755E0C"/>
    <w:rsid w:val="00756152"/>
    <w:rsid w:val="007645D2"/>
    <w:rsid w:val="00764A1E"/>
    <w:rsid w:val="00777F42"/>
    <w:rsid w:val="00790948"/>
    <w:rsid w:val="007A24E3"/>
    <w:rsid w:val="007C4DD5"/>
    <w:rsid w:val="007D2710"/>
    <w:rsid w:val="007D3B1F"/>
    <w:rsid w:val="007E0173"/>
    <w:rsid w:val="007F1B30"/>
    <w:rsid w:val="007F470B"/>
    <w:rsid w:val="008072AD"/>
    <w:rsid w:val="0081427C"/>
    <w:rsid w:val="00815B62"/>
    <w:rsid w:val="00821005"/>
    <w:rsid w:val="00831989"/>
    <w:rsid w:val="008427A0"/>
    <w:rsid w:val="00856E04"/>
    <w:rsid w:val="008707A8"/>
    <w:rsid w:val="008736CC"/>
    <w:rsid w:val="008811CE"/>
    <w:rsid w:val="00884188"/>
    <w:rsid w:val="00884361"/>
    <w:rsid w:val="008A7191"/>
    <w:rsid w:val="008B0EB2"/>
    <w:rsid w:val="008B1B24"/>
    <w:rsid w:val="008B1C31"/>
    <w:rsid w:val="008B2DF9"/>
    <w:rsid w:val="008C12F0"/>
    <w:rsid w:val="008C5117"/>
    <w:rsid w:val="008E63B2"/>
    <w:rsid w:val="008E63BF"/>
    <w:rsid w:val="008E7887"/>
    <w:rsid w:val="008F2A58"/>
    <w:rsid w:val="00900738"/>
    <w:rsid w:val="00900F7C"/>
    <w:rsid w:val="00911B2E"/>
    <w:rsid w:val="00920E37"/>
    <w:rsid w:val="00921A7D"/>
    <w:rsid w:val="00945CE3"/>
    <w:rsid w:val="00953772"/>
    <w:rsid w:val="00960250"/>
    <w:rsid w:val="0098254D"/>
    <w:rsid w:val="00984432"/>
    <w:rsid w:val="00987417"/>
    <w:rsid w:val="009901DF"/>
    <w:rsid w:val="00993CE7"/>
    <w:rsid w:val="009A21A4"/>
    <w:rsid w:val="009A2DE2"/>
    <w:rsid w:val="009A691D"/>
    <w:rsid w:val="009A78FA"/>
    <w:rsid w:val="009B121B"/>
    <w:rsid w:val="009B243A"/>
    <w:rsid w:val="009B5829"/>
    <w:rsid w:val="009D2FD2"/>
    <w:rsid w:val="009E2632"/>
    <w:rsid w:val="009E679E"/>
    <w:rsid w:val="009F08F2"/>
    <w:rsid w:val="00A00517"/>
    <w:rsid w:val="00A01165"/>
    <w:rsid w:val="00A06581"/>
    <w:rsid w:val="00A06EA6"/>
    <w:rsid w:val="00A077B9"/>
    <w:rsid w:val="00A14765"/>
    <w:rsid w:val="00A2200F"/>
    <w:rsid w:val="00A30A3A"/>
    <w:rsid w:val="00A3111C"/>
    <w:rsid w:val="00A47FBC"/>
    <w:rsid w:val="00A506FB"/>
    <w:rsid w:val="00A55EAA"/>
    <w:rsid w:val="00A65A35"/>
    <w:rsid w:val="00A72181"/>
    <w:rsid w:val="00A74BDD"/>
    <w:rsid w:val="00A753C4"/>
    <w:rsid w:val="00A77069"/>
    <w:rsid w:val="00A900E7"/>
    <w:rsid w:val="00A95DF5"/>
    <w:rsid w:val="00AD2626"/>
    <w:rsid w:val="00AD2860"/>
    <w:rsid w:val="00AD34DF"/>
    <w:rsid w:val="00AE2CB6"/>
    <w:rsid w:val="00B03A1D"/>
    <w:rsid w:val="00B13861"/>
    <w:rsid w:val="00B26242"/>
    <w:rsid w:val="00B26805"/>
    <w:rsid w:val="00B27BAF"/>
    <w:rsid w:val="00B325DE"/>
    <w:rsid w:val="00B450DE"/>
    <w:rsid w:val="00B4586C"/>
    <w:rsid w:val="00B51FA8"/>
    <w:rsid w:val="00B82168"/>
    <w:rsid w:val="00B9005B"/>
    <w:rsid w:val="00B93C33"/>
    <w:rsid w:val="00BA2570"/>
    <w:rsid w:val="00BA27FB"/>
    <w:rsid w:val="00BA2CBB"/>
    <w:rsid w:val="00BA6E86"/>
    <w:rsid w:val="00BC4852"/>
    <w:rsid w:val="00BF7193"/>
    <w:rsid w:val="00C17AE8"/>
    <w:rsid w:val="00C35166"/>
    <w:rsid w:val="00C55BF0"/>
    <w:rsid w:val="00C712BC"/>
    <w:rsid w:val="00CA3E71"/>
    <w:rsid w:val="00CB6007"/>
    <w:rsid w:val="00CD3CD9"/>
    <w:rsid w:val="00CE6C8C"/>
    <w:rsid w:val="00D11F49"/>
    <w:rsid w:val="00D15398"/>
    <w:rsid w:val="00D33AFA"/>
    <w:rsid w:val="00D40D63"/>
    <w:rsid w:val="00D4649B"/>
    <w:rsid w:val="00D50182"/>
    <w:rsid w:val="00D54CFD"/>
    <w:rsid w:val="00D84364"/>
    <w:rsid w:val="00D846D1"/>
    <w:rsid w:val="00D85ED5"/>
    <w:rsid w:val="00D9420B"/>
    <w:rsid w:val="00DC074B"/>
    <w:rsid w:val="00DD74FF"/>
    <w:rsid w:val="00DE7D12"/>
    <w:rsid w:val="00DF3397"/>
    <w:rsid w:val="00DF4FA7"/>
    <w:rsid w:val="00DF6559"/>
    <w:rsid w:val="00DF6C98"/>
    <w:rsid w:val="00E02A8B"/>
    <w:rsid w:val="00E04309"/>
    <w:rsid w:val="00E10E56"/>
    <w:rsid w:val="00E12C7E"/>
    <w:rsid w:val="00E13114"/>
    <w:rsid w:val="00E136F2"/>
    <w:rsid w:val="00E153C5"/>
    <w:rsid w:val="00E2542D"/>
    <w:rsid w:val="00E26A84"/>
    <w:rsid w:val="00E42D6F"/>
    <w:rsid w:val="00E615BA"/>
    <w:rsid w:val="00E6558E"/>
    <w:rsid w:val="00E66493"/>
    <w:rsid w:val="00E7084B"/>
    <w:rsid w:val="00E806A1"/>
    <w:rsid w:val="00E85053"/>
    <w:rsid w:val="00EA1BFC"/>
    <w:rsid w:val="00EC3874"/>
    <w:rsid w:val="00EC77E9"/>
    <w:rsid w:val="00EE4304"/>
    <w:rsid w:val="00EF73B5"/>
    <w:rsid w:val="00F450E4"/>
    <w:rsid w:val="00F52FEB"/>
    <w:rsid w:val="00F55333"/>
    <w:rsid w:val="00F6058F"/>
    <w:rsid w:val="00F72E76"/>
    <w:rsid w:val="00F820C0"/>
    <w:rsid w:val="00F90D15"/>
    <w:rsid w:val="00F91B63"/>
    <w:rsid w:val="00F9561E"/>
    <w:rsid w:val="00F968A6"/>
    <w:rsid w:val="00FB3361"/>
    <w:rsid w:val="00FC3927"/>
    <w:rsid w:val="00FC3F79"/>
    <w:rsid w:val="00FC6D3A"/>
    <w:rsid w:val="00FC6FDA"/>
    <w:rsid w:val="00FD4F73"/>
    <w:rsid w:val="00FD7D97"/>
    <w:rsid w:val="00FE24E1"/>
    <w:rsid w:val="00FF162C"/>
    <w:rsid w:val="00FF7A27"/>
    <w:rsid w:val="12580FD7"/>
    <w:rsid w:val="131AC83F"/>
    <w:rsid w:val="18111F22"/>
    <w:rsid w:val="24F72418"/>
    <w:rsid w:val="25ED78FB"/>
    <w:rsid w:val="3D9D2041"/>
    <w:rsid w:val="4A691BDC"/>
    <w:rsid w:val="77733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9EAE211"/>
  <w15:docId w15:val="{AFFB4518-05CA-4B3C-8136-4DE54792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765"/>
      <w:jc w:val="center"/>
    </w:pPr>
  </w:style>
  <w:style w:type="paragraph" w:styleId="Header">
    <w:name w:val="header"/>
    <w:basedOn w:val="Normal"/>
    <w:link w:val="HeaderChar"/>
    <w:uiPriority w:val="99"/>
    <w:unhideWhenUsed/>
    <w:rsid w:val="00265770"/>
    <w:pPr>
      <w:tabs>
        <w:tab w:val="center" w:pos="4680"/>
        <w:tab w:val="right" w:pos="9360"/>
      </w:tabs>
    </w:pPr>
  </w:style>
  <w:style w:type="character" w:customStyle="1" w:styleId="HeaderChar">
    <w:name w:val="Header Char"/>
    <w:basedOn w:val="DefaultParagraphFont"/>
    <w:link w:val="Header"/>
    <w:uiPriority w:val="99"/>
    <w:rsid w:val="00265770"/>
    <w:rPr>
      <w:rFonts w:ascii="Arial" w:eastAsia="Arial" w:hAnsi="Arial" w:cs="Arial"/>
      <w:lang w:bidi="en-US"/>
    </w:rPr>
  </w:style>
  <w:style w:type="paragraph" w:styleId="Footer">
    <w:name w:val="footer"/>
    <w:basedOn w:val="Normal"/>
    <w:link w:val="FooterChar"/>
    <w:unhideWhenUsed/>
    <w:rsid w:val="00265770"/>
    <w:pPr>
      <w:tabs>
        <w:tab w:val="center" w:pos="4680"/>
        <w:tab w:val="right" w:pos="9360"/>
      </w:tabs>
    </w:pPr>
  </w:style>
  <w:style w:type="character" w:customStyle="1" w:styleId="FooterChar">
    <w:name w:val="Footer Char"/>
    <w:basedOn w:val="DefaultParagraphFont"/>
    <w:link w:val="Footer"/>
    <w:uiPriority w:val="99"/>
    <w:rsid w:val="00265770"/>
    <w:rPr>
      <w:rFonts w:ascii="Arial" w:eastAsia="Arial" w:hAnsi="Arial" w:cs="Arial"/>
      <w:lang w:bidi="en-US"/>
    </w:rPr>
  </w:style>
  <w:style w:type="character" w:styleId="CommentReference">
    <w:name w:val="annotation reference"/>
    <w:basedOn w:val="DefaultParagraphFont"/>
    <w:uiPriority w:val="99"/>
    <w:semiHidden/>
    <w:unhideWhenUsed/>
    <w:rsid w:val="004B11B5"/>
    <w:rPr>
      <w:sz w:val="16"/>
      <w:szCs w:val="16"/>
    </w:rPr>
  </w:style>
  <w:style w:type="paragraph" w:styleId="CommentText">
    <w:name w:val="annotation text"/>
    <w:basedOn w:val="Normal"/>
    <w:link w:val="CommentTextChar"/>
    <w:uiPriority w:val="99"/>
    <w:unhideWhenUsed/>
    <w:rsid w:val="004B11B5"/>
    <w:rPr>
      <w:sz w:val="20"/>
      <w:szCs w:val="20"/>
    </w:rPr>
  </w:style>
  <w:style w:type="character" w:customStyle="1" w:styleId="CommentTextChar">
    <w:name w:val="Comment Text Char"/>
    <w:basedOn w:val="DefaultParagraphFont"/>
    <w:link w:val="CommentText"/>
    <w:uiPriority w:val="99"/>
    <w:rsid w:val="004B11B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B11B5"/>
    <w:rPr>
      <w:b/>
      <w:bCs/>
    </w:rPr>
  </w:style>
  <w:style w:type="character" w:customStyle="1" w:styleId="CommentSubjectChar">
    <w:name w:val="Comment Subject Char"/>
    <w:basedOn w:val="CommentTextChar"/>
    <w:link w:val="CommentSubject"/>
    <w:uiPriority w:val="99"/>
    <w:semiHidden/>
    <w:rsid w:val="004B11B5"/>
    <w:rPr>
      <w:rFonts w:ascii="Arial" w:eastAsia="Arial" w:hAnsi="Arial" w:cs="Arial"/>
      <w:b/>
      <w:bCs/>
      <w:sz w:val="20"/>
      <w:szCs w:val="20"/>
      <w:lang w:bidi="en-US"/>
    </w:rPr>
  </w:style>
  <w:style w:type="paragraph" w:styleId="NormalWeb">
    <w:name w:val="Normal (Web)"/>
    <w:basedOn w:val="Normal"/>
    <w:uiPriority w:val="99"/>
    <w:unhideWhenUsed/>
    <w:rsid w:val="00205732"/>
    <w:rPr>
      <w:rFonts w:ascii="Times New Roman" w:hAnsi="Times New Roman" w:cs="Times New Roman"/>
      <w:sz w:val="24"/>
      <w:szCs w:val="24"/>
    </w:rPr>
  </w:style>
  <w:style w:type="character" w:styleId="Hyperlink">
    <w:name w:val="Hyperlink"/>
    <w:basedOn w:val="DefaultParagraphFont"/>
    <w:uiPriority w:val="99"/>
    <w:unhideWhenUsed/>
    <w:rsid w:val="009E2632"/>
    <w:rPr>
      <w:color w:val="0000FF" w:themeColor="hyperlink"/>
      <w:u w:val="single"/>
    </w:rPr>
  </w:style>
  <w:style w:type="character" w:styleId="UnresolvedMention">
    <w:name w:val="Unresolved Mention"/>
    <w:basedOn w:val="DefaultParagraphFont"/>
    <w:uiPriority w:val="99"/>
    <w:semiHidden/>
    <w:unhideWhenUsed/>
    <w:rsid w:val="009E2632"/>
    <w:rPr>
      <w:color w:val="605E5C"/>
      <w:shd w:val="clear" w:color="auto" w:fill="E1DFDD"/>
    </w:rPr>
  </w:style>
  <w:style w:type="paragraph" w:styleId="Revision">
    <w:name w:val="Revision"/>
    <w:hidden/>
    <w:uiPriority w:val="99"/>
    <w:semiHidden/>
    <w:rsid w:val="002C428D"/>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A55EAA"/>
    <w:rPr>
      <w:rFonts w:ascii="Arial" w:eastAsia="Arial" w:hAnsi="Arial" w:cs="Arial"/>
      <w:sz w:val="24"/>
      <w:szCs w:val="24"/>
      <w:lang w:bidi="en-US"/>
    </w:rPr>
  </w:style>
  <w:style w:type="character" w:styleId="FollowedHyperlink">
    <w:name w:val="FollowedHyperlink"/>
    <w:basedOn w:val="DefaultParagraphFont"/>
    <w:uiPriority w:val="99"/>
    <w:semiHidden/>
    <w:unhideWhenUsed/>
    <w:rsid w:val="003632DF"/>
    <w:rPr>
      <w:color w:val="800080" w:themeColor="followedHyperlink"/>
      <w:u w:val="single"/>
    </w:rPr>
  </w:style>
  <w:style w:type="character" w:styleId="BookTitle">
    <w:name w:val="Book Title"/>
    <w:basedOn w:val="DefaultParagraphFont"/>
    <w:uiPriority w:val="33"/>
    <w:qFormat/>
    <w:rsid w:val="000541E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21212">
      <w:bodyDiv w:val="1"/>
      <w:marLeft w:val="0"/>
      <w:marRight w:val="0"/>
      <w:marTop w:val="0"/>
      <w:marBottom w:val="0"/>
      <w:divBdr>
        <w:top w:val="none" w:sz="0" w:space="0" w:color="auto"/>
        <w:left w:val="none" w:sz="0" w:space="0" w:color="auto"/>
        <w:bottom w:val="none" w:sz="0" w:space="0" w:color="auto"/>
        <w:right w:val="none" w:sz="0" w:space="0" w:color="auto"/>
      </w:divBdr>
      <w:divsChild>
        <w:div w:id="944196330">
          <w:marLeft w:val="0"/>
          <w:marRight w:val="0"/>
          <w:marTop w:val="0"/>
          <w:marBottom w:val="0"/>
          <w:divBdr>
            <w:top w:val="none" w:sz="0" w:space="0" w:color="auto"/>
            <w:left w:val="none" w:sz="0" w:space="0" w:color="auto"/>
            <w:bottom w:val="none" w:sz="0" w:space="0" w:color="auto"/>
            <w:right w:val="none" w:sz="0" w:space="0" w:color="auto"/>
          </w:divBdr>
        </w:div>
        <w:div w:id="2034836741">
          <w:marLeft w:val="0"/>
          <w:marRight w:val="0"/>
          <w:marTop w:val="0"/>
          <w:marBottom w:val="0"/>
          <w:divBdr>
            <w:top w:val="none" w:sz="0" w:space="0" w:color="auto"/>
            <w:left w:val="none" w:sz="0" w:space="0" w:color="auto"/>
            <w:bottom w:val="none" w:sz="0" w:space="0" w:color="auto"/>
            <w:right w:val="none" w:sz="0" w:space="0" w:color="auto"/>
          </w:divBdr>
        </w:div>
      </w:divsChild>
    </w:div>
    <w:div w:id="618415956">
      <w:bodyDiv w:val="1"/>
      <w:marLeft w:val="0"/>
      <w:marRight w:val="0"/>
      <w:marTop w:val="0"/>
      <w:marBottom w:val="0"/>
      <w:divBdr>
        <w:top w:val="none" w:sz="0" w:space="0" w:color="auto"/>
        <w:left w:val="none" w:sz="0" w:space="0" w:color="auto"/>
        <w:bottom w:val="none" w:sz="0" w:space="0" w:color="auto"/>
        <w:right w:val="none" w:sz="0" w:space="0" w:color="auto"/>
      </w:divBdr>
    </w:div>
    <w:div w:id="841819034">
      <w:bodyDiv w:val="1"/>
      <w:marLeft w:val="0"/>
      <w:marRight w:val="0"/>
      <w:marTop w:val="0"/>
      <w:marBottom w:val="0"/>
      <w:divBdr>
        <w:top w:val="none" w:sz="0" w:space="0" w:color="auto"/>
        <w:left w:val="none" w:sz="0" w:space="0" w:color="auto"/>
        <w:bottom w:val="none" w:sz="0" w:space="0" w:color="auto"/>
        <w:right w:val="none" w:sz="0" w:space="0" w:color="auto"/>
      </w:divBdr>
      <w:divsChild>
        <w:div w:id="1312563474">
          <w:marLeft w:val="0"/>
          <w:marRight w:val="0"/>
          <w:marTop w:val="0"/>
          <w:marBottom w:val="0"/>
          <w:divBdr>
            <w:top w:val="none" w:sz="0" w:space="0" w:color="auto"/>
            <w:left w:val="none" w:sz="0" w:space="0" w:color="auto"/>
            <w:bottom w:val="none" w:sz="0" w:space="0" w:color="auto"/>
            <w:right w:val="none" w:sz="0" w:space="0" w:color="auto"/>
          </w:divBdr>
        </w:div>
      </w:divsChild>
    </w:div>
    <w:div w:id="860317972">
      <w:bodyDiv w:val="1"/>
      <w:marLeft w:val="0"/>
      <w:marRight w:val="0"/>
      <w:marTop w:val="0"/>
      <w:marBottom w:val="0"/>
      <w:divBdr>
        <w:top w:val="none" w:sz="0" w:space="0" w:color="auto"/>
        <w:left w:val="none" w:sz="0" w:space="0" w:color="auto"/>
        <w:bottom w:val="none" w:sz="0" w:space="0" w:color="auto"/>
        <w:right w:val="none" w:sz="0" w:space="0" w:color="auto"/>
      </w:divBdr>
      <w:divsChild>
        <w:div w:id="638803235">
          <w:marLeft w:val="0"/>
          <w:marRight w:val="0"/>
          <w:marTop w:val="0"/>
          <w:marBottom w:val="0"/>
          <w:divBdr>
            <w:top w:val="none" w:sz="0" w:space="0" w:color="auto"/>
            <w:left w:val="none" w:sz="0" w:space="0" w:color="auto"/>
            <w:bottom w:val="none" w:sz="0" w:space="0" w:color="auto"/>
            <w:right w:val="none" w:sz="0" w:space="0" w:color="auto"/>
          </w:divBdr>
        </w:div>
      </w:divsChild>
    </w:div>
    <w:div w:id="1975941206">
      <w:bodyDiv w:val="1"/>
      <w:marLeft w:val="0"/>
      <w:marRight w:val="0"/>
      <w:marTop w:val="0"/>
      <w:marBottom w:val="0"/>
      <w:divBdr>
        <w:top w:val="none" w:sz="0" w:space="0" w:color="auto"/>
        <w:left w:val="none" w:sz="0" w:space="0" w:color="auto"/>
        <w:bottom w:val="none" w:sz="0" w:space="0" w:color="auto"/>
        <w:right w:val="none" w:sz="0" w:space="0" w:color="auto"/>
      </w:divBdr>
      <w:divsChild>
        <w:div w:id="19039807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rownK47\AppData\Local\Microsoft\Windows\INetCache\Content.Outlook\8P37OFM8\TreasLocalGov@michigan.gov" TargetMode="External"/><Relationship Id="rId18" Type="http://schemas.openxmlformats.org/officeDocument/2006/relationships/hyperlink" Target="https://www.michigan.gov/treasury/local/lafd/news/fiscally-ready-communities-progra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srb.org/glossary" TargetMode="External"/><Relationship Id="rId7" Type="http://schemas.openxmlformats.org/officeDocument/2006/relationships/webSettings" Target="webSettings.xml"/><Relationship Id="rId12" Type="http://schemas.openxmlformats.org/officeDocument/2006/relationships/hyperlink" Target="https://www.michigan.gov/treasury/local/lafd" TargetMode="External"/><Relationship Id="rId17" Type="http://schemas.openxmlformats.org/officeDocument/2006/relationships/hyperlink" Target="mailto:Treas_MunicipalFinance@michigan.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eas_MunicipalFinance@michigan.gov" TargetMode="External"/><Relationship Id="rId20" Type="http://schemas.openxmlformats.org/officeDocument/2006/relationships/hyperlink" Target="https://www.michigan.gov/treasury/-/media/Project/Websites/treasury/BLGSS/LAFD/MCGAA/Rating-Exemption-Flowchart_CEFD_2022.pdf?rev=09417d84215e48568b7f819051328b0d&amp;hash=6FF8D6640C390C2C88C5E26FD939F92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ure.mi.gov/documents/mcl/pdf/MCL-ACT-34-OF-2001.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ichigan.gov/treasury/local/lafd"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michigan.gov/treasury/-/media/Project/Websites/treasury/BLGSS/LAFD/Municipal-Stability-Board/MSB-MISC/MFS-Borrowing-Process-Flowchart_Checked.pdf?rev=d36170c4b2344744957b312a7c00266f&amp;hash=9F0D52464740B5AD23640E1B3D390CD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chigan.gov/treasury/local/lafd/finance" TargetMode="External"/><Relationship Id="rId22" Type="http://schemas.openxmlformats.org/officeDocument/2006/relationships/hyperlink" Target="mailto:Treas_MunicipalFinance@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09828C173CD4583C5B14C4D2A9126" ma:contentTypeVersion="6" ma:contentTypeDescription="Create a new document." ma:contentTypeScope="" ma:versionID="5de7286ff654b28656aeff0cb24c1dec">
  <xsd:schema xmlns:xsd="http://www.w3.org/2001/XMLSchema" xmlns:xs="http://www.w3.org/2001/XMLSchema" xmlns:p="http://schemas.microsoft.com/office/2006/metadata/properties" xmlns:ns2="155138b0-333a-4e55-b90d-d20e0dad986a" xmlns:ns3="c6a089a8-a6be-4b04-b0aa-32b8e2d8b3a6" targetNamespace="http://schemas.microsoft.com/office/2006/metadata/properties" ma:root="true" ma:fieldsID="569857ff99851fb5c299a6c48529c97b" ns2:_="" ns3:_="">
    <xsd:import namespace="155138b0-333a-4e55-b90d-d20e0dad986a"/>
    <xsd:import namespace="c6a089a8-a6be-4b04-b0aa-32b8e2d8b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138b0-333a-4e55-b90d-d20e0dad9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a089a8-a6be-4b04-b0aa-32b8e2d8b3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A7DC9-5301-457A-8EF7-C39DD9B9E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138b0-333a-4e55-b90d-d20e0dad986a"/>
    <ds:schemaRef ds:uri="c6a089a8-a6be-4b04-b0aa-32b8e2d8b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31D52-04A2-4865-87BB-60E4E9E2C084}">
  <ds:schemaRefs>
    <ds:schemaRef ds:uri="http://schemas.microsoft.com/sharepoint/v3/contenttype/forms"/>
  </ds:schemaRefs>
</ds:datastoreItem>
</file>

<file path=customXml/itemProps3.xml><?xml version="1.0" encoding="utf-8"?>
<ds:datastoreItem xmlns:ds="http://schemas.openxmlformats.org/officeDocument/2006/customXml" ds:itemID="{49749B44-7861-4E82-AC0D-E724C24AA057}">
  <ds:schemaRefs>
    <ds:schemaRef ds:uri="c6a089a8-a6be-4b04-b0aa-32b8e2d8b3a6"/>
    <ds:schemaRef ds:uri="http://schemas.microsoft.com/office/2006/documentManagement/types"/>
    <ds:schemaRef ds:uri="http://schemas.microsoft.com/office/infopath/2007/PartnerControls"/>
    <ds:schemaRef ds:uri="155138b0-333a-4e55-b90d-d20e0dad986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2857</Words>
  <Characters>16287</Characters>
  <DocSecurity>2</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2025-04-30T12:18:00Z</dcterms:created>
  <dcterms:modified xsi:type="dcterms:W3CDTF">2025-05-05T18:44:00Z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Acrobat PDFMaker 19 for Word</vt:lpwstr>
  </property>
  <property fmtid="{D5CDD505-2E9C-101B-9397-08002B2CF9AE}" pid="4" name="LastSaved">
    <vt:filetime>2021-05-07T00:00:00Z</vt:filetime>
  </property>
  <property fmtid="{D5CDD505-2E9C-101B-9397-08002B2CF9AE}" pid="5" name="MSIP_Label_3a2fed65-62e7-46ea-af74-187e0c17143a_Enabled">
    <vt:lpwstr>true</vt:lpwstr>
  </property>
  <property fmtid="{D5CDD505-2E9C-101B-9397-08002B2CF9AE}" pid="6" name="MSIP_Label_3a2fed65-62e7-46ea-af74-187e0c17143a_SetDate">
    <vt:lpwstr>2021-05-07T12:12:26Z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f621c219-abe6-4db3-b447-8b9f45df74f4</vt:lpwstr>
  </property>
  <property fmtid="{D5CDD505-2E9C-101B-9397-08002B2CF9AE}" pid="11" name="MSIP_Label_3a2fed65-62e7-46ea-af74-187e0c17143a_ContentBits">
    <vt:lpwstr>0</vt:lpwstr>
  </property>
  <property fmtid="{D5CDD505-2E9C-101B-9397-08002B2CF9AE}" pid="12" name="ContentTypeId">
    <vt:lpwstr>0x0101002C809828C173CD4583C5B14C4D2A9126</vt:lpwstr>
  </property>
</Properties>
</file>