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rsidTr="00F76549">
        <w:trPr>
          <w:trHeight w:val="1340"/>
        </w:trPr>
        <w:tc>
          <w:tcPr>
            <w:tcW w:w="2058" w:type="dxa"/>
          </w:tcPr>
          <w:p w14:paraId="62622B89" w14:textId="05525F2F" w:rsidR="00716ED8" w:rsidRDefault="005E3236" w:rsidP="006B1EA9">
            <w:pPr>
              <w:jc w:val="center"/>
              <w:rPr>
                <w:rStyle w:val="Hyperlink"/>
              </w:rPr>
            </w:pPr>
            <w:r>
              <w:rPr>
                <w:noProof/>
              </w:rPr>
              <w:drawing>
                <wp:inline distT="0" distB="0" distL="0" distR="0" wp14:anchorId="5741D522" wp14:editId="1F1BB744">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0F27C033" w14:textId="5F92D1EF" w:rsidR="00716ED8" w:rsidRPr="00F76549" w:rsidRDefault="0031474A" w:rsidP="00F76549">
      <w:pPr>
        <w:jc w:val="center"/>
        <w:rPr>
          <w:rFonts w:ascii="Book Antiqua" w:hAnsi="Book Antiqua"/>
          <w:b/>
          <w:color w:val="FF0000"/>
          <w:sz w:val="56"/>
          <w:szCs w:val="56"/>
        </w:rPr>
      </w:pPr>
      <w:r w:rsidRPr="0031474A">
        <w:rPr>
          <w:rFonts w:ascii="Book Antiqua" w:hAnsi="Book Antiqua"/>
          <w:b/>
          <w:color w:val="FF0000"/>
          <w:sz w:val="56"/>
          <w:szCs w:val="56"/>
        </w:rPr>
        <w:t xml:space="preserve"> </w:t>
      </w:r>
      <w:r w:rsidR="00F76549">
        <w:rPr>
          <w:rFonts w:ascii="Book Antiqua" w:hAnsi="Book Antiqua"/>
          <w:b/>
          <w:sz w:val="52"/>
        </w:rPr>
        <w:br/>
      </w:r>
      <w:r w:rsidR="00716ED8"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387"/>
        <w:gridCol w:w="4613"/>
      </w:tblGrid>
      <w:tr w:rsidR="00716ED8" w:rsidRPr="00811E02" w14:paraId="4E039AAE" w14:textId="77777777" w:rsidTr="006B1EA9">
        <w:trPr>
          <w:jc w:val="center"/>
        </w:trPr>
        <w:tc>
          <w:tcPr>
            <w:tcW w:w="0" w:type="auto"/>
            <w:shd w:val="clear" w:color="auto" w:fill="4472C4" w:themeFill="accent1"/>
            <w:vAlign w:val="center"/>
          </w:tcPr>
          <w:p w14:paraId="75AA6DB4" w14:textId="4EBC1809" w:rsidR="00716ED8" w:rsidRPr="00811E02" w:rsidRDefault="00716ED8" w:rsidP="00804693">
            <w:pPr>
              <w:rPr>
                <w:rFonts w:ascii="Arial" w:hAnsi="Arial" w:cs="Arial"/>
                <w:color w:val="FFFFFF" w:themeColor="background1"/>
                <w:sz w:val="22"/>
                <w:szCs w:val="22"/>
              </w:rPr>
            </w:pPr>
            <w:r w:rsidRPr="00811E02">
              <w:rPr>
                <w:rStyle w:val="Strong"/>
                <w:rFonts w:ascii="Arial" w:hAnsi="Arial" w:cs="Arial"/>
                <w:color w:val="FFFFFF" w:themeColor="background1"/>
                <w:sz w:val="22"/>
                <w:szCs w:val="22"/>
              </w:rPr>
              <w:t xml:space="preserve">FOR IMMEDIATE RELEASE </w:t>
            </w:r>
            <w:r w:rsidRPr="00811E02">
              <w:rPr>
                <w:rFonts w:ascii="Arial" w:hAnsi="Arial" w:cs="Arial"/>
                <w:b/>
                <w:bCs/>
                <w:color w:val="FFFFFF" w:themeColor="background1"/>
                <w:sz w:val="22"/>
                <w:szCs w:val="22"/>
              </w:rPr>
              <w:br/>
            </w:r>
            <w:r w:rsidR="005E3236">
              <w:rPr>
                <w:rFonts w:ascii="Arial" w:hAnsi="Arial" w:cs="Arial"/>
                <w:b/>
                <w:bCs/>
                <w:color w:val="FFFFFF" w:themeColor="background1"/>
                <w:sz w:val="22"/>
                <w:szCs w:val="22"/>
              </w:rPr>
              <w:t>May</w:t>
            </w:r>
            <w:r w:rsidR="00BC0787" w:rsidRPr="00811E02">
              <w:rPr>
                <w:rFonts w:ascii="Arial" w:hAnsi="Arial" w:cs="Arial"/>
                <w:b/>
                <w:bCs/>
                <w:color w:val="FFFFFF" w:themeColor="background1"/>
                <w:sz w:val="22"/>
                <w:szCs w:val="22"/>
              </w:rPr>
              <w:t xml:space="preserve"> </w:t>
            </w:r>
            <w:r w:rsidR="005A6D21">
              <w:rPr>
                <w:rFonts w:ascii="Arial" w:hAnsi="Arial" w:cs="Arial"/>
                <w:b/>
                <w:bCs/>
                <w:color w:val="FFFFFF" w:themeColor="background1"/>
                <w:sz w:val="22"/>
                <w:szCs w:val="22"/>
              </w:rPr>
              <w:t>4</w:t>
            </w:r>
            <w:r w:rsidR="00BC0787" w:rsidRPr="00811E02">
              <w:rPr>
                <w:rFonts w:ascii="Arial" w:hAnsi="Arial" w:cs="Arial"/>
                <w:b/>
                <w:bCs/>
                <w:color w:val="FFFFFF" w:themeColor="background1"/>
                <w:sz w:val="22"/>
                <w:szCs w:val="22"/>
              </w:rPr>
              <w:t>,</w:t>
            </w:r>
            <w:r w:rsidR="00B6561B" w:rsidRPr="00811E02">
              <w:rPr>
                <w:rFonts w:ascii="Arial" w:hAnsi="Arial" w:cs="Arial"/>
                <w:b/>
                <w:bCs/>
                <w:color w:val="FFFFFF" w:themeColor="background1"/>
                <w:sz w:val="22"/>
                <w:szCs w:val="22"/>
              </w:rPr>
              <w:t xml:space="preserve"> 20</w:t>
            </w:r>
            <w:r w:rsidR="00432433" w:rsidRPr="00811E02">
              <w:rPr>
                <w:rFonts w:ascii="Arial" w:hAnsi="Arial" w:cs="Arial"/>
                <w:b/>
                <w:bCs/>
                <w:color w:val="FFFFFF" w:themeColor="background1"/>
                <w:sz w:val="22"/>
                <w:szCs w:val="22"/>
              </w:rPr>
              <w:t>2</w:t>
            </w:r>
            <w:r w:rsidR="006B1EA9" w:rsidRPr="00811E02">
              <w:rPr>
                <w:rFonts w:ascii="Arial" w:hAnsi="Arial" w:cs="Arial"/>
                <w:b/>
                <w:bCs/>
                <w:color w:val="FFFFFF" w:themeColor="background1"/>
                <w:sz w:val="22"/>
                <w:szCs w:val="22"/>
              </w:rPr>
              <w:t>3</w:t>
            </w:r>
          </w:p>
        </w:tc>
        <w:tc>
          <w:tcPr>
            <w:tcW w:w="0" w:type="auto"/>
            <w:shd w:val="clear" w:color="auto" w:fill="4472C4" w:themeFill="accent1"/>
            <w:vAlign w:val="center"/>
          </w:tcPr>
          <w:p w14:paraId="70383645" w14:textId="5CF68DA8" w:rsidR="00716ED8" w:rsidRPr="00811E02" w:rsidRDefault="00716ED8" w:rsidP="006B1EA9">
            <w:pPr>
              <w:pStyle w:val="NormalWeb"/>
              <w:spacing w:before="0" w:beforeAutospacing="0" w:after="0" w:afterAutospacing="0"/>
              <w:jc w:val="right"/>
              <w:rPr>
                <w:rFonts w:ascii="Arial" w:hAnsi="Arial" w:cs="Arial"/>
                <w:b/>
                <w:bCs/>
                <w:color w:val="FFFFFF" w:themeColor="background1"/>
                <w:sz w:val="22"/>
                <w:szCs w:val="22"/>
              </w:rPr>
            </w:pPr>
            <w:r w:rsidRPr="00811E02">
              <w:rPr>
                <w:rStyle w:val="Strong"/>
                <w:rFonts w:ascii="Arial" w:hAnsi="Arial" w:cs="Arial"/>
                <w:color w:val="FFFFFF" w:themeColor="background1"/>
                <w:sz w:val="22"/>
                <w:szCs w:val="22"/>
              </w:rPr>
              <w:t>Contact:</w:t>
            </w:r>
            <w:r w:rsidRPr="00811E02">
              <w:rPr>
                <w:rFonts w:ascii="Arial" w:hAnsi="Arial" w:cs="Arial"/>
                <w:b/>
                <w:bCs/>
                <w:color w:val="FFFFFF" w:themeColor="background1"/>
                <w:sz w:val="22"/>
                <w:szCs w:val="22"/>
              </w:rPr>
              <w:br/>
            </w:r>
            <w:r w:rsidR="006B1EA9" w:rsidRPr="00811E02">
              <w:rPr>
                <w:rFonts w:ascii="Arial" w:hAnsi="Arial" w:cs="Arial"/>
                <w:b/>
                <w:bCs/>
                <w:color w:val="FFFFFF" w:themeColor="background1"/>
                <w:sz w:val="22"/>
                <w:szCs w:val="22"/>
              </w:rPr>
              <w:t>MGCB-media</w:t>
            </w:r>
            <w:r w:rsidR="00E228C6" w:rsidRPr="00811E02">
              <w:rPr>
                <w:rFonts w:ascii="Arial" w:hAnsi="Arial" w:cs="Arial"/>
                <w:b/>
                <w:bCs/>
                <w:color w:val="FFFFFF" w:themeColor="background1"/>
                <w:sz w:val="22"/>
                <w:szCs w:val="22"/>
              </w:rPr>
              <w:t>@michigan.gov</w:t>
            </w:r>
          </w:p>
          <w:p w14:paraId="3786EB74" w14:textId="77777777" w:rsidR="00716ED8" w:rsidRPr="00811E02" w:rsidRDefault="00BC75DD">
            <w:pPr>
              <w:pStyle w:val="NormalWeb"/>
              <w:spacing w:before="0" w:beforeAutospacing="0" w:after="0" w:afterAutospacing="0"/>
              <w:jc w:val="right"/>
              <w:rPr>
                <w:rFonts w:ascii="Arial" w:hAnsi="Arial" w:cs="Arial"/>
                <w:sz w:val="22"/>
                <w:szCs w:val="22"/>
              </w:rPr>
            </w:pPr>
            <w:r w:rsidRPr="00811E02">
              <w:rPr>
                <w:rFonts w:ascii="Arial" w:hAnsi="Arial" w:cs="Arial"/>
                <w:b/>
                <w:bCs/>
                <w:color w:val="FFFFFF" w:themeColor="background1"/>
                <w:sz w:val="22"/>
                <w:szCs w:val="22"/>
              </w:rPr>
              <w:t>www.michigan.gov/mgcb</w:t>
            </w:r>
          </w:p>
        </w:tc>
      </w:tr>
    </w:tbl>
    <w:p w14:paraId="7B51E15F" w14:textId="77777777" w:rsidR="00716ED8" w:rsidRPr="00811E02" w:rsidRDefault="00716ED8">
      <w:pPr>
        <w:pStyle w:val="NormalWeb"/>
        <w:spacing w:before="0" w:beforeAutospacing="0" w:after="0" w:afterAutospacing="0"/>
        <w:rPr>
          <w:rFonts w:ascii="Arial" w:hAnsi="Arial" w:cs="Arial"/>
          <w:sz w:val="16"/>
          <w:szCs w:val="16"/>
        </w:rPr>
      </w:pPr>
    </w:p>
    <w:p w14:paraId="0F3FE364" w14:textId="77777777" w:rsidR="00716ED8" w:rsidRPr="00811E02" w:rsidRDefault="00716ED8">
      <w:pPr>
        <w:pStyle w:val="Heading4"/>
        <w:jc w:val="left"/>
        <w:rPr>
          <w:rFonts w:ascii="Arial" w:hAnsi="Arial" w:cs="Arial"/>
          <w:b w:val="0"/>
          <w:bCs w:val="0"/>
          <w:sz w:val="20"/>
          <w:szCs w:val="20"/>
        </w:rPr>
      </w:pPr>
      <w:r w:rsidRPr="00811E02">
        <w:rPr>
          <w:rFonts w:ascii="Arial" w:hAnsi="Arial" w:cs="Arial"/>
          <w:sz w:val="20"/>
          <w:szCs w:val="20"/>
        </w:rPr>
        <w:t xml:space="preserve">Location: </w:t>
      </w:r>
      <w:r w:rsidRPr="00811E02">
        <w:rPr>
          <w:rFonts w:ascii="Arial" w:hAnsi="Arial" w:cs="Arial"/>
          <w:b w:val="0"/>
          <w:bCs w:val="0"/>
          <w:sz w:val="20"/>
          <w:szCs w:val="20"/>
        </w:rPr>
        <w:t>Cadillac Place, 3062 W. Grand Blvd., L-700 – Detroit</w:t>
      </w:r>
    </w:p>
    <w:p w14:paraId="210319C5" w14:textId="1DBAB183" w:rsidR="00716ED8" w:rsidRPr="00811E02" w:rsidRDefault="00716ED8">
      <w:pPr>
        <w:pStyle w:val="NormalWeb"/>
        <w:spacing w:before="0" w:beforeAutospacing="0" w:after="0" w:afterAutospacing="0"/>
        <w:rPr>
          <w:rFonts w:ascii="Arial" w:hAnsi="Arial" w:cs="Arial"/>
          <w:sz w:val="20"/>
          <w:szCs w:val="20"/>
        </w:rPr>
      </w:pPr>
      <w:r w:rsidRPr="00811E02">
        <w:rPr>
          <w:rFonts w:ascii="Arial" w:hAnsi="Arial" w:cs="Arial"/>
          <w:b/>
          <w:bCs/>
          <w:sz w:val="20"/>
          <w:szCs w:val="20"/>
        </w:rPr>
        <w:t>Time:</w:t>
      </w:r>
      <w:r w:rsidRPr="00811E02">
        <w:rPr>
          <w:rFonts w:ascii="Arial" w:hAnsi="Arial" w:cs="Arial"/>
          <w:sz w:val="20"/>
          <w:szCs w:val="20"/>
        </w:rPr>
        <w:t xml:space="preserve"> </w:t>
      </w:r>
      <w:r w:rsidR="00345C74" w:rsidRPr="00811E02">
        <w:rPr>
          <w:rFonts w:ascii="Arial" w:hAnsi="Arial" w:cs="Arial"/>
          <w:sz w:val="20"/>
          <w:szCs w:val="20"/>
        </w:rPr>
        <w:t>10</w:t>
      </w:r>
      <w:r w:rsidR="00B6561B" w:rsidRPr="00811E02">
        <w:rPr>
          <w:rFonts w:ascii="Arial" w:hAnsi="Arial" w:cs="Arial"/>
          <w:sz w:val="20"/>
          <w:szCs w:val="20"/>
        </w:rPr>
        <w:t>:</w:t>
      </w:r>
      <w:r w:rsidR="005A6D21">
        <w:rPr>
          <w:rFonts w:ascii="Arial" w:hAnsi="Arial" w:cs="Arial"/>
          <w:sz w:val="20"/>
          <w:szCs w:val="20"/>
        </w:rPr>
        <w:t>3</w:t>
      </w:r>
      <w:r w:rsidR="00B6561B" w:rsidRPr="00811E02">
        <w:rPr>
          <w:rFonts w:ascii="Arial" w:hAnsi="Arial" w:cs="Arial"/>
          <w:sz w:val="20"/>
          <w:szCs w:val="20"/>
        </w:rPr>
        <w:t>0</w:t>
      </w:r>
      <w:r w:rsidR="00BB4CA4" w:rsidRPr="00811E02">
        <w:rPr>
          <w:rFonts w:ascii="Arial" w:hAnsi="Arial" w:cs="Arial"/>
          <w:sz w:val="20"/>
          <w:szCs w:val="20"/>
        </w:rPr>
        <w:t xml:space="preserve"> </w:t>
      </w:r>
      <w:r w:rsidR="00D0524A" w:rsidRPr="00811E02">
        <w:rPr>
          <w:rFonts w:ascii="Arial" w:hAnsi="Arial" w:cs="Arial"/>
          <w:sz w:val="20"/>
          <w:szCs w:val="20"/>
        </w:rPr>
        <w:t>a</w:t>
      </w:r>
      <w:r w:rsidR="00035E72" w:rsidRPr="00811E02">
        <w:rPr>
          <w:rFonts w:ascii="Arial" w:hAnsi="Arial" w:cs="Arial"/>
          <w:sz w:val="20"/>
          <w:szCs w:val="20"/>
        </w:rPr>
        <w:t>.</w:t>
      </w:r>
      <w:r w:rsidR="00BB4CA4" w:rsidRPr="00811E02">
        <w:rPr>
          <w:rFonts w:ascii="Arial" w:hAnsi="Arial" w:cs="Arial"/>
          <w:sz w:val="20"/>
          <w:szCs w:val="20"/>
        </w:rPr>
        <w:t>m.</w:t>
      </w:r>
      <w:r w:rsidRPr="00811E02">
        <w:rPr>
          <w:rFonts w:ascii="Arial" w:hAnsi="Arial" w:cs="Arial"/>
          <w:sz w:val="20"/>
          <w:szCs w:val="20"/>
        </w:rPr>
        <w:t xml:space="preserve"> </w:t>
      </w:r>
    </w:p>
    <w:p w14:paraId="0F005504" w14:textId="77777777" w:rsidR="00966852" w:rsidRPr="00811E02" w:rsidRDefault="00966852" w:rsidP="002E73D0">
      <w:pPr>
        <w:ind w:left="360"/>
        <w:jc w:val="both"/>
        <w:rPr>
          <w:rFonts w:ascii="Arial" w:eastAsia="Calibri" w:hAnsi="Arial" w:cs="Arial"/>
          <w:b/>
          <w:bCs/>
          <w:sz w:val="16"/>
          <w:szCs w:val="16"/>
        </w:rPr>
      </w:pPr>
    </w:p>
    <w:p w14:paraId="7C9FA061" w14:textId="77777777" w:rsidR="00811E02" w:rsidRDefault="00B6561B" w:rsidP="006B1EA9">
      <w:pPr>
        <w:tabs>
          <w:tab w:val="left" w:pos="7560"/>
        </w:tabs>
        <w:rPr>
          <w:rFonts w:ascii="Arial" w:hAnsi="Arial" w:cs="Arial"/>
          <w:b/>
          <w:sz w:val="20"/>
          <w:szCs w:val="20"/>
        </w:rPr>
      </w:pPr>
      <w:r w:rsidRPr="00811E02">
        <w:rPr>
          <w:rFonts w:ascii="Arial" w:hAnsi="Arial" w:cs="Arial"/>
          <w:b/>
          <w:sz w:val="20"/>
          <w:szCs w:val="20"/>
        </w:rPr>
        <w:t>For Immediate Release</w:t>
      </w:r>
    </w:p>
    <w:p w14:paraId="1C1D0EE8" w14:textId="77777777" w:rsidR="00811E02" w:rsidRDefault="00811E02" w:rsidP="006B1EA9">
      <w:pPr>
        <w:tabs>
          <w:tab w:val="left" w:pos="7560"/>
        </w:tabs>
        <w:rPr>
          <w:rFonts w:ascii="Arial" w:hAnsi="Arial" w:cs="Arial"/>
          <w:b/>
          <w:sz w:val="20"/>
          <w:szCs w:val="20"/>
        </w:rPr>
      </w:pPr>
    </w:p>
    <w:p w14:paraId="2BC4FB0D" w14:textId="5525C58C" w:rsidR="005E3236" w:rsidRPr="00DB0B4D" w:rsidRDefault="005E3236" w:rsidP="005E3236">
      <w:pPr>
        <w:rPr>
          <w:rFonts w:ascii="Arial" w:hAnsi="Arial" w:cs="Arial"/>
          <w:b/>
          <w:bCs/>
          <w:sz w:val="36"/>
          <w:szCs w:val="36"/>
        </w:rPr>
      </w:pPr>
      <w:r w:rsidRPr="00DB0B4D">
        <w:rPr>
          <w:rFonts w:ascii="Arial" w:hAnsi="Arial" w:cs="Arial"/>
          <w:b/>
          <w:bCs/>
          <w:sz w:val="36"/>
          <w:szCs w:val="36"/>
        </w:rPr>
        <w:t xml:space="preserve">Michigan Gaming Control Board joins gaming states coalition urging USDOJ to prioritize combating illegal, offshore sportsbooks and online casinos </w:t>
      </w:r>
      <w:r>
        <w:rPr>
          <w:rFonts w:ascii="Arial" w:hAnsi="Arial" w:cs="Arial"/>
          <w:b/>
          <w:bCs/>
          <w:sz w:val="36"/>
          <w:szCs w:val="36"/>
        </w:rPr>
        <w:br/>
      </w:r>
    </w:p>
    <w:p w14:paraId="3EDFF172" w14:textId="64769691" w:rsidR="005E3236" w:rsidRPr="00DB0B4D" w:rsidRDefault="005E3236" w:rsidP="005E3236">
      <w:pPr>
        <w:rPr>
          <w:rFonts w:ascii="Arial" w:hAnsi="Arial" w:cs="Arial"/>
        </w:rPr>
      </w:pPr>
      <w:r w:rsidRPr="00C54FD5">
        <w:rPr>
          <w:rFonts w:ascii="Arial" w:hAnsi="Arial" w:cs="Arial"/>
        </w:rPr>
        <w:t>DETROIT, May</w:t>
      </w:r>
      <w:r w:rsidR="005A6D21">
        <w:rPr>
          <w:rFonts w:ascii="Arial" w:hAnsi="Arial" w:cs="Arial"/>
        </w:rPr>
        <w:t xml:space="preserve"> 4</w:t>
      </w:r>
      <w:r w:rsidRPr="00C54FD5">
        <w:rPr>
          <w:rFonts w:ascii="Arial" w:hAnsi="Arial" w:cs="Arial"/>
        </w:rPr>
        <w:t xml:space="preserve">, 2023 </w:t>
      </w:r>
      <w:r w:rsidR="00C54FD5" w:rsidRPr="00C54FD5">
        <w:rPr>
          <w:rFonts w:ascii="Arial" w:hAnsi="Arial" w:cs="Arial"/>
        </w:rPr>
        <w:t>—</w:t>
      </w:r>
      <w:r w:rsidRPr="00DB0B4D">
        <w:rPr>
          <w:rFonts w:ascii="Arial" w:hAnsi="Arial" w:cs="Arial"/>
        </w:rPr>
        <w:t xml:space="preserve"> The Michigan Gaming Control Board joined a coalition of seven gaming states' regulators urging the U.S. Department of Justice to make combating illegal, offshore sportsbooks and online casinos a priority. In</w:t>
      </w:r>
      <w:r>
        <w:rPr>
          <w:rFonts w:ascii="Arial" w:hAnsi="Arial" w:cs="Arial"/>
        </w:rPr>
        <w:t xml:space="preserve"> an April 28 </w:t>
      </w:r>
      <w:r w:rsidRPr="00DB0B4D">
        <w:rPr>
          <w:rFonts w:ascii="Arial" w:hAnsi="Arial" w:cs="Arial"/>
        </w:rPr>
        <w:t>letter, MGCB Executive Director Henry Williams and fellow state regulators ask</w:t>
      </w:r>
      <w:r w:rsidR="0086776A">
        <w:rPr>
          <w:rFonts w:ascii="Arial" w:hAnsi="Arial" w:cs="Arial"/>
        </w:rPr>
        <w:t>ed</w:t>
      </w:r>
      <w:r w:rsidRPr="00DB0B4D">
        <w:rPr>
          <w:rFonts w:ascii="Arial" w:hAnsi="Arial" w:cs="Arial"/>
        </w:rPr>
        <w:t xml:space="preserve"> Attorney General Merrick Garland to address the significant threats offshore illegal gambling poses</w:t>
      </w:r>
      <w:r>
        <w:rPr>
          <w:rFonts w:ascii="Arial" w:hAnsi="Arial" w:cs="Arial"/>
        </w:rPr>
        <w:t xml:space="preserve"> that state regulators</w:t>
      </w:r>
      <w:r w:rsidRPr="00DB0B4D">
        <w:rPr>
          <w:rFonts w:ascii="Arial" w:hAnsi="Arial" w:cs="Arial"/>
        </w:rPr>
        <w:t xml:space="preserve"> cannot </w:t>
      </w:r>
      <w:r>
        <w:rPr>
          <w:rFonts w:ascii="Arial" w:hAnsi="Arial" w:cs="Arial"/>
        </w:rPr>
        <w:t>tackle</w:t>
      </w:r>
      <w:r w:rsidRPr="00DB0B4D">
        <w:rPr>
          <w:rFonts w:ascii="Arial" w:hAnsi="Arial" w:cs="Arial"/>
        </w:rPr>
        <w:t xml:space="preserve"> alone.</w:t>
      </w:r>
      <w:r>
        <w:rPr>
          <w:rFonts w:ascii="Arial" w:hAnsi="Arial" w:cs="Arial"/>
        </w:rPr>
        <w:br/>
      </w:r>
    </w:p>
    <w:p w14:paraId="303E8672" w14:textId="507DAE74" w:rsidR="005E3236" w:rsidRDefault="005E3236" w:rsidP="005E3236">
      <w:pPr>
        <w:rPr>
          <w:rFonts w:ascii="Arial" w:hAnsi="Arial" w:cs="Arial"/>
        </w:rPr>
      </w:pPr>
      <w:r w:rsidRPr="00DB0B4D">
        <w:rPr>
          <w:rFonts w:ascii="Arial" w:hAnsi="Arial" w:cs="Arial"/>
        </w:rPr>
        <w:t>"In Michigan, strict laws and rules govern internet gaming and sports betting and provide consumer protection</w:t>
      </w:r>
      <w:r>
        <w:rPr>
          <w:rFonts w:ascii="Arial" w:hAnsi="Arial" w:cs="Arial"/>
        </w:rPr>
        <w:t>s, promote confidence</w:t>
      </w:r>
      <w:r w:rsidRPr="00DB0B4D">
        <w:rPr>
          <w:rFonts w:ascii="Arial" w:hAnsi="Arial" w:cs="Arial"/>
        </w:rPr>
        <w:t xml:space="preserve"> and ensure fair</w:t>
      </w:r>
      <w:r w:rsidR="00C45F9A">
        <w:rPr>
          <w:rFonts w:ascii="Arial" w:hAnsi="Arial" w:cs="Arial"/>
        </w:rPr>
        <w:t xml:space="preserve"> and honest</w:t>
      </w:r>
      <w:r w:rsidRPr="00DB0B4D">
        <w:rPr>
          <w:rFonts w:ascii="Arial" w:hAnsi="Arial" w:cs="Arial"/>
        </w:rPr>
        <w:t xml:space="preserve"> gaming," Williams said. "We are willing to help the U.S. Department of Justice in any way we can as it pursues enforcement of U.S. laws against offshore illegal gaming enterprises that take advantage of our citizens."</w:t>
      </w:r>
      <w:r>
        <w:rPr>
          <w:rFonts w:ascii="Arial" w:hAnsi="Arial" w:cs="Arial"/>
        </w:rPr>
        <w:br/>
      </w:r>
    </w:p>
    <w:p w14:paraId="69B889B2" w14:textId="1F08716E" w:rsidR="005E3236" w:rsidRPr="00DB0B4D" w:rsidRDefault="005E3236" w:rsidP="005E3236">
      <w:pPr>
        <w:rPr>
          <w:rFonts w:ascii="Arial" w:hAnsi="Arial" w:cs="Arial"/>
        </w:rPr>
      </w:pPr>
      <w:r w:rsidRPr="00DB0B4D">
        <w:rPr>
          <w:rFonts w:ascii="Arial" w:hAnsi="Arial" w:cs="Arial"/>
        </w:rPr>
        <w:t>Other state regulators signing the letter represent Colorado, Illinois, Louisiana, Mississippi, New Jersey and Nevada</w:t>
      </w:r>
      <w:r>
        <w:rPr>
          <w:rFonts w:ascii="Arial" w:hAnsi="Arial" w:cs="Arial"/>
        </w:rPr>
        <w:t>, and Nevada Gaming Control Board Chairman Kirk D. Hendrick sent the letter to Attorney General Garland</w:t>
      </w:r>
      <w:r w:rsidRPr="00DB0B4D">
        <w:rPr>
          <w:rFonts w:ascii="Arial" w:hAnsi="Arial" w:cs="Arial"/>
        </w:rPr>
        <w:t>.</w:t>
      </w:r>
      <w:r>
        <w:rPr>
          <w:rFonts w:ascii="Arial" w:hAnsi="Arial" w:cs="Arial"/>
        </w:rPr>
        <w:t xml:space="preserve"> </w:t>
      </w:r>
      <w:r w:rsidRPr="00DB0B4D">
        <w:rPr>
          <w:rFonts w:ascii="Arial" w:hAnsi="Arial" w:cs="Arial"/>
        </w:rPr>
        <w:t>In the letter,</w:t>
      </w:r>
      <w:r>
        <w:rPr>
          <w:rFonts w:ascii="Arial" w:hAnsi="Arial" w:cs="Arial"/>
        </w:rPr>
        <w:t xml:space="preserve"> the seven</w:t>
      </w:r>
      <w:r w:rsidRPr="00DB0B4D">
        <w:rPr>
          <w:rFonts w:ascii="Arial" w:hAnsi="Arial" w:cs="Arial"/>
        </w:rPr>
        <w:t xml:space="preserve"> state</w:t>
      </w:r>
      <w:r>
        <w:rPr>
          <w:rFonts w:ascii="Arial" w:hAnsi="Arial" w:cs="Arial"/>
        </w:rPr>
        <w:t>s’</w:t>
      </w:r>
      <w:r w:rsidRPr="00DB0B4D">
        <w:rPr>
          <w:rFonts w:ascii="Arial" w:hAnsi="Arial" w:cs="Arial"/>
        </w:rPr>
        <w:t xml:space="preserve"> gaming regulators note the dangers posed by illegal offshore wagering sites, including:</w:t>
      </w:r>
      <w:r>
        <w:rPr>
          <w:rFonts w:ascii="Arial" w:hAnsi="Arial" w:cs="Arial"/>
        </w:rPr>
        <w:br/>
      </w:r>
    </w:p>
    <w:p w14:paraId="67875A09" w14:textId="77777777" w:rsidR="005E3236" w:rsidRPr="00DB0B4D" w:rsidRDefault="005E3236" w:rsidP="005E3236">
      <w:pPr>
        <w:pStyle w:val="ListParagraph"/>
        <w:numPr>
          <w:ilvl w:val="0"/>
          <w:numId w:val="10"/>
        </w:numPr>
        <w:spacing w:after="160" w:line="259" w:lineRule="auto"/>
        <w:rPr>
          <w:rFonts w:cs="Arial"/>
          <w:sz w:val="24"/>
          <w:szCs w:val="24"/>
        </w:rPr>
      </w:pPr>
      <w:r w:rsidRPr="00DB0B4D">
        <w:rPr>
          <w:rFonts w:cs="Arial"/>
          <w:sz w:val="24"/>
          <w:szCs w:val="24"/>
        </w:rPr>
        <w:t>Lack of investment in responsible gaming programs</w:t>
      </w:r>
    </w:p>
    <w:p w14:paraId="4E960C72" w14:textId="77777777" w:rsidR="005E3236" w:rsidRPr="00DB0B4D" w:rsidRDefault="005E3236" w:rsidP="005E3236">
      <w:pPr>
        <w:pStyle w:val="ListParagraph"/>
        <w:numPr>
          <w:ilvl w:val="0"/>
          <w:numId w:val="10"/>
        </w:numPr>
        <w:spacing w:after="160" w:line="259" w:lineRule="auto"/>
        <w:rPr>
          <w:rFonts w:cs="Arial"/>
          <w:sz w:val="24"/>
          <w:szCs w:val="24"/>
        </w:rPr>
      </w:pPr>
      <w:r w:rsidRPr="00DB0B4D">
        <w:rPr>
          <w:rFonts w:cs="Arial"/>
          <w:sz w:val="24"/>
          <w:szCs w:val="24"/>
        </w:rPr>
        <w:t xml:space="preserve">No age verification requirements to protect minors </w:t>
      </w:r>
    </w:p>
    <w:p w14:paraId="6D6850F2" w14:textId="77777777" w:rsidR="005E3236" w:rsidRPr="00DB0B4D" w:rsidRDefault="005E3236" w:rsidP="005E3236">
      <w:pPr>
        <w:pStyle w:val="ListParagraph"/>
        <w:numPr>
          <w:ilvl w:val="0"/>
          <w:numId w:val="10"/>
        </w:numPr>
        <w:spacing w:after="160" w:line="259" w:lineRule="auto"/>
        <w:rPr>
          <w:rFonts w:cs="Arial"/>
          <w:sz w:val="24"/>
          <w:szCs w:val="24"/>
        </w:rPr>
      </w:pPr>
      <w:r w:rsidRPr="00DB0B4D">
        <w:rPr>
          <w:rFonts w:cs="Arial"/>
          <w:sz w:val="24"/>
          <w:szCs w:val="24"/>
        </w:rPr>
        <w:t xml:space="preserve">No controls to prevent money laundering </w:t>
      </w:r>
    </w:p>
    <w:p w14:paraId="55F64475" w14:textId="77777777" w:rsidR="005E3236" w:rsidRPr="00DB0B4D" w:rsidRDefault="005E3236" w:rsidP="005E3236">
      <w:pPr>
        <w:pStyle w:val="ListParagraph"/>
        <w:numPr>
          <w:ilvl w:val="0"/>
          <w:numId w:val="10"/>
        </w:numPr>
        <w:spacing w:after="160" w:line="259" w:lineRule="auto"/>
        <w:rPr>
          <w:rFonts w:cs="Arial"/>
          <w:sz w:val="24"/>
          <w:szCs w:val="24"/>
        </w:rPr>
      </w:pPr>
      <w:r w:rsidRPr="00DB0B4D">
        <w:rPr>
          <w:rFonts w:cs="Arial"/>
          <w:sz w:val="24"/>
          <w:szCs w:val="24"/>
        </w:rPr>
        <w:t xml:space="preserve">No guarantees of fair payouts for customers </w:t>
      </w:r>
    </w:p>
    <w:p w14:paraId="63AD0FBF" w14:textId="77777777" w:rsidR="005E3236" w:rsidRPr="00DB0B4D" w:rsidRDefault="005E3236" w:rsidP="005E3236">
      <w:pPr>
        <w:pStyle w:val="ListParagraph"/>
        <w:numPr>
          <w:ilvl w:val="0"/>
          <w:numId w:val="10"/>
        </w:numPr>
        <w:spacing w:after="160" w:line="259" w:lineRule="auto"/>
        <w:rPr>
          <w:rFonts w:cs="Arial"/>
          <w:sz w:val="24"/>
          <w:szCs w:val="24"/>
        </w:rPr>
      </w:pPr>
      <w:r w:rsidRPr="00DB0B4D">
        <w:rPr>
          <w:rFonts w:cs="Arial"/>
          <w:sz w:val="24"/>
          <w:szCs w:val="24"/>
        </w:rPr>
        <w:t>Loss of state tax revenue that funds important initiatives like education</w:t>
      </w:r>
    </w:p>
    <w:p w14:paraId="01420B07" w14:textId="21F44402" w:rsidR="005E3236" w:rsidRPr="00DB0B4D" w:rsidRDefault="005E3236" w:rsidP="005E3236">
      <w:pPr>
        <w:rPr>
          <w:rFonts w:ascii="Arial" w:hAnsi="Arial" w:cs="Arial"/>
        </w:rPr>
      </w:pPr>
      <w:r w:rsidRPr="00DB0B4D">
        <w:rPr>
          <w:rFonts w:ascii="Arial" w:hAnsi="Arial" w:cs="Arial"/>
        </w:rPr>
        <w:lastRenderedPageBreak/>
        <w:t xml:space="preserve">Offshore operators do not undergo </w:t>
      </w:r>
      <w:r>
        <w:rPr>
          <w:rFonts w:ascii="Arial" w:hAnsi="Arial" w:cs="Arial"/>
        </w:rPr>
        <w:t>nor</w:t>
      </w:r>
      <w:r w:rsidRPr="00DB0B4D">
        <w:rPr>
          <w:rFonts w:ascii="Arial" w:hAnsi="Arial" w:cs="Arial"/>
        </w:rPr>
        <w:t xml:space="preserve"> comply with strict licensing requirements imposed on legal, regulated operators. They also are not subject to the scrutiny of state regulators who conduct th</w:t>
      </w:r>
      <w:r>
        <w:rPr>
          <w:rFonts w:ascii="Arial" w:hAnsi="Arial" w:cs="Arial"/>
        </w:rPr>
        <w:t>o</w:t>
      </w:r>
      <w:r w:rsidRPr="00DB0B4D">
        <w:rPr>
          <w:rFonts w:ascii="Arial" w:hAnsi="Arial" w:cs="Arial"/>
        </w:rPr>
        <w:t>rough suitability and background investigations of regulated operators as required by state laws.</w:t>
      </w:r>
      <w:r>
        <w:rPr>
          <w:rFonts w:ascii="Arial" w:hAnsi="Arial" w:cs="Arial"/>
        </w:rPr>
        <w:br/>
      </w:r>
    </w:p>
    <w:p w14:paraId="5DADA996" w14:textId="32E1B94C" w:rsidR="005E3236" w:rsidRPr="00DB0B4D" w:rsidRDefault="005E3236" w:rsidP="005E3236">
      <w:pPr>
        <w:rPr>
          <w:rFonts w:ascii="Arial" w:hAnsi="Arial" w:cs="Arial"/>
        </w:rPr>
      </w:pPr>
      <w:r w:rsidRPr="00DB0B4D">
        <w:rPr>
          <w:rFonts w:ascii="Arial" w:hAnsi="Arial" w:cs="Arial"/>
        </w:rPr>
        <w:t>"State regulators like the MGCB ensure operators offer products that pass technical standards and testing, and we also require operators to comply with reporting requirements," Williams said. "Offshore operators flaunt state regulations and offer products that do not protect the public, which greatly concerns me and my fellow state regulators."</w:t>
      </w:r>
      <w:r>
        <w:rPr>
          <w:rFonts w:ascii="Arial" w:hAnsi="Arial" w:cs="Arial"/>
        </w:rPr>
        <w:br/>
      </w:r>
    </w:p>
    <w:p w14:paraId="6A4FD979" w14:textId="347B25EC" w:rsidR="005E3236" w:rsidRPr="00DB0B4D" w:rsidRDefault="005E3236" w:rsidP="005E3236">
      <w:pPr>
        <w:rPr>
          <w:rFonts w:ascii="Arial" w:hAnsi="Arial" w:cs="Arial"/>
        </w:rPr>
      </w:pPr>
      <w:r w:rsidRPr="00DB0B4D">
        <w:rPr>
          <w:rFonts w:ascii="Arial" w:hAnsi="Arial" w:cs="Arial"/>
        </w:rPr>
        <w:t>In the letter, the state regulators note</w:t>
      </w:r>
      <w:r w:rsidR="0086776A">
        <w:rPr>
          <w:rFonts w:ascii="Arial" w:hAnsi="Arial" w:cs="Arial"/>
        </w:rPr>
        <w:t>d</w:t>
      </w:r>
      <w:r w:rsidRPr="00DB0B4D">
        <w:rPr>
          <w:rFonts w:ascii="Arial" w:hAnsi="Arial" w:cs="Arial"/>
        </w:rPr>
        <w:t xml:space="preserve"> they are proud of the work they do to protect the public, including</w:t>
      </w:r>
      <w:r>
        <w:rPr>
          <w:rFonts w:ascii="Arial" w:hAnsi="Arial" w:cs="Arial"/>
        </w:rPr>
        <w:t xml:space="preserve"> enforcing</w:t>
      </w:r>
      <w:r w:rsidRPr="00DB0B4D">
        <w:rPr>
          <w:rFonts w:ascii="Arial" w:hAnsi="Arial" w:cs="Arial"/>
        </w:rPr>
        <w:t xml:space="preserve"> payout requirements and dispute resolution procedures. Unlike their regulated counterparts, illegal operators simply may disappear with their customers' funds and provide no resources to assist those who may need help.</w:t>
      </w:r>
      <w:r>
        <w:rPr>
          <w:rFonts w:ascii="Arial" w:hAnsi="Arial" w:cs="Arial"/>
        </w:rPr>
        <w:t xml:space="preserve"> Regulated operators recognize licensing is a privilege that can be taken away, but illegal operators do not face similar consequences for failure to follow laws and maintain integrity. </w:t>
      </w:r>
      <w:r>
        <w:rPr>
          <w:rFonts w:ascii="Arial" w:hAnsi="Arial" w:cs="Arial"/>
        </w:rPr>
        <w:br/>
      </w:r>
    </w:p>
    <w:p w14:paraId="1456F789" w14:textId="77777777" w:rsidR="005E3236" w:rsidRPr="00DB0B4D" w:rsidRDefault="005E3236" w:rsidP="005E3236">
      <w:pPr>
        <w:rPr>
          <w:rFonts w:ascii="Arial" w:hAnsi="Arial" w:cs="Arial"/>
        </w:rPr>
      </w:pPr>
      <w:r w:rsidRPr="00DB0B4D">
        <w:rPr>
          <w:rFonts w:ascii="Arial" w:hAnsi="Arial" w:cs="Arial"/>
        </w:rPr>
        <w:t>The gaming states' regulators provide supervision and enforcement</w:t>
      </w:r>
      <w:r>
        <w:rPr>
          <w:rFonts w:ascii="Arial" w:hAnsi="Arial" w:cs="Arial"/>
        </w:rPr>
        <w:t>, but the regulators point out in their letter</w:t>
      </w:r>
      <w:r w:rsidRPr="00DB0B4D">
        <w:rPr>
          <w:rFonts w:ascii="Arial" w:hAnsi="Arial" w:cs="Arial"/>
        </w:rPr>
        <w:t xml:space="preserve"> that illegal operators</w:t>
      </w:r>
      <w:r>
        <w:rPr>
          <w:rFonts w:ascii="Arial" w:hAnsi="Arial" w:cs="Arial"/>
        </w:rPr>
        <w:t xml:space="preserve"> do not answer to any authority</w:t>
      </w:r>
      <w:r w:rsidRPr="00DB0B4D">
        <w:rPr>
          <w:rFonts w:ascii="Arial" w:hAnsi="Arial" w:cs="Arial"/>
        </w:rPr>
        <w:t>. Th</w:t>
      </w:r>
      <w:r>
        <w:rPr>
          <w:rFonts w:ascii="Arial" w:hAnsi="Arial" w:cs="Arial"/>
        </w:rPr>
        <w:t>e</w:t>
      </w:r>
      <w:r w:rsidRPr="00DB0B4D">
        <w:rPr>
          <w:rFonts w:ascii="Arial" w:hAnsi="Arial" w:cs="Arial"/>
        </w:rPr>
        <w:t xml:space="preserve"> </w:t>
      </w:r>
      <w:r>
        <w:rPr>
          <w:rFonts w:ascii="Arial" w:hAnsi="Arial" w:cs="Arial"/>
        </w:rPr>
        <w:t xml:space="preserve">state regulators hope </w:t>
      </w:r>
      <w:r w:rsidRPr="00DB0B4D">
        <w:rPr>
          <w:rFonts w:ascii="Arial" w:hAnsi="Arial" w:cs="Arial"/>
        </w:rPr>
        <w:t>the</w:t>
      </w:r>
      <w:r>
        <w:rPr>
          <w:rFonts w:ascii="Arial" w:hAnsi="Arial" w:cs="Arial"/>
        </w:rPr>
        <w:t xml:space="preserve"> U.S.</w:t>
      </w:r>
      <w:r w:rsidRPr="00DB0B4D">
        <w:rPr>
          <w:rFonts w:ascii="Arial" w:hAnsi="Arial" w:cs="Arial"/>
        </w:rPr>
        <w:t xml:space="preserve"> Department of Justice can address</w:t>
      </w:r>
      <w:r>
        <w:rPr>
          <w:rFonts w:ascii="Arial" w:hAnsi="Arial" w:cs="Arial"/>
        </w:rPr>
        <w:t xml:space="preserve"> these </w:t>
      </w:r>
      <w:r w:rsidRPr="00DB0B4D">
        <w:rPr>
          <w:rFonts w:ascii="Arial" w:hAnsi="Arial" w:cs="Arial"/>
        </w:rPr>
        <w:t>critical issue</w:t>
      </w:r>
      <w:r>
        <w:rPr>
          <w:rFonts w:ascii="Arial" w:hAnsi="Arial" w:cs="Arial"/>
        </w:rPr>
        <w:t>s</w:t>
      </w:r>
      <w:r w:rsidRPr="00DB0B4D">
        <w:rPr>
          <w:rFonts w:ascii="Arial" w:hAnsi="Arial" w:cs="Arial"/>
        </w:rPr>
        <w:t xml:space="preserve"> through leadership in enforcement action against offshore operators.</w:t>
      </w:r>
    </w:p>
    <w:p w14:paraId="1ACA21A5" w14:textId="3D528E3E" w:rsidR="00B6561B" w:rsidRPr="00345C74" w:rsidRDefault="00B6561B" w:rsidP="005E3236">
      <w:pPr>
        <w:tabs>
          <w:tab w:val="left" w:pos="7560"/>
        </w:tabs>
        <w:rPr>
          <w:rFonts w:ascii="Verdana" w:hAnsi="Verdana"/>
          <w:b/>
          <w:sz w:val="20"/>
          <w:szCs w:val="20"/>
        </w:rPr>
      </w:pPr>
    </w:p>
    <w:p w14:paraId="57796A57" w14:textId="77777777" w:rsidR="00B6561B" w:rsidRPr="0051102D" w:rsidRDefault="00B6561B"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F0BE4"/>
    <w:multiLevelType w:val="hybridMultilevel"/>
    <w:tmpl w:val="26BC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219690">
    <w:abstractNumId w:val="2"/>
  </w:num>
  <w:num w:numId="2" w16cid:durableId="327095368">
    <w:abstractNumId w:val="3"/>
  </w:num>
  <w:num w:numId="3" w16cid:durableId="856190199">
    <w:abstractNumId w:val="1"/>
  </w:num>
  <w:num w:numId="4" w16cid:durableId="402412895">
    <w:abstractNumId w:val="7"/>
  </w:num>
  <w:num w:numId="5" w16cid:durableId="768768798">
    <w:abstractNumId w:val="4"/>
  </w:num>
  <w:num w:numId="6" w16cid:durableId="181894107">
    <w:abstractNumId w:val="5"/>
  </w:num>
  <w:num w:numId="7" w16cid:durableId="758409207">
    <w:abstractNumId w:val="8"/>
  </w:num>
  <w:num w:numId="8" w16cid:durableId="792090017">
    <w:abstractNumId w:val="6"/>
  </w:num>
  <w:num w:numId="9" w16cid:durableId="1941447859">
    <w:abstractNumId w:val="0"/>
  </w:num>
  <w:num w:numId="10" w16cid:durableId="1496647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A6D21"/>
    <w:rsid w:val="005C4D56"/>
    <w:rsid w:val="005D467C"/>
    <w:rsid w:val="005E3236"/>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2C80"/>
    <w:rsid w:val="007F47B0"/>
    <w:rsid w:val="007F5418"/>
    <w:rsid w:val="00804693"/>
    <w:rsid w:val="00811E02"/>
    <w:rsid w:val="008170B7"/>
    <w:rsid w:val="008206E8"/>
    <w:rsid w:val="008410C2"/>
    <w:rsid w:val="00854E9D"/>
    <w:rsid w:val="00857A92"/>
    <w:rsid w:val="008633DE"/>
    <w:rsid w:val="0086776A"/>
    <w:rsid w:val="008A14CA"/>
    <w:rsid w:val="008C6B8B"/>
    <w:rsid w:val="008D6714"/>
    <w:rsid w:val="008E6C63"/>
    <w:rsid w:val="008E7382"/>
    <w:rsid w:val="00914303"/>
    <w:rsid w:val="00927C84"/>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45F9A"/>
    <w:rsid w:val="00C54FD5"/>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15B96"/>
    <w:rsid w:val="00F40E01"/>
    <w:rsid w:val="00F442A5"/>
    <w:rsid w:val="00F76105"/>
    <w:rsid w:val="00F76549"/>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paragraph" w:styleId="Revision">
    <w:name w:val="Revision"/>
    <w:hidden/>
    <w:uiPriority w:val="99"/>
    <w:semiHidden/>
    <w:rsid w:val="005A6D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Keith, Lisa (MGCB)</cp:lastModifiedBy>
  <cp:revision>3</cp:revision>
  <cp:lastPrinted>2014-01-09T22:05:00Z</cp:lastPrinted>
  <dcterms:created xsi:type="dcterms:W3CDTF">2023-05-04T13:48:00Z</dcterms:created>
  <dcterms:modified xsi:type="dcterms:W3CDTF">2023-05-04T14:14:00Z</dcterms:modified>
</cp:coreProperties>
</file>