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7103"/>
      </w:tblGrid>
      <w:tr w:rsidR="00716ED8" w14:paraId="3B3D72A9" w14:textId="77777777" w:rsidTr="00E018E3">
        <w:trPr>
          <w:trHeight w:val="1393"/>
        </w:trPr>
        <w:tc>
          <w:tcPr>
            <w:tcW w:w="2066" w:type="dxa"/>
          </w:tcPr>
          <w:p w14:paraId="62622B89" w14:textId="2731797B" w:rsidR="00716ED8" w:rsidRDefault="0043213C" w:rsidP="006B1EA9">
            <w:pPr>
              <w:jc w:val="center"/>
              <w:rPr>
                <w:rStyle w:val="Hyperlink"/>
              </w:rPr>
            </w:pPr>
            <w:r>
              <w:rPr>
                <w:noProof/>
              </w:rPr>
              <w:drawing>
                <wp:inline distT="0" distB="0" distL="0" distR="0" wp14:anchorId="5741D522" wp14:editId="1F0F40B1">
                  <wp:extent cx="990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7103"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155"/>
        <w:gridCol w:w="4845"/>
      </w:tblGrid>
      <w:tr w:rsidR="00716ED8" w14:paraId="4E039AAE" w14:textId="77777777" w:rsidTr="006B1EA9">
        <w:trPr>
          <w:jc w:val="center"/>
        </w:trPr>
        <w:tc>
          <w:tcPr>
            <w:tcW w:w="0" w:type="auto"/>
            <w:shd w:val="clear" w:color="auto" w:fill="4472C4" w:themeFill="accent1"/>
            <w:vAlign w:val="center"/>
          </w:tcPr>
          <w:p w14:paraId="75AA6DB4" w14:textId="566E9079" w:rsidR="00716ED8" w:rsidRPr="006B1EA9" w:rsidRDefault="00716ED8" w:rsidP="00804693">
            <w:pPr>
              <w:rPr>
                <w:color w:val="FFFFFF" w:themeColor="background1"/>
                <w:sz w:val="22"/>
                <w:szCs w:val="22"/>
              </w:rPr>
            </w:pPr>
            <w:r w:rsidRPr="006B1EA9">
              <w:rPr>
                <w:rStyle w:val="Strong"/>
                <w:rFonts w:ascii="Arial" w:hAnsi="Arial" w:cs="Arial"/>
                <w:color w:val="FFFFFF" w:themeColor="background1"/>
                <w:sz w:val="22"/>
                <w:szCs w:val="22"/>
              </w:rPr>
              <w:t>FOR IMMEDIATE RELEASE:</w:t>
            </w:r>
            <w:r w:rsidRPr="006B1EA9">
              <w:rPr>
                <w:rStyle w:val="Strong"/>
                <w:color w:val="FFFFFF" w:themeColor="background1"/>
                <w:sz w:val="22"/>
                <w:szCs w:val="22"/>
              </w:rPr>
              <w:t xml:space="preserve"> </w:t>
            </w:r>
            <w:r w:rsidRPr="006B1EA9">
              <w:rPr>
                <w:rFonts w:ascii="Arial" w:hAnsi="Arial" w:cs="Arial"/>
                <w:b/>
                <w:bCs/>
                <w:color w:val="FFFFFF" w:themeColor="background1"/>
                <w:sz w:val="22"/>
                <w:szCs w:val="22"/>
              </w:rPr>
              <w:br/>
            </w:r>
            <w:r w:rsidR="00F15B96">
              <w:rPr>
                <w:rFonts w:ascii="Verdana" w:hAnsi="Verdana"/>
                <w:b/>
                <w:bCs/>
                <w:color w:val="FFFFFF" w:themeColor="background1"/>
                <w:sz w:val="22"/>
                <w:szCs w:val="22"/>
              </w:rPr>
              <w:t>April</w:t>
            </w:r>
            <w:r w:rsidR="00BC0787" w:rsidRPr="006B1EA9">
              <w:rPr>
                <w:rFonts w:ascii="Verdana" w:hAnsi="Verdana"/>
                <w:b/>
                <w:bCs/>
                <w:color w:val="FFFFFF" w:themeColor="background1"/>
                <w:sz w:val="22"/>
                <w:szCs w:val="22"/>
              </w:rPr>
              <w:t xml:space="preserve"> </w:t>
            </w:r>
            <w:r w:rsidR="0043213C">
              <w:rPr>
                <w:rFonts w:ascii="Verdana" w:hAnsi="Verdana"/>
                <w:b/>
                <w:bCs/>
                <w:color w:val="FFFFFF" w:themeColor="background1"/>
                <w:sz w:val="22"/>
                <w:szCs w:val="22"/>
              </w:rPr>
              <w:t>26</w:t>
            </w:r>
            <w:r w:rsidR="00BC0787" w:rsidRPr="006B1EA9">
              <w:rPr>
                <w:rFonts w:ascii="Verdana" w:hAnsi="Verdana"/>
                <w:b/>
                <w:bCs/>
                <w:color w:val="FFFFFF" w:themeColor="background1"/>
                <w:sz w:val="22"/>
                <w:szCs w:val="22"/>
              </w:rPr>
              <w:t>,</w:t>
            </w:r>
            <w:r w:rsidR="00B6561B" w:rsidRPr="006B1EA9">
              <w:rPr>
                <w:rFonts w:ascii="Verdana" w:hAnsi="Verdana"/>
                <w:b/>
                <w:bCs/>
                <w:color w:val="FFFFFF" w:themeColor="background1"/>
                <w:sz w:val="22"/>
                <w:szCs w:val="22"/>
              </w:rPr>
              <w:t xml:space="preserve"> 20</w:t>
            </w:r>
            <w:r w:rsidR="00432433" w:rsidRPr="006B1EA9">
              <w:rPr>
                <w:rFonts w:ascii="Verdana" w:hAnsi="Verdana"/>
                <w:b/>
                <w:bCs/>
                <w:color w:val="FFFFFF" w:themeColor="background1"/>
                <w:sz w:val="22"/>
                <w:szCs w:val="22"/>
              </w:rPr>
              <w:t>2</w:t>
            </w:r>
            <w:r w:rsidR="006B1EA9" w:rsidRPr="006B1EA9">
              <w:rPr>
                <w:rFonts w:ascii="Verdana" w:hAnsi="Verdana"/>
                <w:b/>
                <w:bCs/>
                <w:color w:val="FFFFFF" w:themeColor="background1"/>
                <w:sz w:val="22"/>
                <w:szCs w:val="22"/>
              </w:rPr>
              <w:t>3</w:t>
            </w:r>
          </w:p>
        </w:tc>
        <w:tc>
          <w:tcPr>
            <w:tcW w:w="0" w:type="auto"/>
            <w:shd w:val="clear" w:color="auto" w:fill="4472C4" w:themeFill="accent1"/>
            <w:vAlign w:val="center"/>
          </w:tcPr>
          <w:p w14:paraId="70383645" w14:textId="5CF68DA8" w:rsidR="00716ED8" w:rsidRPr="00927C84" w:rsidRDefault="00716ED8" w:rsidP="006B1EA9">
            <w:pPr>
              <w:pStyle w:val="NormalWeb"/>
              <w:spacing w:before="0" w:beforeAutospacing="0" w:after="0" w:afterAutospacing="0"/>
              <w:jc w:val="right"/>
              <w:rPr>
                <w:b/>
                <w:bCs/>
                <w:color w:val="FFFFFF" w:themeColor="background1"/>
                <w:sz w:val="22"/>
                <w:szCs w:val="22"/>
              </w:rPr>
            </w:pPr>
            <w:r w:rsidRPr="00927C84">
              <w:rPr>
                <w:rStyle w:val="Strong"/>
                <w:rFonts w:ascii="Arial" w:hAnsi="Arial" w:cs="Arial"/>
                <w:color w:val="FFFFFF" w:themeColor="background1"/>
                <w:sz w:val="22"/>
                <w:szCs w:val="22"/>
              </w:rPr>
              <w:t>Contact:</w:t>
            </w:r>
            <w:r w:rsidRPr="00927C84">
              <w:rPr>
                <w:rFonts w:ascii="Arial" w:hAnsi="Arial" w:cs="Arial"/>
                <w:b/>
                <w:bCs/>
                <w:color w:val="FFFFFF" w:themeColor="background1"/>
                <w:sz w:val="22"/>
                <w:szCs w:val="22"/>
              </w:rPr>
              <w:br/>
            </w:r>
            <w:r w:rsidR="006B1EA9" w:rsidRPr="00927C84">
              <w:rPr>
                <w:rFonts w:ascii="Verdana" w:hAnsi="Verdana"/>
                <w:b/>
                <w:bCs/>
                <w:color w:val="FFFFFF" w:themeColor="background1"/>
                <w:sz w:val="22"/>
                <w:szCs w:val="22"/>
              </w:rPr>
              <w:t>MGCB-media</w:t>
            </w:r>
            <w:r w:rsidR="00E228C6" w:rsidRPr="00927C84">
              <w:rPr>
                <w:rFonts w:ascii="Verdana" w:hAnsi="Verdana"/>
                <w:b/>
                <w:bCs/>
                <w:color w:val="FFFFFF" w:themeColor="background1"/>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sidRPr="00927C84">
              <w:rPr>
                <w:rFonts w:ascii="Verdana" w:hAnsi="Verdana"/>
                <w:b/>
                <w:bCs/>
                <w:color w:val="FFFFFF" w:themeColor="background1"/>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77777777"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345C74">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65A72CBA" w14:textId="77777777" w:rsidR="0043213C" w:rsidRDefault="00B6561B" w:rsidP="006B1EA9">
      <w:pPr>
        <w:tabs>
          <w:tab w:val="left" w:pos="7560"/>
        </w:tabs>
        <w:rPr>
          <w:rFonts w:ascii="Verdana" w:hAnsi="Verdana"/>
          <w:b/>
          <w:sz w:val="20"/>
          <w:szCs w:val="20"/>
        </w:rPr>
      </w:pPr>
      <w:r w:rsidRPr="00345C74">
        <w:rPr>
          <w:rFonts w:ascii="Verdana" w:hAnsi="Verdana"/>
          <w:b/>
          <w:sz w:val="20"/>
          <w:szCs w:val="20"/>
        </w:rPr>
        <w:t>For Immediate Release:</w:t>
      </w:r>
    </w:p>
    <w:p w14:paraId="1ACA21A5" w14:textId="2234FBA8" w:rsidR="00B6561B" w:rsidRPr="00345C74" w:rsidRDefault="006B1EA9" w:rsidP="006B1EA9">
      <w:pPr>
        <w:tabs>
          <w:tab w:val="left" w:pos="7560"/>
        </w:tabs>
        <w:rPr>
          <w:rFonts w:ascii="Verdana" w:hAnsi="Verdana"/>
          <w:b/>
          <w:sz w:val="20"/>
          <w:szCs w:val="20"/>
        </w:rPr>
      </w:pPr>
      <w:r>
        <w:rPr>
          <w:rFonts w:ascii="Verdana" w:hAnsi="Verdana"/>
          <w:b/>
          <w:sz w:val="20"/>
          <w:szCs w:val="20"/>
        </w:rPr>
        <w:tab/>
      </w:r>
    </w:p>
    <w:p w14:paraId="546A701B" w14:textId="1E671FC6" w:rsidR="0043213C" w:rsidRDefault="004E5204" w:rsidP="0043213C">
      <w:pPr>
        <w:rPr>
          <w:rFonts w:ascii="Arial" w:hAnsi="Arial" w:cs="Arial"/>
          <w:b/>
          <w:bCs/>
          <w:sz w:val="36"/>
          <w:szCs w:val="36"/>
        </w:rPr>
      </w:pPr>
      <w:r w:rsidRPr="00356973">
        <w:rPr>
          <w:rFonts w:ascii="Arial" w:hAnsi="Arial" w:cs="Arial"/>
          <w:b/>
          <w:bCs/>
          <w:sz w:val="36"/>
          <w:szCs w:val="36"/>
        </w:rPr>
        <w:t>Michigan Gaming Control Board</w:t>
      </w:r>
      <w:r>
        <w:rPr>
          <w:rFonts w:ascii="Arial" w:hAnsi="Arial" w:cs="Arial"/>
          <w:b/>
          <w:bCs/>
          <w:sz w:val="36"/>
          <w:szCs w:val="36"/>
        </w:rPr>
        <w:t xml:space="preserve"> encourage</w:t>
      </w:r>
      <w:r w:rsidR="009B5769">
        <w:rPr>
          <w:rFonts w:ascii="Arial" w:hAnsi="Arial" w:cs="Arial"/>
          <w:b/>
          <w:bCs/>
          <w:sz w:val="36"/>
          <w:szCs w:val="36"/>
        </w:rPr>
        <w:t>s</w:t>
      </w:r>
      <w:r>
        <w:rPr>
          <w:rFonts w:ascii="Arial" w:hAnsi="Arial" w:cs="Arial"/>
          <w:b/>
          <w:bCs/>
          <w:sz w:val="36"/>
          <w:szCs w:val="36"/>
        </w:rPr>
        <w:t xml:space="preserve"> charitable organizations to host Millionaire Party</w:t>
      </w:r>
      <w:r w:rsidRPr="00356973">
        <w:rPr>
          <w:rFonts w:ascii="Arial" w:hAnsi="Arial" w:cs="Arial"/>
          <w:b/>
          <w:bCs/>
          <w:sz w:val="36"/>
          <w:szCs w:val="36"/>
        </w:rPr>
        <w:t xml:space="preserve"> events</w:t>
      </w:r>
      <w:r w:rsidR="009B5769">
        <w:rPr>
          <w:rFonts w:ascii="Arial" w:hAnsi="Arial" w:cs="Arial"/>
          <w:b/>
          <w:bCs/>
          <w:sz w:val="36"/>
          <w:szCs w:val="36"/>
        </w:rPr>
        <w:t>; c</w:t>
      </w:r>
      <w:r w:rsidR="0043213C" w:rsidRPr="00356973">
        <w:rPr>
          <w:rFonts w:ascii="Arial" w:hAnsi="Arial" w:cs="Arial"/>
          <w:b/>
          <w:bCs/>
          <w:sz w:val="36"/>
          <w:szCs w:val="36"/>
        </w:rPr>
        <w:t>harities received $4.9 million in</w:t>
      </w:r>
      <w:r w:rsidR="009B5769">
        <w:rPr>
          <w:rFonts w:ascii="Arial" w:hAnsi="Arial" w:cs="Arial"/>
          <w:b/>
          <w:bCs/>
          <w:sz w:val="36"/>
          <w:szCs w:val="36"/>
        </w:rPr>
        <w:t xml:space="preserve"> event</w:t>
      </w:r>
      <w:r w:rsidR="0043213C" w:rsidRPr="00356973">
        <w:rPr>
          <w:rFonts w:ascii="Arial" w:hAnsi="Arial" w:cs="Arial"/>
          <w:b/>
          <w:bCs/>
          <w:sz w:val="36"/>
          <w:szCs w:val="36"/>
        </w:rPr>
        <w:t xml:space="preserve"> net profit last year</w:t>
      </w:r>
    </w:p>
    <w:p w14:paraId="17B6054E" w14:textId="77777777" w:rsidR="0043213C" w:rsidRPr="0043213C" w:rsidRDefault="0043213C" w:rsidP="0043213C">
      <w:pPr>
        <w:rPr>
          <w:rFonts w:ascii="Arial" w:hAnsi="Arial" w:cs="Arial"/>
          <w:b/>
          <w:bCs/>
        </w:rPr>
      </w:pPr>
    </w:p>
    <w:p w14:paraId="125B90EE" w14:textId="6363C525" w:rsidR="0043213C" w:rsidRPr="0043213C" w:rsidRDefault="0043213C" w:rsidP="0043213C">
      <w:pPr>
        <w:rPr>
          <w:rFonts w:ascii="Arial" w:hAnsi="Arial" w:cs="Arial"/>
        </w:rPr>
      </w:pPr>
      <w:r w:rsidRPr="0043213C">
        <w:rPr>
          <w:rFonts w:ascii="Arial" w:hAnsi="Arial" w:cs="Arial"/>
          <w:b/>
          <w:bCs/>
        </w:rPr>
        <w:t>Detroit, April 26, 2023</w:t>
      </w:r>
      <w:r w:rsidRPr="0043213C">
        <w:rPr>
          <w:rFonts w:ascii="Arial" w:hAnsi="Arial" w:cs="Arial"/>
        </w:rPr>
        <w:t xml:space="preserve"> – Qualified Michigan charitable organizations received about $4.9 million in net profit from charitable poker events licensed by the Michigan Gaming Control Board</w:t>
      </w:r>
      <w:r w:rsidR="004E5204">
        <w:rPr>
          <w:rFonts w:ascii="Arial" w:hAnsi="Arial" w:cs="Arial"/>
        </w:rPr>
        <w:t xml:space="preserve"> (MGCB)</w:t>
      </w:r>
      <w:r w:rsidRPr="0043213C">
        <w:rPr>
          <w:rFonts w:ascii="Arial" w:hAnsi="Arial" w:cs="Arial"/>
        </w:rPr>
        <w:t xml:space="preserve"> in 2022 as organizations rebounded from pandemic-related issues in 2020 and 2021. At the 1,394 licensed fundraisers last year, chip sales totaled approximately $67.9 million and were just short of 2019’s $72.4 million in chip sales. Additionally, the number of licensed events increased by 137% from 2021 to 2022.</w:t>
      </w:r>
    </w:p>
    <w:p w14:paraId="7BCDC68B" w14:textId="77777777" w:rsidR="0043213C" w:rsidRPr="0043213C" w:rsidRDefault="0043213C" w:rsidP="0043213C">
      <w:pPr>
        <w:rPr>
          <w:rFonts w:ascii="Arial" w:hAnsi="Arial" w:cs="Arial"/>
        </w:rPr>
      </w:pPr>
    </w:p>
    <w:p w14:paraId="5DD3BB1F" w14:textId="5853B1A8" w:rsidR="0043213C" w:rsidRPr="0043213C" w:rsidRDefault="0043213C" w:rsidP="0043213C">
      <w:pPr>
        <w:rPr>
          <w:rFonts w:ascii="Arial" w:hAnsi="Arial" w:cs="Arial"/>
        </w:rPr>
      </w:pPr>
      <w:r w:rsidRPr="0043213C">
        <w:rPr>
          <w:rFonts w:ascii="Arial" w:hAnsi="Arial" w:cs="Arial"/>
        </w:rPr>
        <w:t>“Charitable organizations are encouraged to consider hosting Millionaire Parties for fundraising</w:t>
      </w:r>
      <w:r w:rsidR="004E5204">
        <w:rPr>
          <w:rFonts w:ascii="Arial" w:hAnsi="Arial" w:cs="Arial"/>
        </w:rPr>
        <w:t xml:space="preserve"> to support their charitable causes</w:t>
      </w:r>
      <w:r w:rsidRPr="0043213C">
        <w:rPr>
          <w:rFonts w:ascii="Arial" w:hAnsi="Arial" w:cs="Arial"/>
        </w:rPr>
        <w:t xml:space="preserve">,” said Henry Williams, executive director, Michigan Gaming Control Board. “Our agency offers resources for charities — including a helpful </w:t>
      </w:r>
      <w:hyperlink r:id="rId8" w:history="1">
        <w:r w:rsidRPr="0043213C">
          <w:rPr>
            <w:rStyle w:val="Hyperlink"/>
            <w:rFonts w:ascii="Arial" w:hAnsi="Arial" w:cs="Arial"/>
          </w:rPr>
          <w:t>video</w:t>
        </w:r>
      </w:hyperlink>
      <w:r w:rsidRPr="0043213C">
        <w:rPr>
          <w:rFonts w:ascii="Arial" w:hAnsi="Arial" w:cs="Arial"/>
        </w:rPr>
        <w:t xml:space="preserve"> — so leaders of organizations may learn more about how to qualify and apply for licenses. Our staff also will answer questions and provide information to guide charity leaders throughout the application and licensing process, visit live events and give charities feedback on their events.” </w:t>
      </w:r>
    </w:p>
    <w:p w14:paraId="557D00A3" w14:textId="77777777" w:rsidR="0043213C" w:rsidRPr="0043213C" w:rsidRDefault="0043213C" w:rsidP="0043213C">
      <w:pPr>
        <w:rPr>
          <w:rFonts w:ascii="Arial" w:hAnsi="Arial" w:cs="Arial"/>
        </w:rPr>
      </w:pPr>
    </w:p>
    <w:p w14:paraId="1EBE8B1A" w14:textId="378E5E0F" w:rsidR="0043213C" w:rsidRPr="0043213C" w:rsidRDefault="0043213C" w:rsidP="0043213C">
      <w:pPr>
        <w:rPr>
          <w:rFonts w:ascii="Arial" w:hAnsi="Arial" w:cs="Arial"/>
        </w:rPr>
      </w:pPr>
      <w:r w:rsidRPr="0043213C">
        <w:rPr>
          <w:rFonts w:ascii="Arial" w:hAnsi="Arial" w:cs="Arial"/>
        </w:rPr>
        <w:t>Authorized by the state’s Bingo Act, a Millionaire Party is a charitable gaming event where wagers are placed on games of chance customarily associated with a gambling casino although poker typically is the most popular game. Participants use imitation money or chips.</w:t>
      </w:r>
    </w:p>
    <w:p w14:paraId="6BBB2E0D" w14:textId="77777777" w:rsidR="0043213C" w:rsidRPr="0043213C" w:rsidRDefault="0043213C" w:rsidP="0043213C">
      <w:pPr>
        <w:rPr>
          <w:rFonts w:ascii="Arial" w:hAnsi="Arial" w:cs="Arial"/>
        </w:rPr>
      </w:pPr>
    </w:p>
    <w:p w14:paraId="0EEB1B12" w14:textId="1D8561F6" w:rsidR="0043213C" w:rsidRPr="0043213C" w:rsidRDefault="0043213C" w:rsidP="0043213C">
      <w:pPr>
        <w:rPr>
          <w:rFonts w:ascii="Arial" w:hAnsi="Arial" w:cs="Arial"/>
        </w:rPr>
      </w:pPr>
      <w:r w:rsidRPr="0043213C">
        <w:rPr>
          <w:rFonts w:ascii="Arial" w:hAnsi="Arial" w:cs="Arial"/>
        </w:rPr>
        <w:t xml:space="preserve">The MGCB website’s Millionaire Party section offers information on the types of </w:t>
      </w:r>
      <w:hyperlink r:id="rId9" w:history="1">
        <w:r w:rsidRPr="0043213C">
          <w:rPr>
            <w:rStyle w:val="Hyperlink"/>
            <w:rFonts w:ascii="Arial" w:hAnsi="Arial" w:cs="Arial"/>
          </w:rPr>
          <w:t>qualifying</w:t>
        </w:r>
        <w:r w:rsidR="009B5769">
          <w:rPr>
            <w:rStyle w:val="Hyperlink"/>
            <w:rFonts w:ascii="Arial" w:hAnsi="Arial" w:cs="Arial"/>
          </w:rPr>
          <w:t xml:space="preserve"> </w:t>
        </w:r>
        <w:r w:rsidRPr="0043213C">
          <w:rPr>
            <w:rStyle w:val="Hyperlink"/>
            <w:rFonts w:ascii="Arial" w:hAnsi="Arial" w:cs="Arial"/>
          </w:rPr>
          <w:t>organizations</w:t>
        </w:r>
      </w:hyperlink>
      <w:r w:rsidR="00CD1B64">
        <w:rPr>
          <w:rStyle w:val="Hyperlink"/>
          <w:rFonts w:ascii="Arial" w:hAnsi="Arial" w:cs="Arial"/>
        </w:rPr>
        <w:t>,</w:t>
      </w:r>
      <w:r w:rsidRPr="0043213C">
        <w:rPr>
          <w:rFonts w:ascii="Arial" w:hAnsi="Arial" w:cs="Arial"/>
        </w:rPr>
        <w:t xml:space="preserve"> </w:t>
      </w:r>
      <w:r w:rsidR="00CD1B64">
        <w:rPr>
          <w:rFonts w:ascii="Arial" w:hAnsi="Arial" w:cs="Arial"/>
        </w:rPr>
        <w:t xml:space="preserve">which include various types of organizations often exempt </w:t>
      </w:r>
      <w:r w:rsidR="00CD1B64">
        <w:rPr>
          <w:rFonts w:ascii="Arial" w:hAnsi="Arial" w:cs="Arial"/>
        </w:rPr>
        <w:lastRenderedPageBreak/>
        <w:t xml:space="preserve">under section 501(c) of the Internal Revenue code, </w:t>
      </w:r>
      <w:r w:rsidRPr="0043213C">
        <w:rPr>
          <w:rFonts w:ascii="Arial" w:hAnsi="Arial" w:cs="Arial"/>
        </w:rPr>
        <w:t>and application forms. Qualifying organizations include:</w:t>
      </w:r>
    </w:p>
    <w:p w14:paraId="6C7A44F9" w14:textId="77777777" w:rsidR="0043213C" w:rsidRPr="0043213C" w:rsidRDefault="0043213C" w:rsidP="0043213C">
      <w:pPr>
        <w:pStyle w:val="ListParagraph"/>
        <w:numPr>
          <w:ilvl w:val="0"/>
          <w:numId w:val="10"/>
        </w:numPr>
        <w:spacing w:after="160" w:line="259" w:lineRule="auto"/>
        <w:rPr>
          <w:rFonts w:cs="Arial"/>
          <w:sz w:val="24"/>
          <w:szCs w:val="24"/>
        </w:rPr>
      </w:pPr>
      <w:r w:rsidRPr="0043213C">
        <w:rPr>
          <w:rFonts w:cs="Arial"/>
          <w:sz w:val="24"/>
          <w:szCs w:val="24"/>
        </w:rPr>
        <w:t>Educational</w:t>
      </w:r>
    </w:p>
    <w:p w14:paraId="29B4F095" w14:textId="77777777" w:rsidR="0043213C" w:rsidRPr="0043213C" w:rsidRDefault="0043213C" w:rsidP="0043213C">
      <w:pPr>
        <w:pStyle w:val="ListParagraph"/>
        <w:numPr>
          <w:ilvl w:val="0"/>
          <w:numId w:val="10"/>
        </w:numPr>
        <w:spacing w:after="160" w:line="259" w:lineRule="auto"/>
        <w:rPr>
          <w:rFonts w:cs="Arial"/>
          <w:sz w:val="24"/>
          <w:szCs w:val="24"/>
        </w:rPr>
      </w:pPr>
      <w:r w:rsidRPr="0043213C">
        <w:rPr>
          <w:rFonts w:cs="Arial"/>
          <w:sz w:val="24"/>
          <w:szCs w:val="24"/>
        </w:rPr>
        <w:t>Fraternal</w:t>
      </w:r>
    </w:p>
    <w:p w14:paraId="1D7E3BCE" w14:textId="77777777" w:rsidR="0043213C" w:rsidRPr="0043213C" w:rsidRDefault="0043213C" w:rsidP="0043213C">
      <w:pPr>
        <w:pStyle w:val="ListParagraph"/>
        <w:numPr>
          <w:ilvl w:val="0"/>
          <w:numId w:val="10"/>
        </w:numPr>
        <w:spacing w:after="160" w:line="259" w:lineRule="auto"/>
        <w:rPr>
          <w:rFonts w:cs="Arial"/>
          <w:sz w:val="24"/>
          <w:szCs w:val="24"/>
        </w:rPr>
      </w:pPr>
      <w:r w:rsidRPr="0043213C">
        <w:rPr>
          <w:rFonts w:cs="Arial"/>
          <w:sz w:val="24"/>
          <w:szCs w:val="24"/>
        </w:rPr>
        <w:t>Religious</w:t>
      </w:r>
    </w:p>
    <w:p w14:paraId="0EC8FFBE" w14:textId="77777777" w:rsidR="0043213C" w:rsidRPr="0043213C" w:rsidRDefault="0043213C" w:rsidP="0043213C">
      <w:pPr>
        <w:pStyle w:val="ListParagraph"/>
        <w:numPr>
          <w:ilvl w:val="0"/>
          <w:numId w:val="10"/>
        </w:numPr>
        <w:spacing w:after="160" w:line="259" w:lineRule="auto"/>
        <w:rPr>
          <w:rFonts w:cs="Arial"/>
          <w:sz w:val="24"/>
          <w:szCs w:val="24"/>
        </w:rPr>
      </w:pPr>
      <w:r w:rsidRPr="0043213C">
        <w:rPr>
          <w:rFonts w:cs="Arial"/>
          <w:sz w:val="24"/>
          <w:szCs w:val="24"/>
        </w:rPr>
        <w:t>Veterans</w:t>
      </w:r>
    </w:p>
    <w:p w14:paraId="5687F4FB" w14:textId="77777777" w:rsidR="0043213C" w:rsidRPr="0043213C" w:rsidRDefault="0043213C" w:rsidP="0043213C">
      <w:pPr>
        <w:pStyle w:val="ListParagraph"/>
        <w:numPr>
          <w:ilvl w:val="0"/>
          <w:numId w:val="10"/>
        </w:numPr>
        <w:spacing w:after="160" w:line="259" w:lineRule="auto"/>
        <w:rPr>
          <w:rFonts w:cs="Arial"/>
          <w:sz w:val="24"/>
          <w:szCs w:val="24"/>
        </w:rPr>
      </w:pPr>
      <w:r w:rsidRPr="0043213C">
        <w:rPr>
          <w:rFonts w:cs="Arial"/>
          <w:sz w:val="24"/>
          <w:szCs w:val="24"/>
        </w:rPr>
        <w:t>Senior Citizens</w:t>
      </w:r>
    </w:p>
    <w:p w14:paraId="38CE2DE8" w14:textId="058EF9F5" w:rsidR="0043213C" w:rsidRDefault="0043213C" w:rsidP="0043213C">
      <w:pPr>
        <w:pStyle w:val="ListParagraph"/>
        <w:numPr>
          <w:ilvl w:val="0"/>
          <w:numId w:val="10"/>
        </w:numPr>
        <w:spacing w:after="160" w:line="259" w:lineRule="auto"/>
        <w:rPr>
          <w:rFonts w:cs="Arial"/>
          <w:sz w:val="24"/>
          <w:szCs w:val="24"/>
        </w:rPr>
      </w:pPr>
      <w:r w:rsidRPr="0043213C">
        <w:rPr>
          <w:rFonts w:cs="Arial"/>
          <w:sz w:val="24"/>
          <w:szCs w:val="24"/>
        </w:rPr>
        <w:t>Service</w:t>
      </w:r>
    </w:p>
    <w:p w14:paraId="58C3E643" w14:textId="0CC94D6E" w:rsidR="0043213C" w:rsidRPr="0043213C" w:rsidRDefault="0043213C" w:rsidP="0043213C">
      <w:pPr>
        <w:rPr>
          <w:rFonts w:ascii="Arial" w:hAnsi="Arial" w:cs="Arial"/>
        </w:rPr>
      </w:pPr>
      <w:r w:rsidRPr="0043213C">
        <w:rPr>
          <w:rFonts w:ascii="Arial" w:hAnsi="Arial" w:cs="Arial"/>
        </w:rPr>
        <w:t xml:space="preserve">Once qualified, an organization may apply for up to four Millionaire Party licenses in a calendar year. The MGCB may authorize </w:t>
      </w:r>
      <w:r w:rsidR="004E5204">
        <w:rPr>
          <w:rFonts w:ascii="Arial" w:hAnsi="Arial" w:cs="Arial"/>
        </w:rPr>
        <w:t>each</w:t>
      </w:r>
      <w:r w:rsidRPr="0043213C">
        <w:rPr>
          <w:rFonts w:ascii="Arial" w:hAnsi="Arial" w:cs="Arial"/>
        </w:rPr>
        <w:t xml:space="preserve"> license for up to four consecutive days, and the license fee is $50 per day of gaming. </w:t>
      </w:r>
      <w:r w:rsidR="009B5769">
        <w:rPr>
          <w:rFonts w:ascii="Arial" w:hAnsi="Arial" w:cs="Arial"/>
        </w:rPr>
        <w:t>Charities may make l</w:t>
      </w:r>
      <w:r w:rsidRPr="0043213C">
        <w:rPr>
          <w:rFonts w:ascii="Arial" w:hAnsi="Arial" w:cs="Arial"/>
        </w:rPr>
        <w:t>icense payment</w:t>
      </w:r>
      <w:r w:rsidR="009B5769">
        <w:rPr>
          <w:rFonts w:ascii="Arial" w:hAnsi="Arial" w:cs="Arial"/>
        </w:rPr>
        <w:t>s</w:t>
      </w:r>
      <w:r w:rsidRPr="0043213C">
        <w:rPr>
          <w:rFonts w:ascii="Arial" w:hAnsi="Arial" w:cs="Arial"/>
        </w:rPr>
        <w:t xml:space="preserve"> electronically through the Millionaire Party </w:t>
      </w:r>
      <w:hyperlink r:id="rId10" w:history="1">
        <w:r w:rsidRPr="0043213C">
          <w:rPr>
            <w:rStyle w:val="Hyperlink"/>
            <w:rFonts w:ascii="Arial" w:hAnsi="Arial" w:cs="Arial"/>
          </w:rPr>
          <w:t>portal</w:t>
        </w:r>
      </w:hyperlink>
      <w:r w:rsidRPr="0043213C">
        <w:rPr>
          <w:rFonts w:ascii="Arial" w:hAnsi="Arial" w:cs="Arial"/>
        </w:rPr>
        <w:t xml:space="preserve"> or by check to the MGCB.</w:t>
      </w:r>
    </w:p>
    <w:p w14:paraId="4085BD20" w14:textId="77777777" w:rsidR="0043213C" w:rsidRPr="0043213C" w:rsidRDefault="0043213C" w:rsidP="0043213C">
      <w:pPr>
        <w:rPr>
          <w:rFonts w:ascii="Arial" w:hAnsi="Arial" w:cs="Arial"/>
        </w:rPr>
      </w:pPr>
    </w:p>
    <w:p w14:paraId="6E656F08" w14:textId="65B53968" w:rsidR="0043213C" w:rsidRPr="0043213C" w:rsidRDefault="0043213C" w:rsidP="0043213C">
      <w:pPr>
        <w:rPr>
          <w:rFonts w:ascii="Arial" w:hAnsi="Arial" w:cs="Arial"/>
        </w:rPr>
      </w:pPr>
      <w:r w:rsidRPr="0043213C">
        <w:rPr>
          <w:rFonts w:ascii="Arial" w:hAnsi="Arial" w:cs="Arial"/>
        </w:rPr>
        <w:t xml:space="preserve">Two bona fide members of the charity must be present at an event, and the charity may hire an </w:t>
      </w:r>
      <w:hyperlink r:id="rId11" w:history="1">
        <w:r w:rsidRPr="0043213C">
          <w:rPr>
            <w:rStyle w:val="Hyperlink"/>
            <w:rFonts w:ascii="Arial" w:hAnsi="Arial" w:cs="Arial"/>
          </w:rPr>
          <w:t>authorized supplier</w:t>
        </w:r>
      </w:hyperlink>
      <w:r w:rsidRPr="0043213C">
        <w:rPr>
          <w:rFonts w:ascii="Arial" w:hAnsi="Arial" w:cs="Arial"/>
        </w:rPr>
        <w:t xml:space="preserve"> to provide equipment and dealers to help conduct it. A charity may host an event at its own or a leased location. </w:t>
      </w:r>
    </w:p>
    <w:p w14:paraId="7468413D" w14:textId="77777777" w:rsidR="0043213C" w:rsidRPr="0043213C" w:rsidRDefault="0043213C" w:rsidP="0043213C">
      <w:pPr>
        <w:rPr>
          <w:rFonts w:ascii="Arial" w:hAnsi="Arial" w:cs="Arial"/>
        </w:rPr>
      </w:pPr>
    </w:p>
    <w:p w14:paraId="446165D1" w14:textId="5E9BC808" w:rsidR="0043213C" w:rsidRPr="0043213C" w:rsidRDefault="0043213C" w:rsidP="0043213C">
      <w:pPr>
        <w:rPr>
          <w:rFonts w:ascii="Arial" w:hAnsi="Arial" w:cs="Arial"/>
        </w:rPr>
      </w:pPr>
      <w:r w:rsidRPr="0043213C">
        <w:rPr>
          <w:rFonts w:ascii="Arial" w:hAnsi="Arial" w:cs="Arial"/>
        </w:rPr>
        <w:t xml:space="preserve">Chip sales are limited to $20,000 per day. However, if the organization uses its own location, equipment and dealers, it may calculate its daily chip limit by dividing $80,000 by the number of event days. </w:t>
      </w:r>
    </w:p>
    <w:p w14:paraId="1955B2F3" w14:textId="77777777" w:rsidR="0043213C" w:rsidRPr="0043213C" w:rsidRDefault="0043213C" w:rsidP="0043213C">
      <w:pPr>
        <w:rPr>
          <w:rFonts w:ascii="Arial" w:hAnsi="Arial" w:cs="Arial"/>
        </w:rPr>
      </w:pPr>
    </w:p>
    <w:p w14:paraId="678BC995" w14:textId="07BED82B" w:rsidR="0043213C" w:rsidRPr="0043213C" w:rsidRDefault="0043213C" w:rsidP="0043213C">
      <w:pPr>
        <w:rPr>
          <w:rFonts w:ascii="Arial" w:hAnsi="Arial" w:cs="Arial"/>
        </w:rPr>
      </w:pPr>
      <w:r w:rsidRPr="0043213C">
        <w:rPr>
          <w:rFonts w:ascii="Arial" w:hAnsi="Arial" w:cs="Arial"/>
        </w:rPr>
        <w:t>The charity must manage the event and keep financial and game records, which must be submitted to the MGCB by the 10</w:t>
      </w:r>
      <w:r w:rsidRPr="0043213C">
        <w:rPr>
          <w:rFonts w:ascii="Arial" w:hAnsi="Arial" w:cs="Arial"/>
          <w:vertAlign w:val="superscript"/>
        </w:rPr>
        <w:t>th</w:t>
      </w:r>
      <w:r w:rsidRPr="0043213C">
        <w:rPr>
          <w:rFonts w:ascii="Arial" w:hAnsi="Arial" w:cs="Arial"/>
        </w:rPr>
        <w:t xml:space="preserve"> day of the month following the last day of the event. </w:t>
      </w:r>
    </w:p>
    <w:p w14:paraId="3F778C77" w14:textId="77777777" w:rsidR="0043213C" w:rsidRPr="0043213C" w:rsidRDefault="0043213C" w:rsidP="0043213C">
      <w:pPr>
        <w:rPr>
          <w:rFonts w:ascii="Arial" w:hAnsi="Arial" w:cs="Arial"/>
        </w:rPr>
      </w:pPr>
    </w:p>
    <w:p w14:paraId="78C13DFB" w14:textId="68547676" w:rsidR="0043213C" w:rsidRPr="0043213C" w:rsidRDefault="0043213C" w:rsidP="0043213C">
      <w:pPr>
        <w:rPr>
          <w:rFonts w:ascii="Arial" w:hAnsi="Arial" w:cs="Arial"/>
        </w:rPr>
      </w:pPr>
      <w:r w:rsidRPr="0043213C">
        <w:rPr>
          <w:rFonts w:ascii="Arial" w:hAnsi="Arial" w:cs="Arial"/>
        </w:rPr>
        <w:t xml:space="preserve">For more information on becoming qualified to host an event, contact </w:t>
      </w:r>
      <w:hyperlink r:id="rId12" w:history="1">
        <w:r w:rsidRPr="0043213C">
          <w:rPr>
            <w:rStyle w:val="Hyperlink"/>
            <w:rFonts w:ascii="Arial" w:hAnsi="Arial" w:cs="Arial"/>
          </w:rPr>
          <w:t>millionaireparty@michigan.gov</w:t>
        </w:r>
      </w:hyperlink>
      <w:r w:rsidRPr="0043213C">
        <w:rPr>
          <w:rFonts w:ascii="Arial" w:hAnsi="Arial" w:cs="Arial"/>
        </w:rPr>
        <w:t xml:space="preserve"> or call 313-456-4940 weekdays between 8 a.m. and 5 p.m.</w:t>
      </w:r>
    </w:p>
    <w:p w14:paraId="0B5186C7" w14:textId="77777777" w:rsidR="0043213C" w:rsidRPr="0043213C" w:rsidRDefault="0043213C" w:rsidP="0043213C">
      <w:pPr>
        <w:rPr>
          <w:rFonts w:ascii="Arial" w:hAnsi="Arial" w:cs="Arial"/>
        </w:rPr>
      </w:pPr>
    </w:p>
    <w:p w14:paraId="2873B2C2" w14:textId="77777777" w:rsidR="0043213C" w:rsidRPr="0043213C" w:rsidRDefault="0043213C" w:rsidP="0043213C">
      <w:pPr>
        <w:rPr>
          <w:rFonts w:ascii="Arial" w:hAnsi="Arial" w:cs="Arial"/>
        </w:rPr>
      </w:pPr>
      <w:r w:rsidRPr="0043213C">
        <w:rPr>
          <w:rFonts w:ascii="Arial" w:hAnsi="Arial" w:cs="Arial"/>
        </w:rPr>
        <w:t xml:space="preserve">Additional information also is available on the MGCB website at </w:t>
      </w:r>
      <w:hyperlink r:id="rId13" w:history="1">
        <w:r w:rsidRPr="0043213C">
          <w:rPr>
            <w:rStyle w:val="Hyperlink"/>
            <w:rFonts w:ascii="Arial" w:hAnsi="Arial" w:cs="Arial"/>
          </w:rPr>
          <w:t>www.michigan.gov/mgcb/millionaire-party</w:t>
        </w:r>
      </w:hyperlink>
      <w:r w:rsidRPr="0043213C">
        <w:rPr>
          <w:rFonts w:ascii="Arial" w:hAnsi="Arial" w:cs="Arial"/>
        </w:rPr>
        <w:t>.</w:t>
      </w:r>
    </w:p>
    <w:p w14:paraId="57796A57" w14:textId="77777777" w:rsidR="00B6561B" w:rsidRPr="0051102D" w:rsidRDefault="00B6561B"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40DC"/>
    <w:multiLevelType w:val="hybridMultilevel"/>
    <w:tmpl w:val="0CE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951280">
    <w:abstractNumId w:val="3"/>
  </w:num>
  <w:num w:numId="2" w16cid:durableId="824125628">
    <w:abstractNumId w:val="4"/>
  </w:num>
  <w:num w:numId="3" w16cid:durableId="513035251">
    <w:abstractNumId w:val="2"/>
  </w:num>
  <w:num w:numId="4" w16cid:durableId="1011685499">
    <w:abstractNumId w:val="8"/>
  </w:num>
  <w:num w:numId="5" w16cid:durableId="1619023379">
    <w:abstractNumId w:val="5"/>
  </w:num>
  <w:num w:numId="6" w16cid:durableId="1418986918">
    <w:abstractNumId w:val="6"/>
  </w:num>
  <w:num w:numId="7" w16cid:durableId="1096943518">
    <w:abstractNumId w:val="9"/>
  </w:num>
  <w:num w:numId="8" w16cid:durableId="287665594">
    <w:abstractNumId w:val="7"/>
  </w:num>
  <w:num w:numId="9" w16cid:durableId="565190019">
    <w:abstractNumId w:val="0"/>
  </w:num>
  <w:num w:numId="10" w16cid:durableId="733283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13C"/>
    <w:rsid w:val="00432433"/>
    <w:rsid w:val="0043685B"/>
    <w:rsid w:val="00483B2F"/>
    <w:rsid w:val="004A5E4C"/>
    <w:rsid w:val="004C4EC2"/>
    <w:rsid w:val="004D58F7"/>
    <w:rsid w:val="004E5204"/>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1EA9"/>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2C80"/>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27C84"/>
    <w:rsid w:val="00930430"/>
    <w:rsid w:val="009373B9"/>
    <w:rsid w:val="00944AEA"/>
    <w:rsid w:val="00966852"/>
    <w:rsid w:val="00970643"/>
    <w:rsid w:val="00983E3B"/>
    <w:rsid w:val="00987986"/>
    <w:rsid w:val="009909B0"/>
    <w:rsid w:val="00991081"/>
    <w:rsid w:val="009A2604"/>
    <w:rsid w:val="009B5769"/>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D1B64"/>
    <w:rsid w:val="00CE4165"/>
    <w:rsid w:val="00CE74F3"/>
    <w:rsid w:val="00D0524A"/>
    <w:rsid w:val="00D116C0"/>
    <w:rsid w:val="00D303A8"/>
    <w:rsid w:val="00D3095C"/>
    <w:rsid w:val="00D47EAD"/>
    <w:rsid w:val="00D57A5E"/>
    <w:rsid w:val="00D75340"/>
    <w:rsid w:val="00D820E8"/>
    <w:rsid w:val="00D8529A"/>
    <w:rsid w:val="00DB0E29"/>
    <w:rsid w:val="00DC4F1E"/>
    <w:rsid w:val="00E018E3"/>
    <w:rsid w:val="00E21582"/>
    <w:rsid w:val="00E228C6"/>
    <w:rsid w:val="00E45ED4"/>
    <w:rsid w:val="00E53C49"/>
    <w:rsid w:val="00E65718"/>
    <w:rsid w:val="00E75755"/>
    <w:rsid w:val="00E90FE3"/>
    <w:rsid w:val="00E9539F"/>
    <w:rsid w:val="00EB0339"/>
    <w:rsid w:val="00EB5124"/>
    <w:rsid w:val="00EC47D5"/>
    <w:rsid w:val="00EF32BC"/>
    <w:rsid w:val="00F115CC"/>
    <w:rsid w:val="00F15B96"/>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paragraph" w:styleId="Revision">
    <w:name w:val="Revision"/>
    <w:hidden/>
    <w:uiPriority w:val="99"/>
    <w:semiHidden/>
    <w:rsid w:val="009B5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UQxdusBe0o4" TargetMode="External"/><Relationship Id="rId13" Type="http://schemas.openxmlformats.org/officeDocument/2006/relationships/hyperlink" Target="http://www.michigan.gov/mgcb/millionaire-par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llionaireparty@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gcb.state.mi.us/mp-portal/suppliers/li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pnURquIkLso" TargetMode="External"/><Relationship Id="rId4" Type="http://schemas.openxmlformats.org/officeDocument/2006/relationships/webSettings" Target="webSettings.xml"/><Relationship Id="rId9" Type="http://schemas.openxmlformats.org/officeDocument/2006/relationships/hyperlink" Target="https://www.michigan.gov/mgcb/millionaire-party/qualifying-organization-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2023-04-25T16:05:00Z</dcterms:created>
  <dcterms:modified xsi:type="dcterms:W3CDTF">2023-04-25T16:06:00Z</dcterms:modified>
</cp:coreProperties>
</file>