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6975"/>
      </w:tblGrid>
      <w:tr w:rsidR="00716ED8" w14:paraId="3B3D72A9" w14:textId="77777777" w:rsidTr="007A1CC2">
        <w:trPr>
          <w:trHeight w:val="1408"/>
        </w:trPr>
        <w:tc>
          <w:tcPr>
            <w:tcW w:w="2029" w:type="dxa"/>
          </w:tcPr>
          <w:p w14:paraId="62622B89" w14:textId="3AA68D78" w:rsidR="00716ED8" w:rsidRDefault="00C13D19" w:rsidP="006B1EA9">
            <w:pPr>
              <w:jc w:val="center"/>
              <w:rPr>
                <w:rStyle w:val="Hyperlink"/>
              </w:rPr>
            </w:pPr>
            <w:r>
              <w:rPr>
                <w:noProof/>
              </w:rPr>
              <w:drawing>
                <wp:inline distT="0" distB="0" distL="0" distR="0" wp14:anchorId="5741D522" wp14:editId="43C01305">
                  <wp:extent cx="9906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838200"/>
                          </a:xfrm>
                          <a:prstGeom prst="rect">
                            <a:avLst/>
                          </a:prstGeom>
                          <a:noFill/>
                          <a:ln>
                            <a:noFill/>
                          </a:ln>
                        </pic:spPr>
                      </pic:pic>
                    </a:graphicData>
                  </a:graphic>
                </wp:inline>
              </w:drawing>
            </w:r>
          </w:p>
        </w:tc>
        <w:tc>
          <w:tcPr>
            <w:tcW w:w="6975"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FFCC99"/>
        <w:tblCellMar>
          <w:top w:w="60" w:type="dxa"/>
          <w:left w:w="60" w:type="dxa"/>
          <w:bottom w:w="60" w:type="dxa"/>
          <w:right w:w="60" w:type="dxa"/>
        </w:tblCellMar>
        <w:tblLook w:val="0000" w:firstRow="0" w:lastRow="0" w:firstColumn="0" w:lastColumn="0" w:noHBand="0" w:noVBand="0"/>
      </w:tblPr>
      <w:tblGrid>
        <w:gridCol w:w="4155"/>
        <w:gridCol w:w="4845"/>
      </w:tblGrid>
      <w:tr w:rsidR="00716ED8" w14:paraId="4E039AAE" w14:textId="77777777" w:rsidTr="006B1EA9">
        <w:trPr>
          <w:jc w:val="center"/>
        </w:trPr>
        <w:tc>
          <w:tcPr>
            <w:tcW w:w="0" w:type="auto"/>
            <w:shd w:val="clear" w:color="auto" w:fill="4472C4" w:themeFill="accent1"/>
            <w:vAlign w:val="center"/>
          </w:tcPr>
          <w:p w14:paraId="75AA6DB4" w14:textId="7C8EB6D6" w:rsidR="00716ED8" w:rsidRPr="006B1EA9" w:rsidRDefault="00716ED8" w:rsidP="00804693">
            <w:pPr>
              <w:rPr>
                <w:color w:val="FFFFFF" w:themeColor="background1"/>
                <w:sz w:val="22"/>
                <w:szCs w:val="22"/>
              </w:rPr>
            </w:pPr>
            <w:r w:rsidRPr="006B1EA9">
              <w:rPr>
                <w:rStyle w:val="Strong"/>
                <w:rFonts w:ascii="Arial" w:hAnsi="Arial" w:cs="Arial"/>
                <w:color w:val="FFFFFF" w:themeColor="background1"/>
                <w:sz w:val="22"/>
                <w:szCs w:val="22"/>
              </w:rPr>
              <w:t>FOR IMMEDIATE RELEASE:</w:t>
            </w:r>
            <w:r w:rsidRPr="006B1EA9">
              <w:rPr>
                <w:rStyle w:val="Strong"/>
                <w:color w:val="FFFFFF" w:themeColor="background1"/>
                <w:sz w:val="22"/>
                <w:szCs w:val="22"/>
              </w:rPr>
              <w:t xml:space="preserve"> </w:t>
            </w:r>
            <w:r w:rsidRPr="006B1EA9">
              <w:rPr>
                <w:rFonts w:ascii="Arial" w:hAnsi="Arial" w:cs="Arial"/>
                <w:b/>
                <w:bCs/>
                <w:color w:val="FFFFFF" w:themeColor="background1"/>
                <w:sz w:val="22"/>
                <w:szCs w:val="22"/>
              </w:rPr>
              <w:br/>
            </w:r>
            <w:r w:rsidR="00C13D19">
              <w:rPr>
                <w:rFonts w:ascii="Verdana" w:hAnsi="Verdana"/>
                <w:b/>
                <w:bCs/>
                <w:color w:val="FFFFFF" w:themeColor="background1"/>
                <w:sz w:val="22"/>
                <w:szCs w:val="22"/>
              </w:rPr>
              <w:t>April 6</w:t>
            </w:r>
            <w:r w:rsidR="00BC0787" w:rsidRPr="006B1EA9">
              <w:rPr>
                <w:rFonts w:ascii="Verdana" w:hAnsi="Verdana"/>
                <w:b/>
                <w:bCs/>
                <w:color w:val="FFFFFF" w:themeColor="background1"/>
                <w:sz w:val="22"/>
                <w:szCs w:val="22"/>
              </w:rPr>
              <w:t>,</w:t>
            </w:r>
            <w:r w:rsidR="00B6561B" w:rsidRPr="006B1EA9">
              <w:rPr>
                <w:rFonts w:ascii="Verdana" w:hAnsi="Verdana"/>
                <w:b/>
                <w:bCs/>
                <w:color w:val="FFFFFF" w:themeColor="background1"/>
                <w:sz w:val="22"/>
                <w:szCs w:val="22"/>
              </w:rPr>
              <w:t xml:space="preserve"> 20</w:t>
            </w:r>
            <w:r w:rsidR="00432433" w:rsidRPr="006B1EA9">
              <w:rPr>
                <w:rFonts w:ascii="Verdana" w:hAnsi="Verdana"/>
                <w:b/>
                <w:bCs/>
                <w:color w:val="FFFFFF" w:themeColor="background1"/>
                <w:sz w:val="22"/>
                <w:szCs w:val="22"/>
              </w:rPr>
              <w:t>2</w:t>
            </w:r>
            <w:r w:rsidR="006B1EA9" w:rsidRPr="006B1EA9">
              <w:rPr>
                <w:rFonts w:ascii="Verdana" w:hAnsi="Verdana"/>
                <w:b/>
                <w:bCs/>
                <w:color w:val="FFFFFF" w:themeColor="background1"/>
                <w:sz w:val="22"/>
                <w:szCs w:val="22"/>
              </w:rPr>
              <w:t>3</w:t>
            </w:r>
          </w:p>
        </w:tc>
        <w:tc>
          <w:tcPr>
            <w:tcW w:w="0" w:type="auto"/>
            <w:shd w:val="clear" w:color="auto" w:fill="4472C4" w:themeFill="accent1"/>
            <w:vAlign w:val="center"/>
          </w:tcPr>
          <w:p w14:paraId="70383645" w14:textId="5CF68DA8" w:rsidR="00716ED8" w:rsidRPr="00927C84" w:rsidRDefault="00716ED8" w:rsidP="006B1EA9">
            <w:pPr>
              <w:pStyle w:val="NormalWeb"/>
              <w:spacing w:before="0" w:beforeAutospacing="0" w:after="0" w:afterAutospacing="0"/>
              <w:jc w:val="right"/>
              <w:rPr>
                <w:b/>
                <w:bCs/>
                <w:color w:val="FFFFFF" w:themeColor="background1"/>
                <w:sz w:val="22"/>
                <w:szCs w:val="22"/>
              </w:rPr>
            </w:pPr>
            <w:r w:rsidRPr="00927C84">
              <w:rPr>
                <w:rStyle w:val="Strong"/>
                <w:rFonts w:ascii="Arial" w:hAnsi="Arial" w:cs="Arial"/>
                <w:color w:val="FFFFFF" w:themeColor="background1"/>
                <w:sz w:val="22"/>
                <w:szCs w:val="22"/>
              </w:rPr>
              <w:t>Contact:</w:t>
            </w:r>
            <w:r w:rsidRPr="00927C84">
              <w:rPr>
                <w:rFonts w:ascii="Arial" w:hAnsi="Arial" w:cs="Arial"/>
                <w:b/>
                <w:bCs/>
                <w:color w:val="FFFFFF" w:themeColor="background1"/>
                <w:sz w:val="22"/>
                <w:szCs w:val="22"/>
              </w:rPr>
              <w:br/>
            </w:r>
            <w:r w:rsidR="006B1EA9" w:rsidRPr="00927C84">
              <w:rPr>
                <w:rFonts w:ascii="Verdana" w:hAnsi="Verdana"/>
                <w:b/>
                <w:bCs/>
                <w:color w:val="FFFFFF" w:themeColor="background1"/>
                <w:sz w:val="22"/>
                <w:szCs w:val="22"/>
              </w:rPr>
              <w:t>MGCB-media</w:t>
            </w:r>
            <w:r w:rsidR="00E228C6" w:rsidRPr="00927C84">
              <w:rPr>
                <w:rFonts w:ascii="Verdana" w:hAnsi="Verdana"/>
                <w:b/>
                <w:bCs/>
                <w:color w:val="FFFFFF" w:themeColor="background1"/>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sidRPr="00927C84">
              <w:rPr>
                <w:rFonts w:ascii="Verdana" w:hAnsi="Verdana"/>
                <w:b/>
                <w:bCs/>
                <w:color w:val="FFFFFF" w:themeColor="background1"/>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77777777"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345C74">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D0524A" w:rsidRPr="00345C74">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2C491420" w:rsidR="00B6561B" w:rsidRPr="00345C74" w:rsidRDefault="00B6561B" w:rsidP="006B1EA9">
      <w:pPr>
        <w:tabs>
          <w:tab w:val="left" w:pos="7560"/>
        </w:tabs>
        <w:rPr>
          <w:rFonts w:ascii="Verdana" w:hAnsi="Verdana"/>
          <w:b/>
          <w:sz w:val="20"/>
          <w:szCs w:val="20"/>
        </w:rPr>
      </w:pPr>
      <w:r w:rsidRPr="00345C74">
        <w:rPr>
          <w:rFonts w:ascii="Verdana" w:hAnsi="Verdana"/>
          <w:b/>
          <w:sz w:val="20"/>
          <w:szCs w:val="20"/>
        </w:rPr>
        <w:t>For Immediate Release:</w:t>
      </w:r>
      <w:r w:rsidR="006B1EA9">
        <w:rPr>
          <w:rFonts w:ascii="Verdana" w:hAnsi="Verdana"/>
          <w:b/>
          <w:sz w:val="20"/>
          <w:szCs w:val="20"/>
        </w:rPr>
        <w:tab/>
      </w:r>
    </w:p>
    <w:p w14:paraId="57796A57" w14:textId="63071618" w:rsidR="00B6561B" w:rsidRDefault="00B6561B" w:rsidP="00B6561B">
      <w:pPr>
        <w:rPr>
          <w:rFonts w:ascii="Arial" w:hAnsi="Arial" w:cs="Arial"/>
          <w:b/>
          <w:sz w:val="16"/>
          <w:szCs w:val="16"/>
        </w:rPr>
      </w:pPr>
    </w:p>
    <w:p w14:paraId="4B735A78" w14:textId="583D084C" w:rsidR="00C13D19" w:rsidRDefault="00C13D19" w:rsidP="00C13D19">
      <w:pPr>
        <w:rPr>
          <w:rFonts w:ascii="Arial" w:hAnsi="Arial" w:cs="Arial"/>
          <w:b/>
          <w:bCs/>
          <w:sz w:val="36"/>
          <w:szCs w:val="36"/>
        </w:rPr>
      </w:pPr>
      <w:r w:rsidRPr="00171349">
        <w:rPr>
          <w:rFonts w:ascii="Arial" w:hAnsi="Arial" w:cs="Arial"/>
          <w:b/>
          <w:bCs/>
          <w:sz w:val="36"/>
          <w:szCs w:val="36"/>
        </w:rPr>
        <w:t>Michigan Gaming Control Board introduces Double Down Michigan podcast hosted by Executive Director Henry Williams</w:t>
      </w:r>
    </w:p>
    <w:p w14:paraId="3874302A" w14:textId="77777777" w:rsidR="00C13D19" w:rsidRPr="00171349" w:rsidRDefault="00C13D19" w:rsidP="00C13D19">
      <w:pPr>
        <w:rPr>
          <w:rFonts w:ascii="Arial" w:hAnsi="Arial" w:cs="Arial"/>
          <w:b/>
          <w:bCs/>
          <w:sz w:val="36"/>
          <w:szCs w:val="36"/>
        </w:rPr>
      </w:pPr>
    </w:p>
    <w:p w14:paraId="1AC987F6" w14:textId="3BFF3543" w:rsidR="00C13D19" w:rsidRDefault="00C13D19" w:rsidP="00C13D19">
      <w:pPr>
        <w:rPr>
          <w:rFonts w:ascii="Arial" w:hAnsi="Arial" w:cs="Arial"/>
        </w:rPr>
      </w:pPr>
      <w:r>
        <w:rPr>
          <w:rFonts w:ascii="Arial" w:hAnsi="Arial" w:cs="Arial"/>
          <w:b/>
          <w:bCs/>
        </w:rPr>
        <w:t>April 6</w:t>
      </w:r>
      <w:r w:rsidRPr="00171349">
        <w:rPr>
          <w:rFonts w:ascii="Arial" w:hAnsi="Arial" w:cs="Arial"/>
          <w:b/>
          <w:bCs/>
        </w:rPr>
        <w:t>, 2023</w:t>
      </w:r>
      <w:r w:rsidRPr="004928FB">
        <w:rPr>
          <w:rFonts w:ascii="Arial" w:hAnsi="Arial" w:cs="Arial"/>
        </w:rPr>
        <w:t xml:space="preserve"> — </w:t>
      </w:r>
      <w:r>
        <w:rPr>
          <w:rFonts w:ascii="Arial" w:hAnsi="Arial" w:cs="Arial"/>
        </w:rPr>
        <w:t>Michigan Gaming Control Board Executive Director Henry Williams now hosts a</w:t>
      </w:r>
      <w:r w:rsidR="00495EF8">
        <w:rPr>
          <w:rFonts w:ascii="Arial" w:hAnsi="Arial" w:cs="Arial"/>
        </w:rPr>
        <w:t xml:space="preserve"> monthly</w:t>
      </w:r>
      <w:r>
        <w:rPr>
          <w:rFonts w:ascii="Arial" w:hAnsi="Arial" w:cs="Arial"/>
        </w:rPr>
        <w:t xml:space="preserve"> podcast exploring gaming industry-related topics, including responsible gaming, industry news, trends and more. </w:t>
      </w:r>
    </w:p>
    <w:p w14:paraId="6268D425" w14:textId="77777777" w:rsidR="00C13D19" w:rsidRDefault="00C13D19" w:rsidP="00C13D19">
      <w:pPr>
        <w:rPr>
          <w:rFonts w:ascii="Arial" w:hAnsi="Arial" w:cs="Arial"/>
        </w:rPr>
      </w:pPr>
    </w:p>
    <w:p w14:paraId="23628137" w14:textId="4071A236" w:rsidR="00C13D19" w:rsidRDefault="00C13D19" w:rsidP="00C13D19">
      <w:pPr>
        <w:rPr>
          <w:rFonts w:ascii="Arial" w:hAnsi="Arial" w:cs="Arial"/>
        </w:rPr>
      </w:pPr>
      <w:r>
        <w:rPr>
          <w:rFonts w:ascii="Arial" w:hAnsi="Arial" w:cs="Arial"/>
        </w:rPr>
        <w:t xml:space="preserve">Double Down Michigan is hosted on </w:t>
      </w:r>
      <w:hyperlink r:id="rId8" w:history="1">
        <w:proofErr w:type="spellStart"/>
        <w:r w:rsidRPr="00171349">
          <w:rPr>
            <w:rStyle w:val="Hyperlink"/>
            <w:rFonts w:ascii="Arial" w:hAnsi="Arial" w:cs="Arial"/>
          </w:rPr>
          <w:t>Buzzsprou</w:t>
        </w:r>
      </w:hyperlink>
      <w:r>
        <w:rPr>
          <w:rFonts w:ascii="Arial" w:hAnsi="Arial" w:cs="Arial"/>
        </w:rPr>
        <w:t>t</w:t>
      </w:r>
      <w:proofErr w:type="spellEnd"/>
      <w:r>
        <w:rPr>
          <w:rFonts w:ascii="Arial" w:hAnsi="Arial" w:cs="Arial"/>
        </w:rPr>
        <w:t xml:space="preserve"> and also is available now on </w:t>
      </w:r>
      <w:r w:rsidRPr="001442CE">
        <w:rPr>
          <w:rFonts w:ascii="Arial" w:hAnsi="Arial" w:cs="Arial"/>
        </w:rPr>
        <w:t>Amazon Music, Apple Podcasts</w:t>
      </w:r>
      <w:r>
        <w:rPr>
          <w:rFonts w:ascii="Arial" w:hAnsi="Arial" w:cs="Arial"/>
        </w:rPr>
        <w:t xml:space="preserve">, </w:t>
      </w:r>
      <w:r w:rsidRPr="001442CE">
        <w:rPr>
          <w:rFonts w:ascii="Arial" w:hAnsi="Arial" w:cs="Arial"/>
        </w:rPr>
        <w:t>iHeart Radio</w:t>
      </w:r>
      <w:r>
        <w:rPr>
          <w:rFonts w:ascii="Arial" w:hAnsi="Arial" w:cs="Arial"/>
        </w:rPr>
        <w:t xml:space="preserve">, </w:t>
      </w:r>
      <w:r w:rsidRPr="001442CE">
        <w:rPr>
          <w:rFonts w:ascii="Arial" w:hAnsi="Arial" w:cs="Arial"/>
        </w:rPr>
        <w:t>Podcast Index</w:t>
      </w:r>
      <w:r>
        <w:rPr>
          <w:rFonts w:ascii="Arial" w:hAnsi="Arial" w:cs="Arial"/>
        </w:rPr>
        <w:t xml:space="preserve"> and</w:t>
      </w:r>
      <w:r w:rsidRPr="001442CE">
        <w:rPr>
          <w:rFonts w:ascii="Arial" w:hAnsi="Arial" w:cs="Arial"/>
        </w:rPr>
        <w:t xml:space="preserve"> Spotify</w:t>
      </w:r>
      <w:r>
        <w:rPr>
          <w:rFonts w:ascii="Arial" w:hAnsi="Arial" w:cs="Arial"/>
        </w:rPr>
        <w:t xml:space="preserve">. </w:t>
      </w:r>
      <w:bookmarkStart w:id="0" w:name="_Hlk130999325"/>
      <w:r>
        <w:rPr>
          <w:rFonts w:ascii="Arial" w:hAnsi="Arial" w:cs="Arial"/>
        </w:rPr>
        <w:t>Each episode will feature special guests including experts from the MGCB, state government, tribal communities, addiction and recovery services or the gaming industry.</w:t>
      </w:r>
      <w:bookmarkEnd w:id="0"/>
    </w:p>
    <w:p w14:paraId="685DA447" w14:textId="77777777" w:rsidR="00C13D19" w:rsidRDefault="00C13D19" w:rsidP="00C13D19">
      <w:pPr>
        <w:rPr>
          <w:rFonts w:ascii="Arial" w:hAnsi="Arial" w:cs="Arial"/>
        </w:rPr>
      </w:pPr>
    </w:p>
    <w:p w14:paraId="1503E9BC" w14:textId="6B7424A9" w:rsidR="00C13D19" w:rsidRDefault="00C13D19" w:rsidP="00C13D19">
      <w:pPr>
        <w:rPr>
          <w:rFonts w:ascii="Arial" w:hAnsi="Arial" w:cs="Arial"/>
        </w:rPr>
      </w:pPr>
      <w:r>
        <w:rPr>
          <w:rFonts w:ascii="Arial" w:hAnsi="Arial" w:cs="Arial"/>
        </w:rPr>
        <w:t>“Through our podcast, Michigan citizens will learn more about the gaming industry and its impacts on the state and on its patrons,” said Williams. “If you enjoy gaming or are curious about how the industry works, our podcasts will provide insights from a regulator’s unique perspective. We also will help our listeners by sharing information on responsible gaming and problem gambling.”</w:t>
      </w:r>
    </w:p>
    <w:p w14:paraId="61AF64AC" w14:textId="77777777" w:rsidR="00C13D19" w:rsidRDefault="00C13D19" w:rsidP="00C13D19">
      <w:pPr>
        <w:rPr>
          <w:rFonts w:ascii="Arial" w:hAnsi="Arial" w:cs="Arial"/>
        </w:rPr>
      </w:pPr>
    </w:p>
    <w:p w14:paraId="522A811A" w14:textId="20B60F4D" w:rsidR="00C13D19" w:rsidRDefault="00C13D19" w:rsidP="00C13D19">
      <w:pPr>
        <w:rPr>
          <w:rFonts w:ascii="Arial" w:hAnsi="Arial" w:cs="Arial"/>
        </w:rPr>
      </w:pPr>
      <w:r>
        <w:rPr>
          <w:rFonts w:ascii="Arial" w:hAnsi="Arial" w:cs="Arial"/>
        </w:rPr>
        <w:t>The initial podcast episodes available now are:</w:t>
      </w:r>
    </w:p>
    <w:p w14:paraId="0375B745" w14:textId="77777777" w:rsidR="00C13D19" w:rsidRDefault="00C13D19" w:rsidP="00C13D19">
      <w:pPr>
        <w:rPr>
          <w:rFonts w:ascii="Arial" w:hAnsi="Arial" w:cs="Arial"/>
        </w:rPr>
      </w:pPr>
    </w:p>
    <w:p w14:paraId="43A797F0" w14:textId="560491AE" w:rsidR="00C13D19" w:rsidRDefault="00C13D19" w:rsidP="00C13D19">
      <w:pPr>
        <w:rPr>
          <w:rStyle w:val="ui-provider"/>
          <w:rFonts w:ascii="Arial" w:hAnsi="Arial" w:cs="Arial"/>
        </w:rPr>
      </w:pPr>
      <w:r w:rsidRPr="00171349">
        <w:rPr>
          <w:rFonts w:ascii="Arial" w:hAnsi="Arial" w:cs="Arial"/>
          <w:b/>
          <w:bCs/>
        </w:rPr>
        <w:t>Episode 1:</w:t>
      </w:r>
      <w:r>
        <w:rPr>
          <w:rFonts w:ascii="Arial" w:hAnsi="Arial" w:cs="Arial"/>
        </w:rPr>
        <w:t xml:space="preserve"> Sandra Johnson, Responsible Gaming manager for the Michigan Gaming Control Board, and Williams </w:t>
      </w:r>
      <w:r w:rsidRPr="004928FB">
        <w:rPr>
          <w:rStyle w:val="ui-provider"/>
          <w:rFonts w:ascii="Arial" w:hAnsi="Arial" w:cs="Arial"/>
        </w:rPr>
        <w:t>discuss the difference between responsible gaming and problem gambling,</w:t>
      </w:r>
      <w:r>
        <w:rPr>
          <w:rStyle w:val="ui-provider"/>
          <w:rFonts w:ascii="Arial" w:hAnsi="Arial" w:cs="Arial"/>
        </w:rPr>
        <w:t xml:space="preserve"> self-exclusion from gambling,</w:t>
      </w:r>
      <w:r w:rsidRPr="004928FB">
        <w:rPr>
          <w:rStyle w:val="ui-provider"/>
          <w:rFonts w:ascii="Arial" w:hAnsi="Arial" w:cs="Arial"/>
        </w:rPr>
        <w:t xml:space="preserve"> MGCB's new responsible gaming campaign</w:t>
      </w:r>
      <w:r>
        <w:rPr>
          <w:rStyle w:val="ui-provider"/>
          <w:rFonts w:ascii="Arial" w:hAnsi="Arial" w:cs="Arial"/>
        </w:rPr>
        <w:t xml:space="preserve"> Don’t Regret the Bet</w:t>
      </w:r>
      <w:r w:rsidRPr="004928FB">
        <w:rPr>
          <w:rStyle w:val="ui-provider"/>
          <w:rFonts w:ascii="Arial" w:hAnsi="Arial" w:cs="Arial"/>
        </w:rPr>
        <w:t xml:space="preserve"> and tips for staying safe and having fun while you gamble.</w:t>
      </w:r>
      <w:r>
        <w:rPr>
          <w:rStyle w:val="ui-provider"/>
          <w:rFonts w:ascii="Arial" w:hAnsi="Arial" w:cs="Arial"/>
        </w:rPr>
        <w:t xml:space="preserve"> (17:29 duration)</w:t>
      </w:r>
    </w:p>
    <w:p w14:paraId="0855A239" w14:textId="77777777" w:rsidR="00C13D19" w:rsidRDefault="00C13D19" w:rsidP="00C13D19">
      <w:pPr>
        <w:rPr>
          <w:rStyle w:val="ui-provider"/>
          <w:rFonts w:ascii="Arial" w:hAnsi="Arial" w:cs="Arial"/>
        </w:rPr>
      </w:pPr>
    </w:p>
    <w:p w14:paraId="0F7CB5B2" w14:textId="77777777" w:rsidR="00C13D19" w:rsidRDefault="00C13D19" w:rsidP="00C13D19">
      <w:pPr>
        <w:rPr>
          <w:rStyle w:val="ui-provider"/>
          <w:rFonts w:ascii="Arial" w:hAnsi="Arial" w:cs="Arial"/>
        </w:rPr>
      </w:pPr>
      <w:r w:rsidRPr="00171349">
        <w:rPr>
          <w:rStyle w:val="ui-provider"/>
          <w:rFonts w:ascii="Arial" w:hAnsi="Arial" w:cs="Arial"/>
          <w:b/>
          <w:bCs/>
        </w:rPr>
        <w:t>Episode 2:</w:t>
      </w:r>
      <w:r>
        <w:rPr>
          <w:rStyle w:val="ui-provider"/>
          <w:rFonts w:ascii="Arial" w:hAnsi="Arial" w:cs="Arial"/>
        </w:rPr>
        <w:t xml:space="preserve"> Michael Burke, president of the </w:t>
      </w:r>
      <w:hyperlink r:id="rId9" w:history="1">
        <w:r w:rsidRPr="001442CE">
          <w:rPr>
            <w:rStyle w:val="Hyperlink"/>
            <w:rFonts w:ascii="Arial" w:hAnsi="Arial" w:cs="Arial"/>
          </w:rPr>
          <w:t>Michigan Association on Problem Gambl</w:t>
        </w:r>
        <w:r>
          <w:rPr>
            <w:rStyle w:val="Hyperlink"/>
            <w:rFonts w:ascii="Arial" w:hAnsi="Arial" w:cs="Arial"/>
          </w:rPr>
          <w:t>ing</w:t>
        </w:r>
      </w:hyperlink>
      <w:r>
        <w:rPr>
          <w:rStyle w:val="ui-provider"/>
          <w:rFonts w:ascii="Arial" w:hAnsi="Arial" w:cs="Arial"/>
        </w:rPr>
        <w:t xml:space="preserve">, shares his very personal story about gambling addiction and advice for </w:t>
      </w:r>
      <w:r>
        <w:rPr>
          <w:rStyle w:val="ui-provider"/>
          <w:rFonts w:ascii="Arial" w:hAnsi="Arial" w:cs="Arial"/>
        </w:rPr>
        <w:lastRenderedPageBreak/>
        <w:t>persons who need problem gambling help in a conversation with Williams. (51:50 duration)</w:t>
      </w:r>
    </w:p>
    <w:p w14:paraId="21E78F5B" w14:textId="77777777" w:rsidR="00C13D19" w:rsidRPr="0051102D" w:rsidRDefault="00C13D19" w:rsidP="00B6561B">
      <w:pPr>
        <w:rPr>
          <w:rFonts w:ascii="Arial" w:hAnsi="Arial" w:cs="Arial"/>
          <w:b/>
          <w:sz w:val="16"/>
          <w:szCs w:val="16"/>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2"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2"/>
  </w:num>
  <w:num w:numId="2" w16cid:durableId="1653633024">
    <w:abstractNumId w:val="3"/>
  </w:num>
  <w:num w:numId="3" w16cid:durableId="1772890775">
    <w:abstractNumId w:val="1"/>
  </w:num>
  <w:num w:numId="4" w16cid:durableId="1157501143">
    <w:abstractNumId w:val="7"/>
  </w:num>
  <w:num w:numId="5" w16cid:durableId="118493863">
    <w:abstractNumId w:val="4"/>
  </w:num>
  <w:num w:numId="6" w16cid:durableId="77094850">
    <w:abstractNumId w:val="5"/>
  </w:num>
  <w:num w:numId="7" w16cid:durableId="778531659">
    <w:abstractNumId w:val="8"/>
  </w:num>
  <w:num w:numId="8" w16cid:durableId="50814170">
    <w:abstractNumId w:val="6"/>
  </w:num>
  <w:num w:numId="9" w16cid:durableId="1615471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2AF"/>
    <w:rsid w:val="00097CE1"/>
    <w:rsid w:val="000A2A94"/>
    <w:rsid w:val="000A70CB"/>
    <w:rsid w:val="000B194B"/>
    <w:rsid w:val="000B5B66"/>
    <w:rsid w:val="000C08D8"/>
    <w:rsid w:val="000C39A3"/>
    <w:rsid w:val="000E4135"/>
    <w:rsid w:val="000E4EE9"/>
    <w:rsid w:val="000F1832"/>
    <w:rsid w:val="000F25E0"/>
    <w:rsid w:val="001043ED"/>
    <w:rsid w:val="0010579D"/>
    <w:rsid w:val="00123D20"/>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83B2F"/>
    <w:rsid w:val="00495EF8"/>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1EA9"/>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A1CC2"/>
    <w:rsid w:val="007D1C56"/>
    <w:rsid w:val="007E1545"/>
    <w:rsid w:val="007F2C80"/>
    <w:rsid w:val="007F47B0"/>
    <w:rsid w:val="007F5418"/>
    <w:rsid w:val="00804693"/>
    <w:rsid w:val="008170B7"/>
    <w:rsid w:val="008206E8"/>
    <w:rsid w:val="008410C2"/>
    <w:rsid w:val="00854E9D"/>
    <w:rsid w:val="00857A92"/>
    <w:rsid w:val="008633DE"/>
    <w:rsid w:val="008A14CA"/>
    <w:rsid w:val="008C6B8B"/>
    <w:rsid w:val="008D6714"/>
    <w:rsid w:val="008E6C63"/>
    <w:rsid w:val="008E7382"/>
    <w:rsid w:val="00914303"/>
    <w:rsid w:val="00927C84"/>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13D19"/>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 w:type="character" w:customStyle="1" w:styleId="ui-provider">
    <w:name w:val="ui-provider"/>
    <w:basedOn w:val="DefaultParagraphFont"/>
    <w:rsid w:val="00C13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ubledownmichigan.buzzsprout.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ap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299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2023-04-05T19:11:00Z</dcterms:created>
  <dcterms:modified xsi:type="dcterms:W3CDTF">2023-04-05T19:11:00Z</dcterms:modified>
</cp:coreProperties>
</file>