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6"/>
        <w:gridCol w:w="6964"/>
      </w:tblGrid>
      <w:tr w:rsidR="00716ED8" w14:paraId="3B3D72A9" w14:textId="77777777">
        <w:tc>
          <w:tcPr>
            <w:tcW w:w="2058" w:type="dxa"/>
          </w:tcPr>
          <w:p w14:paraId="62622B89" w14:textId="033A5CFD" w:rsidR="00716ED8" w:rsidRDefault="00094857" w:rsidP="006B1EA9">
            <w:pPr>
              <w:jc w:val="center"/>
              <w:rPr>
                <w:rStyle w:val="Hyperlink"/>
              </w:rPr>
            </w:pPr>
            <w:r>
              <w:rPr>
                <w:noProof/>
              </w:rPr>
              <w:drawing>
                <wp:inline distT="0" distB="0" distL="0" distR="0" wp14:anchorId="5741D522" wp14:editId="56CCA09C">
                  <wp:extent cx="990600" cy="83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  <w:vAlign w:val="center"/>
          </w:tcPr>
          <w:p w14:paraId="6B2D12F7" w14:textId="77777777" w:rsidR="00716ED8" w:rsidRPr="0056091F" w:rsidRDefault="00716ED8">
            <w:pPr>
              <w:pStyle w:val="Heading2"/>
              <w:framePr w:hSpace="0" w:wrap="auto" w:vAnchor="margin" w:hAnchor="text" w:yAlign="inline"/>
              <w:rPr>
                <w:rStyle w:val="Hyperlink"/>
                <w:rFonts w:ascii="Microsoft Sans Serif" w:hAnsi="Microsoft Sans Serif" w:cs="Microsoft Sans Serif"/>
                <w:sz w:val="52"/>
                <w:szCs w:val="52"/>
              </w:rPr>
            </w:pPr>
            <w:r w:rsidRPr="0056091F">
              <w:rPr>
                <w:rFonts w:ascii="Microsoft Sans Serif" w:hAnsi="Microsoft Sans Serif" w:cs="Microsoft Sans Serif"/>
                <w:sz w:val="52"/>
                <w:szCs w:val="52"/>
              </w:rPr>
              <w:t>PRESS RELEASE</w:t>
            </w:r>
          </w:p>
        </w:tc>
      </w:tr>
    </w:tbl>
    <w:p w14:paraId="3F648AA5" w14:textId="77777777" w:rsidR="00EC47D5" w:rsidRPr="0031474A" w:rsidRDefault="0031474A">
      <w:pPr>
        <w:jc w:val="center"/>
        <w:rPr>
          <w:rFonts w:ascii="Book Antiqua" w:hAnsi="Book Antiqua"/>
          <w:b/>
          <w:color w:val="FF0000"/>
          <w:sz w:val="56"/>
          <w:szCs w:val="56"/>
        </w:rPr>
      </w:pPr>
      <w:r w:rsidRPr="0031474A">
        <w:rPr>
          <w:rFonts w:ascii="Book Antiqua" w:hAnsi="Book Antiqua"/>
          <w:b/>
          <w:color w:val="FF0000"/>
          <w:sz w:val="56"/>
          <w:szCs w:val="56"/>
        </w:rPr>
        <w:t xml:space="preserve"> </w:t>
      </w:r>
    </w:p>
    <w:p w14:paraId="0F27C033" w14:textId="77777777" w:rsidR="00716ED8" w:rsidRPr="008E6C63" w:rsidRDefault="00716ED8">
      <w:pPr>
        <w:jc w:val="center"/>
        <w:rPr>
          <w:rFonts w:ascii="Book Antiqua" w:hAnsi="Book Antiqua"/>
          <w:b/>
          <w:sz w:val="52"/>
        </w:rPr>
      </w:pPr>
      <w:r w:rsidRPr="008E6C63">
        <w:rPr>
          <w:rFonts w:ascii="Book Antiqua" w:hAnsi="Book Antiqua"/>
          <w:b/>
          <w:sz w:val="52"/>
        </w:rPr>
        <w:t>Michigan Gaming Control Board</w:t>
      </w:r>
    </w:p>
    <w:p w14:paraId="0305195B" w14:textId="77777777" w:rsidR="00716ED8" w:rsidRPr="0051102D" w:rsidRDefault="00716ED8">
      <w:pPr>
        <w:rPr>
          <w:rFonts w:ascii="Verdana" w:hAnsi="Verdana"/>
          <w:sz w:val="16"/>
          <w:szCs w:val="16"/>
        </w:rPr>
      </w:pPr>
    </w:p>
    <w:tbl>
      <w:tblPr>
        <w:tblW w:w="5000" w:type="pct"/>
        <w:jc w:val="center"/>
        <w:shd w:val="clear" w:color="auto" w:fill="FFCC99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55"/>
        <w:gridCol w:w="4845"/>
      </w:tblGrid>
      <w:tr w:rsidR="00716ED8" w14:paraId="4E039AAE" w14:textId="77777777" w:rsidTr="006B1EA9">
        <w:trPr>
          <w:jc w:val="center"/>
        </w:trPr>
        <w:tc>
          <w:tcPr>
            <w:tcW w:w="0" w:type="auto"/>
            <w:shd w:val="clear" w:color="auto" w:fill="4472C4" w:themeFill="accent1"/>
            <w:vAlign w:val="center"/>
          </w:tcPr>
          <w:p w14:paraId="75AA6DB4" w14:textId="38C68CD0" w:rsidR="00716ED8" w:rsidRPr="006B1EA9" w:rsidRDefault="00716ED8" w:rsidP="00804693">
            <w:pPr>
              <w:rPr>
                <w:color w:val="FFFFFF" w:themeColor="background1"/>
                <w:sz w:val="22"/>
                <w:szCs w:val="22"/>
              </w:rPr>
            </w:pPr>
            <w:r w:rsidRPr="006B1EA9">
              <w:rPr>
                <w:rStyle w:val="Strong"/>
                <w:rFonts w:ascii="Arial" w:hAnsi="Arial" w:cs="Arial"/>
                <w:color w:val="FFFFFF" w:themeColor="background1"/>
                <w:sz w:val="22"/>
                <w:szCs w:val="22"/>
              </w:rPr>
              <w:t>FOR IMMEDIATE RELEASE:</w:t>
            </w:r>
            <w:r w:rsidRPr="006B1EA9">
              <w:rPr>
                <w:rStyle w:val="Strong"/>
                <w:color w:val="FFFFFF" w:themeColor="background1"/>
                <w:sz w:val="22"/>
                <w:szCs w:val="22"/>
              </w:rPr>
              <w:t xml:space="preserve"> </w:t>
            </w:r>
            <w:r w:rsidRPr="006B1EA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br/>
            </w:r>
            <w:r w:rsidR="00094857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March</w:t>
            </w:r>
            <w:r w:rsidR="00BC0787" w:rsidRPr="006B1EA9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D103BA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20</w:t>
            </w:r>
            <w:r w:rsidR="00BC0787" w:rsidRPr="006B1EA9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,</w:t>
            </w:r>
            <w:r w:rsidR="00B6561B" w:rsidRPr="006B1EA9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20</w:t>
            </w:r>
            <w:r w:rsidR="00432433" w:rsidRPr="006B1EA9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2</w:t>
            </w:r>
            <w:r w:rsidR="006B1EA9" w:rsidRPr="006B1EA9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70383645" w14:textId="5CF68DA8" w:rsidR="00716ED8" w:rsidRPr="00927C84" w:rsidRDefault="00716ED8" w:rsidP="006B1EA9">
            <w:pPr>
              <w:pStyle w:val="NormalWeb"/>
              <w:spacing w:before="0" w:beforeAutospacing="0" w:after="0" w:afterAutospacing="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27C84">
              <w:rPr>
                <w:rStyle w:val="Strong"/>
                <w:rFonts w:ascii="Arial" w:hAnsi="Arial" w:cs="Arial"/>
                <w:color w:val="FFFFFF" w:themeColor="background1"/>
                <w:sz w:val="22"/>
                <w:szCs w:val="22"/>
              </w:rPr>
              <w:t>Contact:</w:t>
            </w:r>
            <w:r w:rsidRPr="00927C8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br/>
            </w:r>
            <w:r w:rsidR="006B1EA9" w:rsidRPr="00927C84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MGCB-media</w:t>
            </w:r>
            <w:r w:rsidR="00E228C6" w:rsidRPr="00927C84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@michigan.gov</w:t>
            </w:r>
          </w:p>
          <w:p w14:paraId="3786EB74" w14:textId="77777777" w:rsidR="00716ED8" w:rsidRPr="00BC75DD" w:rsidRDefault="00BC75D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 w:rsidRPr="00927C84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www.michigan.gov/mgcb</w:t>
            </w:r>
          </w:p>
        </w:tc>
      </w:tr>
    </w:tbl>
    <w:p w14:paraId="7B51E15F" w14:textId="77777777" w:rsidR="00716ED8" w:rsidRPr="00F442A5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16"/>
          <w:szCs w:val="16"/>
        </w:rPr>
      </w:pPr>
    </w:p>
    <w:p w14:paraId="0F3FE364" w14:textId="77777777" w:rsidR="00716ED8" w:rsidRPr="00345C74" w:rsidRDefault="00716ED8">
      <w:pPr>
        <w:pStyle w:val="Heading4"/>
        <w:jc w:val="left"/>
        <w:rPr>
          <w:b w:val="0"/>
          <w:bCs w:val="0"/>
          <w:sz w:val="20"/>
          <w:szCs w:val="20"/>
        </w:rPr>
      </w:pPr>
      <w:r w:rsidRPr="00345C74">
        <w:rPr>
          <w:sz w:val="20"/>
          <w:szCs w:val="20"/>
        </w:rPr>
        <w:t xml:space="preserve">Location: </w:t>
      </w:r>
      <w:r w:rsidRPr="00345C74">
        <w:rPr>
          <w:b w:val="0"/>
          <w:bCs w:val="0"/>
          <w:sz w:val="20"/>
          <w:szCs w:val="20"/>
        </w:rPr>
        <w:t>Cadillac Place, 3062 W. Grand Blvd., L-700 – Detroit</w:t>
      </w:r>
    </w:p>
    <w:p w14:paraId="210319C5" w14:textId="5EF93E6F" w:rsidR="00716ED8" w:rsidRPr="00345C74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 w:rsidRPr="00345C74">
        <w:rPr>
          <w:rFonts w:ascii="Verdana" w:hAnsi="Verdana"/>
          <w:b/>
          <w:bCs/>
          <w:sz w:val="20"/>
          <w:szCs w:val="20"/>
        </w:rPr>
        <w:t>Time:</w:t>
      </w:r>
      <w:r w:rsidRPr="00345C74">
        <w:rPr>
          <w:rFonts w:ascii="Verdana" w:hAnsi="Verdana"/>
          <w:sz w:val="20"/>
          <w:szCs w:val="20"/>
        </w:rPr>
        <w:t xml:space="preserve"> </w:t>
      </w:r>
      <w:r w:rsidR="00345C74">
        <w:rPr>
          <w:rFonts w:ascii="Verdana" w:hAnsi="Verdana"/>
          <w:sz w:val="20"/>
          <w:szCs w:val="20"/>
        </w:rPr>
        <w:t>10</w:t>
      </w:r>
      <w:r w:rsidR="00B6561B" w:rsidRPr="00345C74">
        <w:rPr>
          <w:rFonts w:ascii="Verdana" w:hAnsi="Verdana"/>
          <w:sz w:val="20"/>
          <w:szCs w:val="20"/>
        </w:rPr>
        <w:t>:</w:t>
      </w:r>
      <w:r w:rsidR="00D103BA">
        <w:rPr>
          <w:rFonts w:ascii="Verdana" w:hAnsi="Verdana"/>
          <w:sz w:val="20"/>
          <w:szCs w:val="20"/>
        </w:rPr>
        <w:t>3</w:t>
      </w:r>
      <w:r w:rsidR="00B6561B" w:rsidRPr="00345C74">
        <w:rPr>
          <w:rFonts w:ascii="Verdana" w:hAnsi="Verdana"/>
          <w:sz w:val="20"/>
          <w:szCs w:val="20"/>
        </w:rPr>
        <w:t>0</w:t>
      </w:r>
      <w:r w:rsidR="00BB4CA4" w:rsidRPr="00345C74">
        <w:rPr>
          <w:rFonts w:ascii="Verdana" w:hAnsi="Verdana"/>
          <w:sz w:val="20"/>
          <w:szCs w:val="20"/>
        </w:rPr>
        <w:t xml:space="preserve"> </w:t>
      </w:r>
      <w:r w:rsidR="00D0524A" w:rsidRPr="00345C74">
        <w:rPr>
          <w:rFonts w:ascii="Verdana" w:hAnsi="Verdana"/>
          <w:sz w:val="20"/>
          <w:szCs w:val="20"/>
        </w:rPr>
        <w:t>a</w:t>
      </w:r>
      <w:r w:rsidR="00035E72" w:rsidRPr="00345C74">
        <w:rPr>
          <w:rFonts w:ascii="Verdana" w:hAnsi="Verdana"/>
          <w:sz w:val="20"/>
          <w:szCs w:val="20"/>
        </w:rPr>
        <w:t>.</w:t>
      </w:r>
      <w:r w:rsidR="00BB4CA4" w:rsidRPr="00345C74">
        <w:rPr>
          <w:rFonts w:ascii="Verdana" w:hAnsi="Verdana"/>
          <w:sz w:val="20"/>
          <w:szCs w:val="20"/>
        </w:rPr>
        <w:t>m.</w:t>
      </w:r>
      <w:r w:rsidRPr="00345C74">
        <w:rPr>
          <w:rFonts w:ascii="Verdana" w:hAnsi="Verdana"/>
          <w:sz w:val="20"/>
          <w:szCs w:val="20"/>
        </w:rPr>
        <w:t xml:space="preserve"> </w:t>
      </w:r>
    </w:p>
    <w:p w14:paraId="0F005504" w14:textId="77777777" w:rsidR="00966852" w:rsidRPr="00F442A5" w:rsidRDefault="00966852" w:rsidP="002E73D0">
      <w:pPr>
        <w:ind w:left="360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1ACA21A5" w14:textId="2C491420" w:rsidR="00B6561B" w:rsidRPr="00345C74" w:rsidRDefault="00B6561B" w:rsidP="006B1EA9">
      <w:pPr>
        <w:tabs>
          <w:tab w:val="left" w:pos="7560"/>
        </w:tabs>
        <w:rPr>
          <w:rFonts w:ascii="Verdana" w:hAnsi="Verdana"/>
          <w:b/>
          <w:sz w:val="20"/>
          <w:szCs w:val="20"/>
        </w:rPr>
      </w:pPr>
      <w:r w:rsidRPr="00345C74">
        <w:rPr>
          <w:rFonts w:ascii="Verdana" w:hAnsi="Verdana"/>
          <w:b/>
          <w:sz w:val="20"/>
          <w:szCs w:val="20"/>
        </w:rPr>
        <w:t>For Immediate Release:</w:t>
      </w:r>
      <w:r w:rsidR="006B1EA9">
        <w:rPr>
          <w:rFonts w:ascii="Verdana" w:hAnsi="Verdana"/>
          <w:b/>
          <w:sz w:val="20"/>
          <w:szCs w:val="20"/>
        </w:rPr>
        <w:tab/>
      </w:r>
    </w:p>
    <w:p w14:paraId="2ED14DBB" w14:textId="77777777" w:rsidR="00094857" w:rsidRDefault="00094857" w:rsidP="00094857">
      <w:pPr>
        <w:rPr>
          <w:rFonts w:ascii="Arial" w:hAnsi="Arial" w:cs="Arial"/>
          <w:b/>
          <w:bCs/>
          <w:sz w:val="36"/>
          <w:szCs w:val="36"/>
        </w:rPr>
      </w:pPr>
    </w:p>
    <w:p w14:paraId="571262D9" w14:textId="2E9FC930" w:rsidR="00094857" w:rsidRDefault="00094857" w:rsidP="00094857">
      <w:pPr>
        <w:rPr>
          <w:rFonts w:ascii="Arial" w:hAnsi="Arial" w:cs="Arial"/>
          <w:b/>
          <w:bCs/>
          <w:sz w:val="36"/>
          <w:szCs w:val="36"/>
        </w:rPr>
      </w:pPr>
      <w:r w:rsidRPr="001800A1">
        <w:rPr>
          <w:rFonts w:ascii="Arial" w:hAnsi="Arial" w:cs="Arial"/>
          <w:b/>
          <w:bCs/>
          <w:sz w:val="36"/>
          <w:szCs w:val="36"/>
        </w:rPr>
        <w:t>Michigan internet gaming and sports betting operators report combined $170.8</w:t>
      </w:r>
      <w:r>
        <w:rPr>
          <w:rFonts w:ascii="Arial" w:hAnsi="Arial" w:cs="Arial"/>
          <w:b/>
          <w:bCs/>
          <w:sz w:val="36"/>
          <w:szCs w:val="36"/>
        </w:rPr>
        <w:t>3</w:t>
      </w:r>
      <w:r w:rsidRPr="001800A1">
        <w:rPr>
          <w:rFonts w:ascii="Arial" w:hAnsi="Arial" w:cs="Arial"/>
          <w:b/>
          <w:bCs/>
          <w:sz w:val="36"/>
          <w:szCs w:val="36"/>
        </w:rPr>
        <w:t xml:space="preserve"> million February total gross receipts</w:t>
      </w:r>
    </w:p>
    <w:p w14:paraId="42F61080" w14:textId="77777777" w:rsidR="00094857" w:rsidRPr="00094857" w:rsidRDefault="00094857" w:rsidP="00094857">
      <w:pPr>
        <w:rPr>
          <w:rFonts w:ascii="Arial" w:hAnsi="Arial" w:cs="Arial"/>
          <w:b/>
          <w:bCs/>
          <w:sz w:val="20"/>
          <w:szCs w:val="20"/>
        </w:rPr>
      </w:pPr>
    </w:p>
    <w:p w14:paraId="776709C0" w14:textId="655444F6" w:rsidR="00094857" w:rsidRPr="00094857" w:rsidRDefault="00094857" w:rsidP="00094857">
      <w:pPr>
        <w:rPr>
          <w:rFonts w:ascii="Arial" w:hAnsi="Arial" w:cs="Arial"/>
        </w:rPr>
      </w:pPr>
      <w:r w:rsidRPr="00094857">
        <w:rPr>
          <w:rFonts w:ascii="Arial" w:hAnsi="Arial" w:cs="Arial"/>
          <w:b/>
          <w:bCs/>
        </w:rPr>
        <w:t xml:space="preserve">Detroit, March </w:t>
      </w:r>
      <w:r w:rsidR="00D103BA">
        <w:rPr>
          <w:rFonts w:ascii="Arial" w:hAnsi="Arial" w:cs="Arial"/>
          <w:b/>
          <w:bCs/>
        </w:rPr>
        <w:t>20</w:t>
      </w:r>
      <w:r w:rsidRPr="00094857">
        <w:rPr>
          <w:rFonts w:ascii="Arial" w:hAnsi="Arial" w:cs="Arial"/>
          <w:b/>
          <w:bCs/>
        </w:rPr>
        <w:t>, 2023</w:t>
      </w:r>
      <w:r w:rsidRPr="00094857">
        <w:rPr>
          <w:rFonts w:ascii="Arial" w:hAnsi="Arial" w:cs="Arial"/>
        </w:rPr>
        <w:t xml:space="preserve"> – Michigan commercial and tribal operators reported combined total internet gaming gross receipts and internet sports betting gross receipts of $170.83 million during February. Receipts fell 8.8% compared with January results of $187.33 million.</w:t>
      </w:r>
    </w:p>
    <w:p w14:paraId="65D7FD4A" w14:textId="77777777" w:rsidR="00094857" w:rsidRPr="00094857" w:rsidRDefault="00094857" w:rsidP="00094857">
      <w:pPr>
        <w:rPr>
          <w:rFonts w:ascii="Arial" w:hAnsi="Arial" w:cs="Arial"/>
        </w:rPr>
      </w:pPr>
    </w:p>
    <w:p w14:paraId="46EE12AB" w14:textId="2A1CF599" w:rsidR="00094857" w:rsidRPr="00094857" w:rsidRDefault="00094857" w:rsidP="00094857">
      <w:pPr>
        <w:rPr>
          <w:rFonts w:ascii="Arial" w:hAnsi="Arial" w:cs="Arial"/>
        </w:rPr>
      </w:pPr>
      <w:r w:rsidRPr="00094857">
        <w:rPr>
          <w:rFonts w:ascii="Arial" w:hAnsi="Arial" w:cs="Arial"/>
        </w:rPr>
        <w:t>Internet gaming gross receipts for February were $148.17 million. Internet gaming declined 3.6% compared with the Michigan record gross receipts of $153.69 million reported in January.</w:t>
      </w:r>
    </w:p>
    <w:p w14:paraId="3406AFC5" w14:textId="77777777" w:rsidR="00094857" w:rsidRPr="00094857" w:rsidRDefault="00094857" w:rsidP="00094857">
      <w:pPr>
        <w:rPr>
          <w:rFonts w:ascii="Arial" w:hAnsi="Arial" w:cs="Arial"/>
        </w:rPr>
      </w:pPr>
    </w:p>
    <w:p w14:paraId="364F1725" w14:textId="7F91F373" w:rsidR="00094857" w:rsidRPr="00094857" w:rsidRDefault="00094857" w:rsidP="00094857">
      <w:pPr>
        <w:rPr>
          <w:rFonts w:ascii="Arial" w:hAnsi="Arial" w:cs="Arial"/>
        </w:rPr>
      </w:pPr>
      <w:r w:rsidRPr="00094857">
        <w:rPr>
          <w:rFonts w:ascii="Arial" w:hAnsi="Arial" w:cs="Arial"/>
        </w:rPr>
        <w:t>Gross sports betting receipts were $22.66 million compared with $33.64 million reported in January for a 32.6% decrease.</w:t>
      </w:r>
    </w:p>
    <w:p w14:paraId="1D358FA5" w14:textId="77777777" w:rsidR="00094857" w:rsidRPr="00094857" w:rsidRDefault="00094857" w:rsidP="00094857">
      <w:pPr>
        <w:rPr>
          <w:rFonts w:ascii="Arial" w:hAnsi="Arial" w:cs="Arial"/>
        </w:rPr>
      </w:pPr>
    </w:p>
    <w:p w14:paraId="1337A4EF" w14:textId="2AD47300" w:rsidR="00094857" w:rsidRPr="00094857" w:rsidRDefault="00094857" w:rsidP="00094857">
      <w:pPr>
        <w:rPr>
          <w:rFonts w:ascii="Arial" w:hAnsi="Arial" w:cs="Arial"/>
        </w:rPr>
      </w:pPr>
      <w:r w:rsidRPr="00094857">
        <w:rPr>
          <w:rFonts w:ascii="Arial" w:hAnsi="Arial" w:cs="Arial"/>
        </w:rPr>
        <w:t>Combined total adjusted internet gaming gross receipts and adjusted internet sports betting gross receipts were $141.73 million, falling 9.2% from January receipts of $156.17 million.</w:t>
      </w:r>
    </w:p>
    <w:p w14:paraId="334C9A79" w14:textId="77777777" w:rsidR="00094857" w:rsidRPr="00094857" w:rsidRDefault="00094857" w:rsidP="00094857">
      <w:pPr>
        <w:rPr>
          <w:rFonts w:ascii="Arial" w:hAnsi="Arial" w:cs="Arial"/>
        </w:rPr>
      </w:pPr>
    </w:p>
    <w:p w14:paraId="58BF2B08" w14:textId="1CCED4C6" w:rsidR="00094857" w:rsidRPr="00094857" w:rsidRDefault="00094857" w:rsidP="00094857">
      <w:pPr>
        <w:rPr>
          <w:rFonts w:ascii="Arial" w:hAnsi="Arial" w:cs="Arial"/>
        </w:rPr>
      </w:pPr>
      <w:r w:rsidRPr="00094857">
        <w:rPr>
          <w:rFonts w:ascii="Arial" w:hAnsi="Arial" w:cs="Arial"/>
        </w:rPr>
        <w:t>Internet gaming adjusted gross receipts were $133.28 million, falling 3.7% from January’s $138.32 million in receipts. Monthly internet gaming adjusted gross receipts were 20.6% higher than February 2022’s adjusted gross receipts of $110.56 million.</w:t>
      </w:r>
    </w:p>
    <w:p w14:paraId="45C567FA" w14:textId="77777777" w:rsidR="00094857" w:rsidRPr="00094857" w:rsidRDefault="00094857" w:rsidP="00094857">
      <w:pPr>
        <w:rPr>
          <w:rFonts w:ascii="Arial" w:hAnsi="Arial" w:cs="Arial"/>
        </w:rPr>
      </w:pPr>
    </w:p>
    <w:p w14:paraId="38E2B350" w14:textId="4132B691" w:rsidR="00094857" w:rsidRPr="00094857" w:rsidRDefault="00094857" w:rsidP="00094857">
      <w:pPr>
        <w:rPr>
          <w:rFonts w:ascii="Arial" w:hAnsi="Arial" w:cs="Arial"/>
        </w:rPr>
      </w:pPr>
      <w:r w:rsidRPr="00094857">
        <w:rPr>
          <w:rFonts w:ascii="Arial" w:hAnsi="Arial" w:cs="Arial"/>
        </w:rPr>
        <w:t>Commercial and tribal operators reported a combined total of $8.45 million in internet sports betting adjusted gross receipts. This was a 52.6% decline from January’s total of $17.85 million. Internet sports betting adjusted gross receipts increased by $12.4 million compared with the $3.95 million loss recorded in February 2022.</w:t>
      </w:r>
    </w:p>
    <w:p w14:paraId="51929CDC" w14:textId="77777777" w:rsidR="00094857" w:rsidRPr="00094857" w:rsidRDefault="00094857" w:rsidP="00094857">
      <w:pPr>
        <w:rPr>
          <w:rFonts w:ascii="Arial" w:hAnsi="Arial" w:cs="Arial"/>
        </w:rPr>
      </w:pPr>
    </w:p>
    <w:p w14:paraId="6C05E2FF" w14:textId="00988901" w:rsidR="00094857" w:rsidRPr="00094857" w:rsidRDefault="00094857" w:rsidP="00094857">
      <w:pPr>
        <w:rPr>
          <w:rFonts w:ascii="Arial" w:hAnsi="Arial" w:cs="Arial"/>
        </w:rPr>
      </w:pPr>
      <w:r w:rsidRPr="00094857">
        <w:rPr>
          <w:rFonts w:ascii="Arial" w:hAnsi="Arial" w:cs="Arial"/>
        </w:rPr>
        <w:t>For the first two months of 2023, internet gaming adjusted gross receipts totaled $271.6 million, and internet sports betting adjusted gross receipts were $26.3 million. Michigan operators reported $219.7 million in internet gaming adjusted gross receipts and $15.2 million in internet sports betting adjusted gross receipts in the first two months of 2022.</w:t>
      </w:r>
    </w:p>
    <w:p w14:paraId="76CCA01C" w14:textId="77777777" w:rsidR="00094857" w:rsidRPr="00094857" w:rsidRDefault="00094857" w:rsidP="00094857">
      <w:pPr>
        <w:rPr>
          <w:rFonts w:ascii="Arial" w:hAnsi="Arial" w:cs="Arial"/>
        </w:rPr>
      </w:pPr>
    </w:p>
    <w:p w14:paraId="38E22FCC" w14:textId="23274D95" w:rsidR="00094857" w:rsidRPr="00094857" w:rsidRDefault="00094857" w:rsidP="00094857">
      <w:pPr>
        <w:rPr>
          <w:rFonts w:ascii="Arial" w:hAnsi="Arial" w:cs="Arial"/>
        </w:rPr>
      </w:pPr>
      <w:r w:rsidRPr="00094857">
        <w:rPr>
          <w:rFonts w:ascii="Arial" w:hAnsi="Arial" w:cs="Arial"/>
        </w:rPr>
        <w:t>Total handle of $344.9 million declined 27.5% from January 2023’s total handle of $475.6 million. Total handle was down 13.4% from the $398.4 million handle reported in February 2022.</w:t>
      </w:r>
    </w:p>
    <w:p w14:paraId="35D81270" w14:textId="77777777" w:rsidR="00094857" w:rsidRPr="00094857" w:rsidRDefault="00094857" w:rsidP="00094857">
      <w:pPr>
        <w:rPr>
          <w:rFonts w:ascii="Arial" w:hAnsi="Arial" w:cs="Arial"/>
        </w:rPr>
      </w:pPr>
    </w:p>
    <w:p w14:paraId="585072F5" w14:textId="77777777" w:rsidR="00094857" w:rsidRPr="00094857" w:rsidRDefault="00094857" w:rsidP="00094857">
      <w:pPr>
        <w:rPr>
          <w:rFonts w:ascii="Arial" w:hAnsi="Arial" w:cs="Arial"/>
          <w:b/>
          <w:bCs/>
        </w:rPr>
      </w:pPr>
      <w:r w:rsidRPr="00094857">
        <w:rPr>
          <w:rFonts w:ascii="Arial" w:hAnsi="Arial" w:cs="Arial"/>
          <w:b/>
          <w:bCs/>
        </w:rPr>
        <w:t>February taxes and payments</w:t>
      </w:r>
    </w:p>
    <w:p w14:paraId="215716A5" w14:textId="3D482D34" w:rsidR="00094857" w:rsidRPr="00094857" w:rsidRDefault="00094857" w:rsidP="00094857">
      <w:pPr>
        <w:rPr>
          <w:rFonts w:ascii="Arial" w:hAnsi="Arial" w:cs="Arial"/>
        </w:rPr>
      </w:pPr>
      <w:r w:rsidRPr="00094857">
        <w:rPr>
          <w:rFonts w:ascii="Arial" w:hAnsi="Arial" w:cs="Arial"/>
        </w:rPr>
        <w:t>The operators submitted $26.9 million in taxes and payments to the State of Michigan during February including:</w:t>
      </w:r>
    </w:p>
    <w:p w14:paraId="14FAE78E" w14:textId="77777777" w:rsidR="00094857" w:rsidRPr="00094857" w:rsidRDefault="00094857" w:rsidP="00094857">
      <w:pPr>
        <w:rPr>
          <w:rFonts w:ascii="Arial" w:hAnsi="Arial" w:cs="Arial"/>
        </w:rPr>
      </w:pPr>
    </w:p>
    <w:p w14:paraId="250C722A" w14:textId="77777777" w:rsidR="00094857" w:rsidRPr="00094857" w:rsidRDefault="00094857" w:rsidP="00094857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  <w:sz w:val="24"/>
          <w:szCs w:val="24"/>
        </w:rPr>
      </w:pPr>
      <w:r w:rsidRPr="00094857">
        <w:rPr>
          <w:rFonts w:cs="Arial"/>
          <w:sz w:val="24"/>
          <w:szCs w:val="24"/>
        </w:rPr>
        <w:t>Internet gaming taxes and fees: $26.3 million</w:t>
      </w:r>
    </w:p>
    <w:p w14:paraId="69846DE7" w14:textId="77777777" w:rsidR="00094857" w:rsidRPr="00094857" w:rsidRDefault="00094857" w:rsidP="00094857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  <w:sz w:val="24"/>
          <w:szCs w:val="24"/>
        </w:rPr>
      </w:pPr>
      <w:r w:rsidRPr="00094857">
        <w:rPr>
          <w:rFonts w:cs="Arial"/>
          <w:sz w:val="24"/>
          <w:szCs w:val="24"/>
        </w:rPr>
        <w:t>Internet sports betting taxes and fees: $583,263</w:t>
      </w:r>
    </w:p>
    <w:p w14:paraId="18791D0C" w14:textId="7891E6E2" w:rsidR="00094857" w:rsidRPr="00094857" w:rsidRDefault="00094857" w:rsidP="00094857">
      <w:pPr>
        <w:rPr>
          <w:rFonts w:ascii="Arial" w:hAnsi="Arial" w:cs="Arial"/>
        </w:rPr>
      </w:pPr>
      <w:r w:rsidRPr="00094857">
        <w:rPr>
          <w:rFonts w:ascii="Arial" w:hAnsi="Arial" w:cs="Arial"/>
        </w:rPr>
        <w:t>The three Detroit casinos reported paying the City of Detroit $7.3 million in wagering taxes and municipal services fees during February including:</w:t>
      </w:r>
    </w:p>
    <w:p w14:paraId="10536411" w14:textId="77777777" w:rsidR="00094857" w:rsidRPr="00094857" w:rsidRDefault="00094857" w:rsidP="00094857">
      <w:pPr>
        <w:rPr>
          <w:rFonts w:ascii="Arial" w:hAnsi="Arial" w:cs="Arial"/>
        </w:rPr>
      </w:pPr>
    </w:p>
    <w:p w14:paraId="795C1EF0" w14:textId="77777777" w:rsidR="00094857" w:rsidRPr="00094857" w:rsidRDefault="00094857" w:rsidP="00094857">
      <w:pPr>
        <w:pStyle w:val="ListParagraph"/>
        <w:numPr>
          <w:ilvl w:val="0"/>
          <w:numId w:val="11"/>
        </w:numPr>
        <w:spacing w:after="160" w:line="259" w:lineRule="auto"/>
        <w:rPr>
          <w:rFonts w:cs="Arial"/>
          <w:sz w:val="24"/>
          <w:szCs w:val="24"/>
        </w:rPr>
      </w:pPr>
      <w:r w:rsidRPr="00094857">
        <w:rPr>
          <w:rFonts w:cs="Arial"/>
          <w:sz w:val="24"/>
          <w:szCs w:val="24"/>
        </w:rPr>
        <w:t>Internet gaming taxes and fees: $7 million</w:t>
      </w:r>
    </w:p>
    <w:p w14:paraId="5E1BC543" w14:textId="77777777" w:rsidR="00094857" w:rsidRPr="00094857" w:rsidRDefault="00094857" w:rsidP="00094857">
      <w:pPr>
        <w:pStyle w:val="ListParagraph"/>
        <w:numPr>
          <w:ilvl w:val="0"/>
          <w:numId w:val="11"/>
        </w:numPr>
        <w:spacing w:after="160" w:line="259" w:lineRule="auto"/>
        <w:rPr>
          <w:rFonts w:cs="Arial"/>
          <w:sz w:val="24"/>
          <w:szCs w:val="24"/>
        </w:rPr>
      </w:pPr>
      <w:r w:rsidRPr="00094857">
        <w:rPr>
          <w:rFonts w:cs="Arial"/>
          <w:sz w:val="24"/>
          <w:szCs w:val="24"/>
        </w:rPr>
        <w:t>Internet sports betting taxes and fees: $337,534</w:t>
      </w:r>
    </w:p>
    <w:p w14:paraId="6A6B80B7" w14:textId="6A328C4E" w:rsidR="00094857" w:rsidRPr="00094857" w:rsidRDefault="00094857" w:rsidP="00094857">
      <w:pPr>
        <w:rPr>
          <w:rFonts w:ascii="Arial" w:hAnsi="Arial" w:cs="Arial"/>
        </w:rPr>
      </w:pPr>
      <w:r w:rsidRPr="00094857">
        <w:rPr>
          <w:rFonts w:ascii="Arial" w:hAnsi="Arial" w:cs="Arial"/>
        </w:rPr>
        <w:t>Tribal operators reported making $3 million in payments to governing bodies in February.</w:t>
      </w:r>
    </w:p>
    <w:p w14:paraId="303D8C04" w14:textId="77777777" w:rsidR="00094857" w:rsidRPr="00094857" w:rsidRDefault="00094857" w:rsidP="00094857">
      <w:pPr>
        <w:rPr>
          <w:rFonts w:ascii="Arial" w:hAnsi="Arial" w:cs="Arial"/>
        </w:rPr>
      </w:pPr>
    </w:p>
    <w:p w14:paraId="3935E378" w14:textId="44313CB6" w:rsidR="00094857" w:rsidRPr="00094857" w:rsidRDefault="00094857" w:rsidP="00094857">
      <w:pPr>
        <w:rPr>
          <w:rFonts w:ascii="Arial" w:hAnsi="Arial" w:cs="Arial"/>
        </w:rPr>
      </w:pPr>
      <w:r w:rsidRPr="00094857">
        <w:rPr>
          <w:rFonts w:ascii="Arial" w:hAnsi="Arial" w:cs="Arial"/>
        </w:rPr>
        <w:t xml:space="preserve">An online gaming and sports betting revenue distribution </w:t>
      </w:r>
      <w:hyperlink r:id="rId8" w:history="1">
        <w:r w:rsidRPr="00094857">
          <w:rPr>
            <w:rStyle w:val="Hyperlink"/>
            <w:rFonts w:ascii="Arial" w:hAnsi="Arial" w:cs="Arial"/>
          </w:rPr>
          <w:t>table</w:t>
        </w:r>
      </w:hyperlink>
      <w:r w:rsidRPr="00094857">
        <w:rPr>
          <w:rFonts w:ascii="Arial" w:hAnsi="Arial" w:cs="Arial"/>
        </w:rPr>
        <w:t xml:space="preserve"> is available on the agency’s website.</w:t>
      </w:r>
    </w:p>
    <w:p w14:paraId="2FF2E1FE" w14:textId="77777777" w:rsidR="00094857" w:rsidRPr="00094857" w:rsidRDefault="00094857" w:rsidP="00094857">
      <w:pPr>
        <w:rPr>
          <w:rFonts w:ascii="Arial" w:hAnsi="Arial" w:cs="Arial"/>
        </w:rPr>
      </w:pPr>
    </w:p>
    <w:p w14:paraId="63643727" w14:textId="77777777" w:rsidR="00094857" w:rsidRPr="00094857" w:rsidRDefault="00094857" w:rsidP="00094857">
      <w:pPr>
        <w:rPr>
          <w:rFonts w:ascii="Arial" w:hAnsi="Arial" w:cs="Arial"/>
        </w:rPr>
      </w:pPr>
      <w:r w:rsidRPr="00094857">
        <w:rPr>
          <w:rFonts w:ascii="Arial" w:hAnsi="Arial" w:cs="Arial"/>
        </w:rPr>
        <w:t xml:space="preserve">During February, a total of 15 operators offered internet gaming and internet sports betting. Details for each operator’s internet gaming and internet sports betting </w:t>
      </w:r>
      <w:hyperlink r:id="rId9" w:history="1">
        <w:r w:rsidRPr="00094857">
          <w:rPr>
            <w:rStyle w:val="Hyperlink"/>
            <w:rFonts w:ascii="Arial" w:hAnsi="Arial" w:cs="Arial"/>
          </w:rPr>
          <w:t>results</w:t>
        </w:r>
      </w:hyperlink>
      <w:r w:rsidRPr="00094857">
        <w:rPr>
          <w:rFonts w:ascii="Arial" w:hAnsi="Arial" w:cs="Arial"/>
        </w:rPr>
        <w:t xml:space="preserve"> are available on the MGCB website.</w:t>
      </w:r>
    </w:p>
    <w:p w14:paraId="57796A57" w14:textId="77777777" w:rsidR="00B6561B" w:rsidRPr="0051102D" w:rsidRDefault="00B6561B" w:rsidP="00B6561B">
      <w:pPr>
        <w:rPr>
          <w:rFonts w:ascii="Arial" w:hAnsi="Arial" w:cs="Arial"/>
          <w:b/>
          <w:sz w:val="16"/>
          <w:szCs w:val="16"/>
        </w:rPr>
      </w:pPr>
    </w:p>
    <w:p w14:paraId="67F17CAC" w14:textId="77777777" w:rsidR="00345C74" w:rsidRPr="0051102D" w:rsidRDefault="00345C74" w:rsidP="00345C74">
      <w:pPr>
        <w:rPr>
          <w:rFonts w:ascii="Arial" w:hAnsi="Arial" w:cs="Arial"/>
          <w:sz w:val="16"/>
          <w:szCs w:val="16"/>
        </w:rPr>
      </w:pPr>
    </w:p>
    <w:p w14:paraId="07AFB230" w14:textId="77777777" w:rsidR="0051102D" w:rsidRDefault="00345C74" w:rsidP="0051102D">
      <w:pPr>
        <w:rPr>
          <w:rStyle w:val="Emphasis"/>
          <w:rFonts w:ascii="Arial" w:hAnsi="Arial" w:cs="Arial"/>
          <w:color w:val="333333"/>
          <w:sz w:val="16"/>
          <w:szCs w:val="16"/>
          <w:lang w:val="en"/>
        </w:rPr>
      </w:pPr>
      <w:r w:rsidRPr="0051102D">
        <w:rPr>
          <w:color w:val="333333"/>
          <w:sz w:val="16"/>
          <w:szCs w:val="16"/>
          <w:lang w:val="en"/>
        </w:rPr>
        <w:t>"</w:t>
      </w:r>
      <w:r w:rsidRPr="0051102D">
        <w:rPr>
          <w:rStyle w:val="Emphasis"/>
          <w:rFonts w:ascii="Arial" w:hAnsi="Arial" w:cs="Arial"/>
          <w:color w:val="333333"/>
          <w:sz w:val="16"/>
          <w:szCs w:val="16"/>
          <w:lang w:val="en"/>
        </w:rPr>
        <w:t>The Michigan Gaming Control Board shall ensure the conduct of fair and honest gaming to protect the interests of the citizens of the State of Michigan."</w:t>
      </w:r>
    </w:p>
    <w:p w14:paraId="3F0713FF" w14:textId="752AD80F" w:rsidR="0031474A" w:rsidRPr="0051102D" w:rsidRDefault="0031474A" w:rsidP="0051102D">
      <w:pPr>
        <w:jc w:val="center"/>
        <w:rPr>
          <w:rFonts w:ascii="Arial" w:eastAsia="Calibri" w:hAnsi="Arial" w:cs="Arial"/>
          <w:sz w:val="16"/>
          <w:szCs w:val="16"/>
        </w:rPr>
      </w:pPr>
      <w:r w:rsidRPr="0051102D">
        <w:rPr>
          <w:rFonts w:ascii="Arial" w:eastAsia="Calibri" w:hAnsi="Arial" w:cs="Arial"/>
          <w:sz w:val="16"/>
          <w:szCs w:val="16"/>
        </w:rPr>
        <w:t>####</w:t>
      </w:r>
    </w:p>
    <w:sectPr w:rsidR="0031474A" w:rsidRPr="0051102D" w:rsidSect="00966852">
      <w:pgSz w:w="12240" w:h="15840" w:code="1"/>
      <w:pgMar w:top="720" w:right="1440" w:bottom="994" w:left="1800" w:header="288" w:footer="288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B261" w14:textId="77777777" w:rsidR="00854E9D" w:rsidRDefault="00854E9D">
      <w:r>
        <w:separator/>
      </w:r>
    </w:p>
  </w:endnote>
  <w:endnote w:type="continuationSeparator" w:id="0">
    <w:p w14:paraId="57D40854" w14:textId="77777777" w:rsidR="00854E9D" w:rsidRDefault="0085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CF60" w14:textId="77777777" w:rsidR="00854E9D" w:rsidRDefault="00854E9D">
      <w:r>
        <w:separator/>
      </w:r>
    </w:p>
  </w:footnote>
  <w:footnote w:type="continuationSeparator" w:id="0">
    <w:p w14:paraId="2FAB7106" w14:textId="77777777" w:rsidR="00854E9D" w:rsidRDefault="0085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292"/>
    <w:multiLevelType w:val="hybridMultilevel"/>
    <w:tmpl w:val="128E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F41"/>
    <w:multiLevelType w:val="hybridMultilevel"/>
    <w:tmpl w:val="A80A0DD2"/>
    <w:lvl w:ilvl="0" w:tplc="311A128C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2" w15:restartNumberingAfterBreak="0">
    <w:nsid w:val="18E00B34"/>
    <w:multiLevelType w:val="hybridMultilevel"/>
    <w:tmpl w:val="1150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071D6"/>
    <w:multiLevelType w:val="hybridMultilevel"/>
    <w:tmpl w:val="C56EAB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2182A"/>
    <w:multiLevelType w:val="hybridMultilevel"/>
    <w:tmpl w:val="C56EAB2C"/>
    <w:lvl w:ilvl="0" w:tplc="311A1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02195"/>
    <w:multiLevelType w:val="hybridMultilevel"/>
    <w:tmpl w:val="ECA88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76769"/>
    <w:multiLevelType w:val="hybridMultilevel"/>
    <w:tmpl w:val="DDE2D0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431520"/>
    <w:multiLevelType w:val="hybridMultilevel"/>
    <w:tmpl w:val="4AC4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E7477"/>
    <w:multiLevelType w:val="hybridMultilevel"/>
    <w:tmpl w:val="E32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B5A8F"/>
    <w:multiLevelType w:val="hybridMultilevel"/>
    <w:tmpl w:val="0DAE4A44"/>
    <w:lvl w:ilvl="0" w:tplc="8D849D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A6984"/>
    <w:multiLevelType w:val="hybridMultilevel"/>
    <w:tmpl w:val="F438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335108">
    <w:abstractNumId w:val="3"/>
  </w:num>
  <w:num w:numId="2" w16cid:durableId="1653633024">
    <w:abstractNumId w:val="4"/>
  </w:num>
  <w:num w:numId="3" w16cid:durableId="1772890775">
    <w:abstractNumId w:val="1"/>
  </w:num>
  <w:num w:numId="4" w16cid:durableId="1157501143">
    <w:abstractNumId w:val="9"/>
  </w:num>
  <w:num w:numId="5" w16cid:durableId="118493863">
    <w:abstractNumId w:val="6"/>
  </w:num>
  <w:num w:numId="6" w16cid:durableId="77094850">
    <w:abstractNumId w:val="7"/>
  </w:num>
  <w:num w:numId="7" w16cid:durableId="778531659">
    <w:abstractNumId w:val="10"/>
  </w:num>
  <w:num w:numId="8" w16cid:durableId="50814170">
    <w:abstractNumId w:val="8"/>
  </w:num>
  <w:num w:numId="9" w16cid:durableId="161547160">
    <w:abstractNumId w:val="0"/>
  </w:num>
  <w:num w:numId="10" w16cid:durableId="817963904">
    <w:abstractNumId w:val="5"/>
  </w:num>
  <w:num w:numId="11" w16cid:durableId="421755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D8"/>
    <w:rsid w:val="00035E72"/>
    <w:rsid w:val="00037725"/>
    <w:rsid w:val="00037D1E"/>
    <w:rsid w:val="00043E27"/>
    <w:rsid w:val="0006018C"/>
    <w:rsid w:val="000657D2"/>
    <w:rsid w:val="0007415A"/>
    <w:rsid w:val="000904B6"/>
    <w:rsid w:val="00091870"/>
    <w:rsid w:val="00094857"/>
    <w:rsid w:val="00097CE1"/>
    <w:rsid w:val="000A2A94"/>
    <w:rsid w:val="000A70CB"/>
    <w:rsid w:val="000B194B"/>
    <w:rsid w:val="000B5B66"/>
    <w:rsid w:val="000C08D8"/>
    <w:rsid w:val="000C39A3"/>
    <w:rsid w:val="000E4135"/>
    <w:rsid w:val="000E4EE9"/>
    <w:rsid w:val="000F1832"/>
    <w:rsid w:val="000F25E0"/>
    <w:rsid w:val="001043ED"/>
    <w:rsid w:val="0010579D"/>
    <w:rsid w:val="00123D20"/>
    <w:rsid w:val="00125DAA"/>
    <w:rsid w:val="00134833"/>
    <w:rsid w:val="00137256"/>
    <w:rsid w:val="00150EA5"/>
    <w:rsid w:val="001541B3"/>
    <w:rsid w:val="00160198"/>
    <w:rsid w:val="00164F0F"/>
    <w:rsid w:val="00176957"/>
    <w:rsid w:val="00177AB2"/>
    <w:rsid w:val="00186419"/>
    <w:rsid w:val="00196FFE"/>
    <w:rsid w:val="001B7774"/>
    <w:rsid w:val="001D38BE"/>
    <w:rsid w:val="001F1F73"/>
    <w:rsid w:val="00200EE6"/>
    <w:rsid w:val="00202BD1"/>
    <w:rsid w:val="002164BB"/>
    <w:rsid w:val="00231171"/>
    <w:rsid w:val="00266369"/>
    <w:rsid w:val="00267877"/>
    <w:rsid w:val="00280D28"/>
    <w:rsid w:val="002901F8"/>
    <w:rsid w:val="002C7198"/>
    <w:rsid w:val="002D214E"/>
    <w:rsid w:val="002D745A"/>
    <w:rsid w:val="002E73D0"/>
    <w:rsid w:val="002F4FC6"/>
    <w:rsid w:val="002F50BF"/>
    <w:rsid w:val="002F53A8"/>
    <w:rsid w:val="00302E6E"/>
    <w:rsid w:val="003057BF"/>
    <w:rsid w:val="0031474A"/>
    <w:rsid w:val="00322E79"/>
    <w:rsid w:val="00325554"/>
    <w:rsid w:val="00345C74"/>
    <w:rsid w:val="00356E90"/>
    <w:rsid w:val="00362093"/>
    <w:rsid w:val="003826A4"/>
    <w:rsid w:val="00382D2D"/>
    <w:rsid w:val="003B2AC6"/>
    <w:rsid w:val="003B3A36"/>
    <w:rsid w:val="003C5F29"/>
    <w:rsid w:val="003E239D"/>
    <w:rsid w:val="003F4455"/>
    <w:rsid w:val="0040761D"/>
    <w:rsid w:val="00432433"/>
    <w:rsid w:val="0043685B"/>
    <w:rsid w:val="00483B2F"/>
    <w:rsid w:val="004A5E4C"/>
    <w:rsid w:val="004C4EC2"/>
    <w:rsid w:val="004D58F7"/>
    <w:rsid w:val="0051102D"/>
    <w:rsid w:val="0051294F"/>
    <w:rsid w:val="005323F4"/>
    <w:rsid w:val="0056091F"/>
    <w:rsid w:val="005810E3"/>
    <w:rsid w:val="005867F6"/>
    <w:rsid w:val="0059519D"/>
    <w:rsid w:val="005A3319"/>
    <w:rsid w:val="005C4D56"/>
    <w:rsid w:val="005D467C"/>
    <w:rsid w:val="005E597F"/>
    <w:rsid w:val="005E5F60"/>
    <w:rsid w:val="005F181E"/>
    <w:rsid w:val="005F473C"/>
    <w:rsid w:val="00611517"/>
    <w:rsid w:val="006123C4"/>
    <w:rsid w:val="00615F7A"/>
    <w:rsid w:val="00643932"/>
    <w:rsid w:val="00647E03"/>
    <w:rsid w:val="00651BB5"/>
    <w:rsid w:val="00652BF0"/>
    <w:rsid w:val="006626DE"/>
    <w:rsid w:val="00664F91"/>
    <w:rsid w:val="00683645"/>
    <w:rsid w:val="006A7BD8"/>
    <w:rsid w:val="006B1EA9"/>
    <w:rsid w:val="006B48F2"/>
    <w:rsid w:val="006D5C9E"/>
    <w:rsid w:val="006D6401"/>
    <w:rsid w:val="006E3941"/>
    <w:rsid w:val="00713CC7"/>
    <w:rsid w:val="007160F6"/>
    <w:rsid w:val="00716ED8"/>
    <w:rsid w:val="00730A0A"/>
    <w:rsid w:val="0074376E"/>
    <w:rsid w:val="00763690"/>
    <w:rsid w:val="00764B43"/>
    <w:rsid w:val="00772E7E"/>
    <w:rsid w:val="007779A3"/>
    <w:rsid w:val="00780C82"/>
    <w:rsid w:val="00783A60"/>
    <w:rsid w:val="00790432"/>
    <w:rsid w:val="007D1C56"/>
    <w:rsid w:val="007E1545"/>
    <w:rsid w:val="007F2C80"/>
    <w:rsid w:val="007F47B0"/>
    <w:rsid w:val="007F5418"/>
    <w:rsid w:val="00804693"/>
    <w:rsid w:val="008170B7"/>
    <w:rsid w:val="008206E8"/>
    <w:rsid w:val="008410C2"/>
    <w:rsid w:val="00854E9D"/>
    <w:rsid w:val="00857A92"/>
    <w:rsid w:val="008633DE"/>
    <w:rsid w:val="008A14CA"/>
    <w:rsid w:val="008C6B8B"/>
    <w:rsid w:val="008D6714"/>
    <w:rsid w:val="008E6C63"/>
    <w:rsid w:val="008E7382"/>
    <w:rsid w:val="00914303"/>
    <w:rsid w:val="00927C84"/>
    <w:rsid w:val="00930430"/>
    <w:rsid w:val="009373B9"/>
    <w:rsid w:val="00944AEA"/>
    <w:rsid w:val="00966852"/>
    <w:rsid w:val="00970643"/>
    <w:rsid w:val="00983E3B"/>
    <w:rsid w:val="00987986"/>
    <w:rsid w:val="009909B0"/>
    <w:rsid w:val="00991081"/>
    <w:rsid w:val="009A2604"/>
    <w:rsid w:val="009C4E5B"/>
    <w:rsid w:val="009C7A47"/>
    <w:rsid w:val="009E390D"/>
    <w:rsid w:val="009E4529"/>
    <w:rsid w:val="00A056A9"/>
    <w:rsid w:val="00A26FB6"/>
    <w:rsid w:val="00A41C53"/>
    <w:rsid w:val="00A45E57"/>
    <w:rsid w:val="00A559BD"/>
    <w:rsid w:val="00A76EA6"/>
    <w:rsid w:val="00AA356F"/>
    <w:rsid w:val="00AB50FF"/>
    <w:rsid w:val="00AD6F7A"/>
    <w:rsid w:val="00AE0251"/>
    <w:rsid w:val="00AE199B"/>
    <w:rsid w:val="00AE30DD"/>
    <w:rsid w:val="00B00A5D"/>
    <w:rsid w:val="00B040C4"/>
    <w:rsid w:val="00B174AE"/>
    <w:rsid w:val="00B235F8"/>
    <w:rsid w:val="00B6561B"/>
    <w:rsid w:val="00B8224B"/>
    <w:rsid w:val="00B86CD2"/>
    <w:rsid w:val="00BB1039"/>
    <w:rsid w:val="00BB4CA4"/>
    <w:rsid w:val="00BC0787"/>
    <w:rsid w:val="00BC75DD"/>
    <w:rsid w:val="00BD2930"/>
    <w:rsid w:val="00BF0F9E"/>
    <w:rsid w:val="00BF0FF5"/>
    <w:rsid w:val="00BF2368"/>
    <w:rsid w:val="00C10F64"/>
    <w:rsid w:val="00C12EA3"/>
    <w:rsid w:val="00C24ECF"/>
    <w:rsid w:val="00C574E9"/>
    <w:rsid w:val="00C63A6A"/>
    <w:rsid w:val="00C67DC7"/>
    <w:rsid w:val="00C751B2"/>
    <w:rsid w:val="00C92BD4"/>
    <w:rsid w:val="00CC0E8B"/>
    <w:rsid w:val="00CC16AC"/>
    <w:rsid w:val="00CC44D2"/>
    <w:rsid w:val="00CE4165"/>
    <w:rsid w:val="00CE74F3"/>
    <w:rsid w:val="00D0524A"/>
    <w:rsid w:val="00D103BA"/>
    <w:rsid w:val="00D116C0"/>
    <w:rsid w:val="00D303A8"/>
    <w:rsid w:val="00D3095C"/>
    <w:rsid w:val="00D47EAD"/>
    <w:rsid w:val="00D57A5E"/>
    <w:rsid w:val="00D75340"/>
    <w:rsid w:val="00D820E8"/>
    <w:rsid w:val="00D8529A"/>
    <w:rsid w:val="00DB0E29"/>
    <w:rsid w:val="00DC4F1E"/>
    <w:rsid w:val="00E21582"/>
    <w:rsid w:val="00E228C6"/>
    <w:rsid w:val="00E45ED4"/>
    <w:rsid w:val="00E53C49"/>
    <w:rsid w:val="00E65718"/>
    <w:rsid w:val="00E75755"/>
    <w:rsid w:val="00E90FE3"/>
    <w:rsid w:val="00E9539F"/>
    <w:rsid w:val="00EB0339"/>
    <w:rsid w:val="00EB5124"/>
    <w:rsid w:val="00EC47D5"/>
    <w:rsid w:val="00EF32BC"/>
    <w:rsid w:val="00F115CC"/>
    <w:rsid w:val="00F40E01"/>
    <w:rsid w:val="00F442A5"/>
    <w:rsid w:val="00F76105"/>
    <w:rsid w:val="00F82087"/>
    <w:rsid w:val="00F86130"/>
    <w:rsid w:val="00F95395"/>
    <w:rsid w:val="00FB3743"/>
    <w:rsid w:val="00FC5B6F"/>
    <w:rsid w:val="00FC7072"/>
    <w:rsid w:val="00FE457F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33561"/>
  <w15:chartTrackingRefBased/>
  <w15:docId w15:val="{E712FC09-DA98-4CAE-ADC8-67C97B62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2733"/>
      <w:outlineLvl w:val="1"/>
    </w:pPr>
    <w:rPr>
      <w:rFonts w:ascii="Arial" w:hAnsi="Arial" w:cs="Arial"/>
      <w:sz w:val="9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left="360"/>
    </w:pPr>
    <w:rPr>
      <w:sz w:val="28"/>
      <w:szCs w:val="20"/>
    </w:rPr>
  </w:style>
  <w:style w:type="paragraph" w:styleId="BodyTextIndent2">
    <w:name w:val="Body Text Indent 2"/>
    <w:basedOn w:val="Normal"/>
    <w:pPr>
      <w:ind w:left="360"/>
    </w:pPr>
    <w:rPr>
      <w:b/>
      <w:bCs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Verdana" w:hAnsi="Verdana"/>
    </w:rPr>
  </w:style>
  <w:style w:type="paragraph" w:styleId="BalloonText">
    <w:name w:val="Balloon Text"/>
    <w:basedOn w:val="Normal"/>
    <w:semiHidden/>
    <w:rsid w:val="00356E9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77AB2"/>
    <w:rPr>
      <w:rFonts w:ascii="Verdana" w:hAnsi="Verdana"/>
      <w:b/>
      <w:bCs/>
      <w:color w:val="000000"/>
      <w:spacing w:val="-20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944AE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44AEA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45C74"/>
    <w:pPr>
      <w:spacing w:after="120" w:line="360" w:lineRule="auto"/>
      <w:ind w:left="720"/>
      <w:contextualSpacing/>
    </w:pPr>
    <w:rPr>
      <w:rFonts w:ascii="Arial" w:hAnsi="Arial"/>
      <w:sz w:val="22"/>
      <w:szCs w:val="20"/>
    </w:rPr>
  </w:style>
  <w:style w:type="character" w:styleId="Emphasis">
    <w:name w:val="Emphasis"/>
    <w:uiPriority w:val="20"/>
    <w:qFormat/>
    <w:rsid w:val="00345C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mgcb/-/media/Project/Websites/mgcb/Detroit-Casino-Revenue-Files/iGaming_Sports_Betting_Fantasy_Sports_tax_revenue_distribution_chart_715611_7.pdf?rev=180d6e96109b4f9798c5ce78cbbeb2bf&amp;hash=77F57D0FDB6B4AF3FF6AC2C2F12BDD4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ichigan.gov/mgcb/detroit-casinos/resources/revenues-and-wagering-tax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MGCB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busherit</dc:creator>
  <cp:keywords/>
  <cp:lastModifiedBy>Bean, Mary Kay (MGCB)</cp:lastModifiedBy>
  <cp:revision>2</cp:revision>
  <cp:lastPrinted>2014-01-09T22:05:00Z</cp:lastPrinted>
  <dcterms:created xsi:type="dcterms:W3CDTF">2023-03-20T13:40:00Z</dcterms:created>
  <dcterms:modified xsi:type="dcterms:W3CDTF">2023-03-20T13:40:00Z</dcterms:modified>
</cp:coreProperties>
</file>