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9"/>
        <w:gridCol w:w="7010"/>
      </w:tblGrid>
      <w:tr w:rsidR="00716ED8" w14:paraId="3B3D72A9" w14:textId="77777777" w:rsidTr="00AA68DF">
        <w:trPr>
          <w:trHeight w:val="1423"/>
        </w:trPr>
        <w:tc>
          <w:tcPr>
            <w:tcW w:w="2039" w:type="dxa"/>
          </w:tcPr>
          <w:p w14:paraId="62622B89" w14:textId="34F58591" w:rsidR="00716ED8" w:rsidRDefault="00910981" w:rsidP="006B1EA9">
            <w:pPr>
              <w:jc w:val="center"/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5741D522" wp14:editId="54F0CD01">
                  <wp:extent cx="99060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51102D" w:rsidRDefault="00716ED8">
      <w:pPr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shd w:val="clear" w:color="auto" w:fill="FFCC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155"/>
        <w:gridCol w:w="4845"/>
      </w:tblGrid>
      <w:tr w:rsidR="00716ED8" w14:paraId="4E039AAE" w14:textId="77777777" w:rsidTr="006B1EA9">
        <w:trPr>
          <w:jc w:val="center"/>
        </w:trPr>
        <w:tc>
          <w:tcPr>
            <w:tcW w:w="0" w:type="auto"/>
            <w:shd w:val="clear" w:color="auto" w:fill="4472C4" w:themeFill="accent1"/>
            <w:vAlign w:val="center"/>
          </w:tcPr>
          <w:p w14:paraId="75AA6DB4" w14:textId="70323D90" w:rsidR="00716ED8" w:rsidRPr="006B1EA9" w:rsidRDefault="00716ED8" w:rsidP="00804693">
            <w:pPr>
              <w:rPr>
                <w:color w:val="FFFFFF" w:themeColor="background1"/>
                <w:sz w:val="22"/>
                <w:szCs w:val="22"/>
              </w:rPr>
            </w:pPr>
            <w:r w:rsidRPr="006B1EA9">
              <w:rPr>
                <w:rStyle w:val="Strong"/>
                <w:rFonts w:ascii="Arial" w:hAnsi="Arial" w:cs="Arial"/>
                <w:color w:val="FFFFFF" w:themeColor="background1"/>
                <w:sz w:val="22"/>
                <w:szCs w:val="22"/>
              </w:rPr>
              <w:t>FOR IMMEDIATE RELEASE:</w:t>
            </w:r>
            <w:r w:rsidRPr="006B1EA9">
              <w:rPr>
                <w:rStyle w:val="Strong"/>
                <w:color w:val="FFFFFF" w:themeColor="background1"/>
                <w:sz w:val="22"/>
                <w:szCs w:val="22"/>
              </w:rPr>
              <w:t xml:space="preserve"> </w:t>
            </w:r>
            <w:r w:rsidRPr="006B1EA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br/>
            </w:r>
            <w:r w:rsidR="00927C8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Feb</w:t>
            </w:r>
            <w:r w:rsidR="00927C84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ruary</w:t>
            </w:r>
            <w:r w:rsidR="00BC0787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910981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21</w:t>
            </w:r>
            <w:r w:rsidR="00BC0787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,</w:t>
            </w:r>
            <w:r w:rsidR="00B6561B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 xml:space="preserve"> 20</w:t>
            </w:r>
            <w:r w:rsidR="00432433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2</w:t>
            </w:r>
            <w:r w:rsidR="006B1EA9" w:rsidRPr="006B1EA9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4472C4" w:themeFill="accent1"/>
            <w:vAlign w:val="center"/>
          </w:tcPr>
          <w:p w14:paraId="70383645" w14:textId="5CF68DA8" w:rsidR="00716ED8" w:rsidRPr="00927C84" w:rsidRDefault="00716ED8" w:rsidP="006B1EA9">
            <w:pPr>
              <w:pStyle w:val="NormalWeb"/>
              <w:spacing w:before="0" w:beforeAutospacing="0" w:after="0" w:afterAutospacing="0"/>
              <w:jc w:val="righ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27C84">
              <w:rPr>
                <w:rStyle w:val="Strong"/>
                <w:rFonts w:ascii="Arial" w:hAnsi="Arial" w:cs="Arial"/>
                <w:color w:val="FFFFFF" w:themeColor="background1"/>
                <w:sz w:val="22"/>
                <w:szCs w:val="22"/>
              </w:rPr>
              <w:t>Contact:</w:t>
            </w:r>
            <w:r w:rsidRPr="00927C8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br/>
            </w:r>
            <w:r w:rsidR="006B1EA9" w:rsidRPr="00927C8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MGCB-media</w:t>
            </w:r>
            <w:r w:rsidR="00E228C6" w:rsidRPr="00927C8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 w:rsidRPr="00927C84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Pr="00F442A5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16"/>
          <w:szCs w:val="16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77777777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345C74">
        <w:rPr>
          <w:rFonts w:ascii="Verdana" w:hAnsi="Verdana"/>
          <w:sz w:val="20"/>
          <w:szCs w:val="20"/>
        </w:rPr>
        <w:t>10</w:t>
      </w:r>
      <w:r w:rsidR="00B6561B" w:rsidRPr="00345C74">
        <w:rPr>
          <w:rFonts w:ascii="Verdana" w:hAnsi="Verdana"/>
          <w:sz w:val="20"/>
          <w:szCs w:val="20"/>
        </w:rPr>
        <w:t>:00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D0524A" w:rsidRPr="00345C74">
        <w:rPr>
          <w:rFonts w:ascii="Verdana" w:hAnsi="Verdana"/>
          <w:sz w:val="20"/>
          <w:szCs w:val="20"/>
        </w:rPr>
        <w:t>a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F442A5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1ACA21A5" w14:textId="2C491420" w:rsidR="00B6561B" w:rsidRPr="00345C74" w:rsidRDefault="00B6561B" w:rsidP="006B1EA9">
      <w:pPr>
        <w:tabs>
          <w:tab w:val="left" w:pos="7560"/>
        </w:tabs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  <w:r w:rsidR="006B1EA9">
        <w:rPr>
          <w:rFonts w:ascii="Verdana" w:hAnsi="Verdana"/>
          <w:b/>
          <w:sz w:val="20"/>
          <w:szCs w:val="20"/>
        </w:rPr>
        <w:tab/>
      </w:r>
    </w:p>
    <w:p w14:paraId="57796A57" w14:textId="4AC92F0F" w:rsidR="00B6561B" w:rsidRDefault="00B6561B" w:rsidP="00B6561B">
      <w:pPr>
        <w:rPr>
          <w:rFonts w:ascii="Arial" w:hAnsi="Arial" w:cs="Arial"/>
          <w:b/>
          <w:sz w:val="16"/>
          <w:szCs w:val="16"/>
        </w:rPr>
      </w:pPr>
    </w:p>
    <w:p w14:paraId="7F741339" w14:textId="46A3DCC1" w:rsidR="00910981" w:rsidRDefault="00910981" w:rsidP="00910981">
      <w:pPr>
        <w:rPr>
          <w:rFonts w:ascii="Arial" w:hAnsi="Arial" w:cs="Arial"/>
          <w:b/>
          <w:bCs/>
          <w:sz w:val="36"/>
          <w:szCs w:val="36"/>
        </w:rPr>
      </w:pPr>
      <w:r w:rsidRPr="00703298">
        <w:rPr>
          <w:rFonts w:ascii="Arial" w:hAnsi="Arial" w:cs="Arial"/>
          <w:b/>
          <w:bCs/>
          <w:sz w:val="36"/>
          <w:szCs w:val="36"/>
        </w:rPr>
        <w:t>Michigan internet gaming and sports betting operators report combined $187.3 million January total gross receipts</w:t>
      </w:r>
    </w:p>
    <w:p w14:paraId="1758C151" w14:textId="77777777" w:rsidR="00910981" w:rsidRPr="00910981" w:rsidRDefault="00910981" w:rsidP="00910981">
      <w:pPr>
        <w:rPr>
          <w:rFonts w:ascii="Arial" w:hAnsi="Arial" w:cs="Arial"/>
          <w:b/>
          <w:bCs/>
          <w:sz w:val="16"/>
          <w:szCs w:val="16"/>
        </w:rPr>
      </w:pPr>
    </w:p>
    <w:p w14:paraId="23126254" w14:textId="7ACF0477" w:rsidR="00910981" w:rsidRDefault="00910981" w:rsidP="00910981">
      <w:pPr>
        <w:rPr>
          <w:rFonts w:ascii="Arial" w:hAnsi="Arial" w:cs="Arial"/>
        </w:rPr>
      </w:pPr>
      <w:r w:rsidRPr="00703298">
        <w:rPr>
          <w:rFonts w:ascii="Arial" w:hAnsi="Arial" w:cs="Arial"/>
          <w:b/>
          <w:bCs/>
        </w:rPr>
        <w:t>Detroit, Feb. 21, 2023</w:t>
      </w:r>
      <w:r w:rsidRPr="00703298">
        <w:rPr>
          <w:rFonts w:ascii="Arial" w:hAnsi="Arial" w:cs="Arial"/>
        </w:rPr>
        <w:t xml:space="preserve"> - Michigan commercial and tribal operators reported combined total internet gaming gross receipts and internet sports betting gross receipts of $187.3 million during January. Receipts fell 7.1% compared with December results of $</w:t>
      </w:r>
      <w:r>
        <w:rPr>
          <w:rFonts w:ascii="Arial" w:hAnsi="Arial" w:cs="Arial"/>
        </w:rPr>
        <w:t>201.6 million</w:t>
      </w:r>
      <w:r w:rsidRPr="00703298">
        <w:rPr>
          <w:rFonts w:ascii="Arial" w:hAnsi="Arial" w:cs="Arial"/>
        </w:rPr>
        <w:t>.</w:t>
      </w:r>
    </w:p>
    <w:p w14:paraId="72EB4CA7" w14:textId="77777777" w:rsidR="00910981" w:rsidRPr="00703298" w:rsidRDefault="00910981" w:rsidP="00910981">
      <w:pPr>
        <w:rPr>
          <w:rFonts w:ascii="Arial" w:hAnsi="Arial" w:cs="Arial"/>
        </w:rPr>
      </w:pPr>
    </w:p>
    <w:p w14:paraId="1352E44B" w14:textId="47E89396" w:rsidR="00910981" w:rsidRDefault="00910981" w:rsidP="00910981">
      <w:pPr>
        <w:rPr>
          <w:rFonts w:ascii="Arial" w:hAnsi="Arial" w:cs="Arial"/>
        </w:rPr>
      </w:pPr>
      <w:r w:rsidRPr="00703298">
        <w:rPr>
          <w:rFonts w:ascii="Arial" w:hAnsi="Arial" w:cs="Arial"/>
        </w:rPr>
        <w:t xml:space="preserve">Internet gaming gross receipts for January were a Michigan record $153.7 million. The previous internet gaming gross receipts monthly record of $152.8 million was set in December 2022. Internet gaming gross receipts rose </w:t>
      </w:r>
      <w:r>
        <w:rPr>
          <w:rFonts w:ascii="Arial" w:hAnsi="Arial" w:cs="Arial"/>
        </w:rPr>
        <w:t>a fractional 0.6</w:t>
      </w:r>
      <w:r w:rsidRPr="00703298">
        <w:rPr>
          <w:rFonts w:ascii="Arial" w:hAnsi="Arial" w:cs="Arial"/>
        </w:rPr>
        <w:t>% compared with December receipts.</w:t>
      </w:r>
    </w:p>
    <w:p w14:paraId="4072B124" w14:textId="77777777" w:rsidR="00910981" w:rsidRPr="00703298" w:rsidRDefault="00910981" w:rsidP="00910981">
      <w:pPr>
        <w:rPr>
          <w:rFonts w:ascii="Arial" w:hAnsi="Arial" w:cs="Arial"/>
        </w:rPr>
      </w:pPr>
    </w:p>
    <w:p w14:paraId="6E0CD86D" w14:textId="0B028F25" w:rsidR="00910981" w:rsidRDefault="00910981" w:rsidP="00910981">
      <w:pPr>
        <w:rPr>
          <w:rFonts w:ascii="Arial" w:hAnsi="Arial" w:cs="Arial"/>
        </w:rPr>
      </w:pPr>
      <w:r w:rsidRPr="00703298">
        <w:rPr>
          <w:rFonts w:ascii="Arial" w:hAnsi="Arial" w:cs="Arial"/>
        </w:rPr>
        <w:t>Gross sports betting receipts were $33.6 million compared with $</w:t>
      </w:r>
      <w:r>
        <w:rPr>
          <w:rFonts w:ascii="Arial" w:hAnsi="Arial" w:cs="Arial"/>
        </w:rPr>
        <w:t>48.8</w:t>
      </w:r>
      <w:r w:rsidRPr="00703298">
        <w:rPr>
          <w:rFonts w:ascii="Arial" w:hAnsi="Arial" w:cs="Arial"/>
        </w:rPr>
        <w:t xml:space="preserve"> million reported in December for a </w:t>
      </w:r>
      <w:r>
        <w:rPr>
          <w:rFonts w:ascii="Arial" w:hAnsi="Arial" w:cs="Arial"/>
        </w:rPr>
        <w:t>31.1</w:t>
      </w:r>
      <w:r w:rsidRPr="00703298">
        <w:rPr>
          <w:rFonts w:ascii="Arial" w:hAnsi="Arial" w:cs="Arial"/>
        </w:rPr>
        <w:t xml:space="preserve">% </w:t>
      </w:r>
      <w:r>
        <w:rPr>
          <w:rFonts w:ascii="Arial" w:hAnsi="Arial" w:cs="Arial"/>
        </w:rPr>
        <w:t>decrease</w:t>
      </w:r>
      <w:r w:rsidRPr="00703298">
        <w:rPr>
          <w:rFonts w:ascii="Arial" w:hAnsi="Arial" w:cs="Arial"/>
        </w:rPr>
        <w:t>.</w:t>
      </w:r>
    </w:p>
    <w:p w14:paraId="7C3A227B" w14:textId="77777777" w:rsidR="00910981" w:rsidRPr="00703298" w:rsidRDefault="00910981" w:rsidP="00910981">
      <w:pPr>
        <w:rPr>
          <w:rFonts w:ascii="Arial" w:hAnsi="Arial" w:cs="Arial"/>
        </w:rPr>
      </w:pPr>
    </w:p>
    <w:p w14:paraId="7DD7BCDD" w14:textId="5D49B0AF" w:rsidR="00910981" w:rsidRDefault="00910981" w:rsidP="00910981">
      <w:pPr>
        <w:rPr>
          <w:rFonts w:ascii="Arial" w:hAnsi="Arial" w:cs="Arial"/>
        </w:rPr>
      </w:pPr>
      <w:r w:rsidRPr="00703298">
        <w:rPr>
          <w:rFonts w:ascii="Arial" w:hAnsi="Arial" w:cs="Arial"/>
        </w:rPr>
        <w:t>Combined total adjusted internet gaming gross receipts and adjusted internet sports betting gross receipts were $156.17 million in January</w:t>
      </w:r>
      <w:r>
        <w:rPr>
          <w:rFonts w:ascii="Arial" w:hAnsi="Arial" w:cs="Arial"/>
        </w:rPr>
        <w:t>, falling 7.2% from December receipts of</w:t>
      </w:r>
      <w:r w:rsidRPr="00703298">
        <w:rPr>
          <w:rFonts w:ascii="Arial" w:hAnsi="Arial" w:cs="Arial"/>
        </w:rPr>
        <w:t xml:space="preserve"> $168.23 million.</w:t>
      </w:r>
    </w:p>
    <w:p w14:paraId="6F0C07E8" w14:textId="77777777" w:rsidR="00910981" w:rsidRPr="00703298" w:rsidRDefault="00910981" w:rsidP="00910981">
      <w:pPr>
        <w:rPr>
          <w:rFonts w:ascii="Arial" w:hAnsi="Arial" w:cs="Arial"/>
        </w:rPr>
      </w:pPr>
    </w:p>
    <w:p w14:paraId="58756072" w14:textId="3B98436C" w:rsidR="00910981" w:rsidRDefault="00910981" w:rsidP="00910981">
      <w:pPr>
        <w:rPr>
          <w:rFonts w:ascii="Arial" w:hAnsi="Arial" w:cs="Arial"/>
        </w:rPr>
      </w:pPr>
      <w:r w:rsidRPr="00703298">
        <w:rPr>
          <w:rFonts w:ascii="Arial" w:hAnsi="Arial" w:cs="Arial"/>
        </w:rPr>
        <w:t>Internet gaming adjusted gross receipts at $138.32 million rose a fractional 0.6% from December's $137.47 million. Monthly internet gaming adjusted gross receipts increased 26.7% compared with $</w:t>
      </w:r>
      <w:r>
        <w:rPr>
          <w:rFonts w:ascii="Arial" w:hAnsi="Arial" w:cs="Arial"/>
        </w:rPr>
        <w:t>109.18 million</w:t>
      </w:r>
      <w:r w:rsidRPr="00703298">
        <w:rPr>
          <w:rFonts w:ascii="Arial" w:hAnsi="Arial" w:cs="Arial"/>
        </w:rPr>
        <w:t xml:space="preserve"> reported in January 2022.</w:t>
      </w:r>
    </w:p>
    <w:p w14:paraId="5B5F4EB0" w14:textId="77777777" w:rsidR="00910981" w:rsidRPr="00703298" w:rsidRDefault="00910981" w:rsidP="00910981">
      <w:pPr>
        <w:rPr>
          <w:rFonts w:ascii="Arial" w:hAnsi="Arial" w:cs="Arial"/>
        </w:rPr>
      </w:pPr>
    </w:p>
    <w:p w14:paraId="2A01E07D" w14:textId="725AA893" w:rsidR="00910981" w:rsidRDefault="00910981" w:rsidP="00910981">
      <w:pPr>
        <w:rPr>
          <w:rFonts w:ascii="Arial" w:hAnsi="Arial" w:cs="Arial"/>
        </w:rPr>
      </w:pPr>
      <w:r w:rsidRPr="00703298">
        <w:rPr>
          <w:rFonts w:ascii="Arial" w:hAnsi="Arial" w:cs="Arial"/>
        </w:rPr>
        <w:t>Commercial and tribal operators reported</w:t>
      </w:r>
      <w:r>
        <w:rPr>
          <w:rFonts w:ascii="Arial" w:hAnsi="Arial" w:cs="Arial"/>
        </w:rPr>
        <w:t xml:space="preserve"> a</w:t>
      </w:r>
      <w:r w:rsidRPr="00703298">
        <w:rPr>
          <w:rFonts w:ascii="Arial" w:hAnsi="Arial" w:cs="Arial"/>
        </w:rPr>
        <w:t xml:space="preserve"> combined total</w:t>
      </w:r>
      <w:r>
        <w:rPr>
          <w:rFonts w:ascii="Arial" w:hAnsi="Arial" w:cs="Arial"/>
        </w:rPr>
        <w:t xml:space="preserve"> of</w:t>
      </w:r>
      <w:r w:rsidRPr="00703298">
        <w:rPr>
          <w:rFonts w:ascii="Arial" w:hAnsi="Arial" w:cs="Arial"/>
        </w:rPr>
        <w:t xml:space="preserve"> $17.85 million in internet sports betting adjusted gross receipts</w:t>
      </w:r>
      <w:r>
        <w:rPr>
          <w:rFonts w:ascii="Arial" w:hAnsi="Arial" w:cs="Arial"/>
        </w:rPr>
        <w:t>. This was</w:t>
      </w:r>
      <w:r w:rsidRPr="00703298">
        <w:rPr>
          <w:rFonts w:ascii="Arial" w:hAnsi="Arial" w:cs="Arial"/>
        </w:rPr>
        <w:t xml:space="preserve"> a 42% decline from $30.76 million</w:t>
      </w:r>
      <w:r>
        <w:rPr>
          <w:rFonts w:ascii="Arial" w:hAnsi="Arial" w:cs="Arial"/>
        </w:rPr>
        <w:t xml:space="preserve"> in receipts</w:t>
      </w:r>
      <w:r w:rsidRPr="00703298">
        <w:rPr>
          <w:rFonts w:ascii="Arial" w:hAnsi="Arial" w:cs="Arial"/>
        </w:rPr>
        <w:t xml:space="preserve"> reported in December. Internet sports betting monthly adjusted gross receipts were down 6.9% compared with $</w:t>
      </w:r>
      <w:r>
        <w:rPr>
          <w:rFonts w:ascii="Arial" w:hAnsi="Arial" w:cs="Arial"/>
        </w:rPr>
        <w:t>19.17 million</w:t>
      </w:r>
      <w:r w:rsidRPr="00703298">
        <w:rPr>
          <w:rFonts w:ascii="Arial" w:hAnsi="Arial" w:cs="Arial"/>
        </w:rPr>
        <w:t xml:space="preserve"> reported in January 2022.</w:t>
      </w:r>
    </w:p>
    <w:p w14:paraId="1B020C29" w14:textId="77777777" w:rsidR="00910981" w:rsidRPr="00703298" w:rsidRDefault="00910981" w:rsidP="00910981">
      <w:pPr>
        <w:rPr>
          <w:rFonts w:ascii="Arial" w:hAnsi="Arial" w:cs="Arial"/>
        </w:rPr>
      </w:pPr>
    </w:p>
    <w:p w14:paraId="250DE48B" w14:textId="38994501" w:rsidR="00910981" w:rsidRDefault="00910981" w:rsidP="00910981">
      <w:pPr>
        <w:rPr>
          <w:rFonts w:ascii="Arial" w:hAnsi="Arial" w:cs="Arial"/>
        </w:rPr>
      </w:pPr>
      <w:r w:rsidRPr="00703298">
        <w:rPr>
          <w:rFonts w:ascii="Arial" w:hAnsi="Arial" w:cs="Arial"/>
        </w:rPr>
        <w:t xml:space="preserve">Total handle at $475.6 million declined a fractional 0.7% from the </w:t>
      </w:r>
      <w:r w:rsidRPr="008D1331">
        <w:rPr>
          <w:rFonts w:ascii="Arial" w:hAnsi="Arial" w:cs="Arial"/>
        </w:rPr>
        <w:t>$478.7 million</w:t>
      </w:r>
      <w:r>
        <w:rPr>
          <w:rFonts w:ascii="Arial" w:hAnsi="Arial" w:cs="Arial"/>
        </w:rPr>
        <w:t xml:space="preserve"> </w:t>
      </w:r>
      <w:r w:rsidRPr="00703298">
        <w:rPr>
          <w:rFonts w:ascii="Arial" w:hAnsi="Arial" w:cs="Arial"/>
        </w:rPr>
        <w:t>total handle reported in December.</w:t>
      </w:r>
      <w:r>
        <w:rPr>
          <w:rFonts w:ascii="Arial" w:hAnsi="Arial" w:cs="Arial"/>
        </w:rPr>
        <w:t xml:space="preserve"> Total handle was 4.3% lower than the January 2022 handle of $496.8 million.</w:t>
      </w:r>
    </w:p>
    <w:p w14:paraId="6AF91579" w14:textId="77777777" w:rsidR="00910981" w:rsidRPr="00703298" w:rsidRDefault="00910981" w:rsidP="00910981">
      <w:pPr>
        <w:rPr>
          <w:rFonts w:ascii="Arial" w:hAnsi="Arial" w:cs="Arial"/>
        </w:rPr>
      </w:pPr>
    </w:p>
    <w:p w14:paraId="210566C4" w14:textId="77777777" w:rsidR="00910981" w:rsidRPr="00703298" w:rsidRDefault="00910981" w:rsidP="009109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January </w:t>
      </w:r>
      <w:r w:rsidRPr="00703298">
        <w:rPr>
          <w:rFonts w:ascii="Arial" w:hAnsi="Arial" w:cs="Arial"/>
          <w:b/>
          <w:bCs/>
        </w:rPr>
        <w:t>Taxes and Payments</w:t>
      </w:r>
    </w:p>
    <w:p w14:paraId="67441E81" w14:textId="70B9A230" w:rsidR="00910981" w:rsidRDefault="00910981" w:rsidP="00910981">
      <w:pPr>
        <w:rPr>
          <w:rFonts w:ascii="Arial" w:hAnsi="Arial" w:cs="Arial"/>
        </w:rPr>
      </w:pPr>
      <w:r w:rsidRPr="00703298">
        <w:rPr>
          <w:rFonts w:ascii="Arial" w:hAnsi="Arial" w:cs="Arial"/>
        </w:rPr>
        <w:t>The operators delivered $</w:t>
      </w:r>
      <w:r>
        <w:rPr>
          <w:rFonts w:ascii="Arial" w:hAnsi="Arial" w:cs="Arial"/>
        </w:rPr>
        <w:t xml:space="preserve">26.1 </w:t>
      </w:r>
      <w:r w:rsidRPr="00703298">
        <w:rPr>
          <w:rFonts w:ascii="Arial" w:hAnsi="Arial" w:cs="Arial"/>
        </w:rPr>
        <w:t>million in taxes and payments to the State of Michigan in January including:</w:t>
      </w:r>
    </w:p>
    <w:p w14:paraId="1C90068C" w14:textId="77777777" w:rsidR="00910981" w:rsidRPr="00703298" w:rsidRDefault="00910981" w:rsidP="00910981">
      <w:pPr>
        <w:rPr>
          <w:rFonts w:ascii="Arial" w:hAnsi="Arial" w:cs="Arial"/>
        </w:rPr>
      </w:pPr>
    </w:p>
    <w:p w14:paraId="3B5328A2" w14:textId="77777777" w:rsidR="00910981" w:rsidRPr="00703298" w:rsidRDefault="00910981" w:rsidP="00910981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  <w:sz w:val="24"/>
          <w:szCs w:val="24"/>
        </w:rPr>
      </w:pPr>
      <w:r w:rsidRPr="00703298">
        <w:rPr>
          <w:rFonts w:cs="Arial"/>
          <w:sz w:val="24"/>
          <w:szCs w:val="24"/>
        </w:rPr>
        <w:t>Internet gaming taxes and payments: $24.9 million</w:t>
      </w:r>
    </w:p>
    <w:p w14:paraId="004AACAA" w14:textId="77777777" w:rsidR="00910981" w:rsidRPr="00703298" w:rsidRDefault="00910981" w:rsidP="00910981">
      <w:pPr>
        <w:pStyle w:val="ListParagraph"/>
        <w:numPr>
          <w:ilvl w:val="0"/>
          <w:numId w:val="11"/>
        </w:numPr>
        <w:spacing w:after="160" w:line="259" w:lineRule="auto"/>
        <w:rPr>
          <w:rFonts w:cs="Arial"/>
          <w:sz w:val="24"/>
          <w:szCs w:val="24"/>
        </w:rPr>
      </w:pPr>
      <w:r w:rsidRPr="00703298">
        <w:rPr>
          <w:rFonts w:cs="Arial"/>
          <w:sz w:val="24"/>
          <w:szCs w:val="24"/>
        </w:rPr>
        <w:t>Internet sports betting taxes and payments: $1.2 million</w:t>
      </w:r>
    </w:p>
    <w:p w14:paraId="4BCEB91E" w14:textId="5C57ED1E" w:rsidR="00910981" w:rsidRDefault="00910981" w:rsidP="00910981">
      <w:pPr>
        <w:rPr>
          <w:rFonts w:ascii="Arial" w:hAnsi="Arial" w:cs="Arial"/>
        </w:rPr>
      </w:pPr>
      <w:r w:rsidRPr="00703298">
        <w:rPr>
          <w:rFonts w:ascii="Arial" w:hAnsi="Arial" w:cs="Arial"/>
        </w:rPr>
        <w:t>The three Detroit casinos reported City of Detroit wagering taxes and municipal services fee payments of $</w:t>
      </w:r>
      <w:r>
        <w:rPr>
          <w:rFonts w:ascii="Arial" w:hAnsi="Arial" w:cs="Arial"/>
        </w:rPr>
        <w:t>7.5</w:t>
      </w:r>
      <w:r w:rsidRPr="00703298">
        <w:rPr>
          <w:rFonts w:ascii="Arial" w:hAnsi="Arial" w:cs="Arial"/>
        </w:rPr>
        <w:t xml:space="preserve"> million in January including:</w:t>
      </w:r>
    </w:p>
    <w:p w14:paraId="343083F2" w14:textId="77777777" w:rsidR="00910981" w:rsidRPr="00703298" w:rsidRDefault="00910981" w:rsidP="00910981">
      <w:pPr>
        <w:rPr>
          <w:rFonts w:ascii="Arial" w:hAnsi="Arial" w:cs="Arial"/>
        </w:rPr>
      </w:pPr>
    </w:p>
    <w:p w14:paraId="54A0990D" w14:textId="77777777" w:rsidR="00910981" w:rsidRPr="00703298" w:rsidRDefault="00910981" w:rsidP="00910981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  <w:sz w:val="24"/>
          <w:szCs w:val="24"/>
        </w:rPr>
      </w:pPr>
      <w:r w:rsidRPr="00703298">
        <w:rPr>
          <w:rFonts w:cs="Arial"/>
          <w:sz w:val="24"/>
          <w:szCs w:val="24"/>
        </w:rPr>
        <w:t>Internet gaming taxes and fees: $7 million</w:t>
      </w:r>
    </w:p>
    <w:p w14:paraId="301C7831" w14:textId="77777777" w:rsidR="00910981" w:rsidRPr="00703298" w:rsidRDefault="00910981" w:rsidP="00910981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  <w:sz w:val="24"/>
          <w:szCs w:val="24"/>
        </w:rPr>
      </w:pPr>
      <w:r w:rsidRPr="00703298">
        <w:rPr>
          <w:rFonts w:cs="Arial"/>
          <w:sz w:val="24"/>
          <w:szCs w:val="24"/>
        </w:rPr>
        <w:t>Internet sports betting taxes and fees: $533,763</w:t>
      </w:r>
    </w:p>
    <w:p w14:paraId="4F3BBBED" w14:textId="77777777" w:rsidR="00910981" w:rsidRPr="00703298" w:rsidRDefault="00910981" w:rsidP="00910981">
      <w:pPr>
        <w:rPr>
          <w:rFonts w:ascii="Arial" w:hAnsi="Arial" w:cs="Arial"/>
        </w:rPr>
      </w:pPr>
      <w:r w:rsidRPr="00703298">
        <w:rPr>
          <w:rFonts w:ascii="Arial" w:hAnsi="Arial" w:cs="Arial"/>
        </w:rPr>
        <w:t>Tribal operators reported paying $2.7 million to governing bodies in January.</w:t>
      </w:r>
    </w:p>
    <w:p w14:paraId="41A561EB" w14:textId="3F791B9E" w:rsidR="00910981" w:rsidRDefault="00910981" w:rsidP="00910981">
      <w:pPr>
        <w:rPr>
          <w:rFonts w:ascii="Arial" w:hAnsi="Arial" w:cs="Arial"/>
        </w:rPr>
      </w:pPr>
      <w:r w:rsidRPr="00703298">
        <w:rPr>
          <w:rFonts w:ascii="Arial" w:hAnsi="Arial" w:cs="Arial"/>
        </w:rPr>
        <w:t xml:space="preserve">An online gaming and sports betting revenue distribution </w:t>
      </w:r>
      <w:hyperlink r:id="rId8" w:history="1">
        <w:r w:rsidRPr="00361D2C">
          <w:rPr>
            <w:rStyle w:val="Hyperlink"/>
            <w:rFonts w:ascii="Arial" w:hAnsi="Arial" w:cs="Arial"/>
          </w:rPr>
          <w:t>table</w:t>
        </w:r>
      </w:hyperlink>
      <w:r w:rsidRPr="00703298">
        <w:rPr>
          <w:rFonts w:ascii="Arial" w:hAnsi="Arial" w:cs="Arial"/>
        </w:rPr>
        <w:t xml:space="preserve"> is available on the agency’s website.</w:t>
      </w:r>
    </w:p>
    <w:p w14:paraId="24255112" w14:textId="77777777" w:rsidR="00910981" w:rsidRPr="00703298" w:rsidRDefault="00910981" w:rsidP="00910981">
      <w:pPr>
        <w:rPr>
          <w:rFonts w:ascii="Arial" w:hAnsi="Arial" w:cs="Arial"/>
        </w:rPr>
      </w:pPr>
    </w:p>
    <w:p w14:paraId="00AA40A7" w14:textId="77777777" w:rsidR="00910981" w:rsidRPr="00703298" w:rsidRDefault="00910981" w:rsidP="00910981">
      <w:pPr>
        <w:rPr>
          <w:rFonts w:ascii="Arial" w:hAnsi="Arial" w:cs="Arial"/>
        </w:rPr>
      </w:pPr>
      <w:r w:rsidRPr="00703298">
        <w:rPr>
          <w:rFonts w:ascii="Arial" w:hAnsi="Arial" w:cs="Arial"/>
        </w:rPr>
        <w:t xml:space="preserve">During </w:t>
      </w:r>
      <w:r>
        <w:rPr>
          <w:rFonts w:ascii="Arial" w:hAnsi="Arial" w:cs="Arial"/>
        </w:rPr>
        <w:t>January</w:t>
      </w:r>
      <w:r w:rsidRPr="00703298">
        <w:rPr>
          <w:rFonts w:ascii="Arial" w:hAnsi="Arial" w:cs="Arial"/>
        </w:rPr>
        <w:t>, a total of 14 operators offered internet gaming as one tribal operator ceased offering internet gaming during 2022. A total of 15 commercial and tribal operators offered internet sports betting. Details for each operator</w:t>
      </w:r>
      <w:r>
        <w:rPr>
          <w:rFonts w:ascii="Arial" w:hAnsi="Arial" w:cs="Arial"/>
        </w:rPr>
        <w:t>’</w:t>
      </w:r>
      <w:r w:rsidRPr="00703298">
        <w:rPr>
          <w:rFonts w:ascii="Arial" w:hAnsi="Arial" w:cs="Arial"/>
        </w:rPr>
        <w:t xml:space="preserve">s internet gaming and internet sports betting </w:t>
      </w:r>
      <w:hyperlink r:id="rId9" w:history="1">
        <w:r w:rsidRPr="00361D2C">
          <w:rPr>
            <w:rStyle w:val="Hyperlink"/>
            <w:rFonts w:ascii="Arial" w:hAnsi="Arial" w:cs="Arial"/>
          </w:rPr>
          <w:t>results</w:t>
        </w:r>
      </w:hyperlink>
      <w:r w:rsidRPr="00703298">
        <w:rPr>
          <w:rFonts w:ascii="Arial" w:hAnsi="Arial" w:cs="Arial"/>
        </w:rPr>
        <w:t xml:space="preserve"> are available on the MGCB website.</w:t>
      </w:r>
    </w:p>
    <w:p w14:paraId="231F3655" w14:textId="77777777" w:rsidR="00910981" w:rsidRPr="0051102D" w:rsidRDefault="00910981" w:rsidP="00B6561B">
      <w:pPr>
        <w:rPr>
          <w:rFonts w:ascii="Arial" w:hAnsi="Arial" w:cs="Arial"/>
          <w:b/>
          <w:sz w:val="16"/>
          <w:szCs w:val="16"/>
        </w:rPr>
      </w:pPr>
    </w:p>
    <w:p w14:paraId="67F17CAC" w14:textId="77777777" w:rsidR="00345C74" w:rsidRPr="0051102D" w:rsidRDefault="00345C74" w:rsidP="00345C74">
      <w:pPr>
        <w:rPr>
          <w:rFonts w:ascii="Arial" w:hAnsi="Arial" w:cs="Arial"/>
          <w:sz w:val="16"/>
          <w:szCs w:val="16"/>
        </w:rPr>
      </w:pPr>
    </w:p>
    <w:p w14:paraId="07AFB230" w14:textId="77777777" w:rsidR="0051102D" w:rsidRDefault="00345C74" w:rsidP="0051102D">
      <w:pPr>
        <w:rPr>
          <w:rStyle w:val="Emphasis"/>
          <w:rFonts w:ascii="Arial" w:hAnsi="Arial" w:cs="Arial"/>
          <w:color w:val="333333"/>
          <w:sz w:val="16"/>
          <w:szCs w:val="16"/>
          <w:lang w:val="en"/>
        </w:rPr>
      </w:pPr>
      <w:r w:rsidRPr="0051102D">
        <w:rPr>
          <w:color w:val="333333"/>
          <w:sz w:val="16"/>
          <w:szCs w:val="16"/>
          <w:lang w:val="en"/>
        </w:rPr>
        <w:t>"</w:t>
      </w:r>
      <w:r w:rsidRPr="0051102D">
        <w:rPr>
          <w:rStyle w:val="Emphasis"/>
          <w:rFonts w:ascii="Arial" w:hAnsi="Arial" w:cs="Arial"/>
          <w:color w:val="333333"/>
          <w:sz w:val="16"/>
          <w:szCs w:val="16"/>
          <w:lang w:val="en"/>
        </w:rPr>
        <w:t>The Michigan Gaming Control Board shall ensure the conduct of fair and honest gaming to protect the interests of the citizens of the State of Michigan."</w:t>
      </w:r>
    </w:p>
    <w:p w14:paraId="3F0713FF" w14:textId="752AD80F" w:rsidR="0031474A" w:rsidRPr="0051102D" w:rsidRDefault="0031474A" w:rsidP="0051102D">
      <w:pPr>
        <w:jc w:val="center"/>
        <w:rPr>
          <w:rFonts w:ascii="Arial" w:eastAsia="Calibri" w:hAnsi="Arial" w:cs="Arial"/>
          <w:sz w:val="16"/>
          <w:szCs w:val="16"/>
        </w:rPr>
      </w:pPr>
      <w:r w:rsidRPr="0051102D">
        <w:rPr>
          <w:rFonts w:ascii="Arial" w:eastAsia="Calibri" w:hAnsi="Arial" w:cs="Arial"/>
          <w:sz w:val="16"/>
          <w:szCs w:val="16"/>
        </w:rPr>
        <w:t>####</w:t>
      </w:r>
    </w:p>
    <w:sectPr w:rsidR="0031474A" w:rsidRPr="0051102D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261" w14:textId="77777777" w:rsidR="00854E9D" w:rsidRDefault="00854E9D">
      <w:r>
        <w:separator/>
      </w:r>
    </w:p>
  </w:endnote>
  <w:endnote w:type="continuationSeparator" w:id="0">
    <w:p w14:paraId="57D40854" w14:textId="77777777" w:rsidR="00854E9D" w:rsidRDefault="008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F60" w14:textId="77777777" w:rsidR="00854E9D" w:rsidRDefault="00854E9D">
      <w:r>
        <w:separator/>
      </w:r>
    </w:p>
  </w:footnote>
  <w:footnote w:type="continuationSeparator" w:id="0">
    <w:p w14:paraId="2FAB7106" w14:textId="77777777" w:rsidR="00854E9D" w:rsidRDefault="008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292"/>
    <w:multiLevelType w:val="hybridMultilevel"/>
    <w:tmpl w:val="128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790C"/>
    <w:multiLevelType w:val="hybridMultilevel"/>
    <w:tmpl w:val="AEB8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F2EC5"/>
    <w:multiLevelType w:val="hybridMultilevel"/>
    <w:tmpl w:val="36DA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E7477"/>
    <w:multiLevelType w:val="hybridMultilevel"/>
    <w:tmpl w:val="E32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A6984"/>
    <w:multiLevelType w:val="hybridMultilevel"/>
    <w:tmpl w:val="F438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335108">
    <w:abstractNumId w:val="3"/>
  </w:num>
  <w:num w:numId="2" w16cid:durableId="1653633024">
    <w:abstractNumId w:val="4"/>
  </w:num>
  <w:num w:numId="3" w16cid:durableId="1772890775">
    <w:abstractNumId w:val="2"/>
  </w:num>
  <w:num w:numId="4" w16cid:durableId="1157501143">
    <w:abstractNumId w:val="9"/>
  </w:num>
  <w:num w:numId="5" w16cid:durableId="118493863">
    <w:abstractNumId w:val="6"/>
  </w:num>
  <w:num w:numId="6" w16cid:durableId="77094850">
    <w:abstractNumId w:val="7"/>
  </w:num>
  <w:num w:numId="7" w16cid:durableId="778531659">
    <w:abstractNumId w:val="10"/>
  </w:num>
  <w:num w:numId="8" w16cid:durableId="50814170">
    <w:abstractNumId w:val="8"/>
  </w:num>
  <w:num w:numId="9" w16cid:durableId="161547160">
    <w:abstractNumId w:val="0"/>
  </w:num>
  <w:num w:numId="10" w16cid:durableId="289894751">
    <w:abstractNumId w:val="1"/>
  </w:num>
  <w:num w:numId="11" w16cid:durableId="2917127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7CE1"/>
    <w:rsid w:val="000A2A94"/>
    <w:rsid w:val="000A70CB"/>
    <w:rsid w:val="000B194B"/>
    <w:rsid w:val="000B5B66"/>
    <w:rsid w:val="000C08D8"/>
    <w:rsid w:val="000C39A3"/>
    <w:rsid w:val="000E4135"/>
    <w:rsid w:val="000E4EE9"/>
    <w:rsid w:val="000F1832"/>
    <w:rsid w:val="000F25E0"/>
    <w:rsid w:val="001043ED"/>
    <w:rsid w:val="0010579D"/>
    <w:rsid w:val="00123D20"/>
    <w:rsid w:val="00125DAA"/>
    <w:rsid w:val="00134833"/>
    <w:rsid w:val="00137256"/>
    <w:rsid w:val="00150EA5"/>
    <w:rsid w:val="001541B3"/>
    <w:rsid w:val="00160198"/>
    <w:rsid w:val="00164F0F"/>
    <w:rsid w:val="00176957"/>
    <w:rsid w:val="00177AB2"/>
    <w:rsid w:val="00186419"/>
    <w:rsid w:val="00196FFE"/>
    <w:rsid w:val="001B7774"/>
    <w:rsid w:val="001D38BE"/>
    <w:rsid w:val="001F1F73"/>
    <w:rsid w:val="00200EE6"/>
    <w:rsid w:val="00202BD1"/>
    <w:rsid w:val="002164BB"/>
    <w:rsid w:val="00231171"/>
    <w:rsid w:val="00266369"/>
    <w:rsid w:val="00267877"/>
    <w:rsid w:val="00280D28"/>
    <w:rsid w:val="002901F8"/>
    <w:rsid w:val="002C7198"/>
    <w:rsid w:val="002D214E"/>
    <w:rsid w:val="002D745A"/>
    <w:rsid w:val="002E73D0"/>
    <w:rsid w:val="002F4FC6"/>
    <w:rsid w:val="002F50BF"/>
    <w:rsid w:val="002F53A8"/>
    <w:rsid w:val="00302E6E"/>
    <w:rsid w:val="003057BF"/>
    <w:rsid w:val="0031474A"/>
    <w:rsid w:val="00322E79"/>
    <w:rsid w:val="00325554"/>
    <w:rsid w:val="00345C74"/>
    <w:rsid w:val="00356E90"/>
    <w:rsid w:val="00362093"/>
    <w:rsid w:val="003826A4"/>
    <w:rsid w:val="00382D2D"/>
    <w:rsid w:val="003B2AC6"/>
    <w:rsid w:val="003B3A36"/>
    <w:rsid w:val="003C5F29"/>
    <w:rsid w:val="003E239D"/>
    <w:rsid w:val="003F4455"/>
    <w:rsid w:val="0040761D"/>
    <w:rsid w:val="00432433"/>
    <w:rsid w:val="0043685B"/>
    <w:rsid w:val="00483B2F"/>
    <w:rsid w:val="004A5E4C"/>
    <w:rsid w:val="004C4EC2"/>
    <w:rsid w:val="004D58F7"/>
    <w:rsid w:val="0051102D"/>
    <w:rsid w:val="0051294F"/>
    <w:rsid w:val="005323F4"/>
    <w:rsid w:val="0056091F"/>
    <w:rsid w:val="005810E3"/>
    <w:rsid w:val="005867F6"/>
    <w:rsid w:val="0059519D"/>
    <w:rsid w:val="005A3319"/>
    <w:rsid w:val="005C4D56"/>
    <w:rsid w:val="005D467C"/>
    <w:rsid w:val="005E597F"/>
    <w:rsid w:val="005E5F60"/>
    <w:rsid w:val="005F181E"/>
    <w:rsid w:val="005F473C"/>
    <w:rsid w:val="00611517"/>
    <w:rsid w:val="006123C4"/>
    <w:rsid w:val="00615F7A"/>
    <w:rsid w:val="00643932"/>
    <w:rsid w:val="00647E03"/>
    <w:rsid w:val="00651BB5"/>
    <w:rsid w:val="00652BF0"/>
    <w:rsid w:val="006626DE"/>
    <w:rsid w:val="00664F91"/>
    <w:rsid w:val="00683645"/>
    <w:rsid w:val="006A7BD8"/>
    <w:rsid w:val="006B1EA9"/>
    <w:rsid w:val="006B48F2"/>
    <w:rsid w:val="006D5C9E"/>
    <w:rsid w:val="006D6401"/>
    <w:rsid w:val="006E3941"/>
    <w:rsid w:val="00713CC7"/>
    <w:rsid w:val="007160F6"/>
    <w:rsid w:val="00716ED8"/>
    <w:rsid w:val="00730A0A"/>
    <w:rsid w:val="0074376E"/>
    <w:rsid w:val="00763690"/>
    <w:rsid w:val="00764B43"/>
    <w:rsid w:val="00772E7E"/>
    <w:rsid w:val="007779A3"/>
    <w:rsid w:val="00780C82"/>
    <w:rsid w:val="00783A60"/>
    <w:rsid w:val="00790432"/>
    <w:rsid w:val="007D1C56"/>
    <w:rsid w:val="007E1545"/>
    <w:rsid w:val="007F2C80"/>
    <w:rsid w:val="007F47B0"/>
    <w:rsid w:val="007F5418"/>
    <w:rsid w:val="00804693"/>
    <w:rsid w:val="008170B7"/>
    <w:rsid w:val="008206E8"/>
    <w:rsid w:val="008410C2"/>
    <w:rsid w:val="00854E9D"/>
    <w:rsid w:val="00857A92"/>
    <w:rsid w:val="008633DE"/>
    <w:rsid w:val="008A14CA"/>
    <w:rsid w:val="008C6B8B"/>
    <w:rsid w:val="008D6714"/>
    <w:rsid w:val="008E6C63"/>
    <w:rsid w:val="008E7382"/>
    <w:rsid w:val="00910981"/>
    <w:rsid w:val="00914303"/>
    <w:rsid w:val="00927C84"/>
    <w:rsid w:val="00930430"/>
    <w:rsid w:val="009373B9"/>
    <w:rsid w:val="00944AEA"/>
    <w:rsid w:val="00966852"/>
    <w:rsid w:val="00970643"/>
    <w:rsid w:val="00983E3B"/>
    <w:rsid w:val="00987986"/>
    <w:rsid w:val="009909B0"/>
    <w:rsid w:val="00991081"/>
    <w:rsid w:val="009A2604"/>
    <w:rsid w:val="009C4E5B"/>
    <w:rsid w:val="009C7A47"/>
    <w:rsid w:val="009E390D"/>
    <w:rsid w:val="009E4529"/>
    <w:rsid w:val="00A056A9"/>
    <w:rsid w:val="00A26FB6"/>
    <w:rsid w:val="00A41C53"/>
    <w:rsid w:val="00A45E57"/>
    <w:rsid w:val="00A559BD"/>
    <w:rsid w:val="00A76EA6"/>
    <w:rsid w:val="00AA356F"/>
    <w:rsid w:val="00AA68DF"/>
    <w:rsid w:val="00AB50FF"/>
    <w:rsid w:val="00AD6F7A"/>
    <w:rsid w:val="00AE0251"/>
    <w:rsid w:val="00AE199B"/>
    <w:rsid w:val="00AE30DD"/>
    <w:rsid w:val="00B00A5D"/>
    <w:rsid w:val="00B040C4"/>
    <w:rsid w:val="00B174AE"/>
    <w:rsid w:val="00B235F8"/>
    <w:rsid w:val="00B6561B"/>
    <w:rsid w:val="00B8224B"/>
    <w:rsid w:val="00B86CD2"/>
    <w:rsid w:val="00BB1039"/>
    <w:rsid w:val="00BB4CA4"/>
    <w:rsid w:val="00BC0787"/>
    <w:rsid w:val="00BC75DD"/>
    <w:rsid w:val="00BD2930"/>
    <w:rsid w:val="00BF0F9E"/>
    <w:rsid w:val="00BF0FF5"/>
    <w:rsid w:val="00BF2368"/>
    <w:rsid w:val="00C10F64"/>
    <w:rsid w:val="00C12EA3"/>
    <w:rsid w:val="00C24ECF"/>
    <w:rsid w:val="00C574E9"/>
    <w:rsid w:val="00C63A6A"/>
    <w:rsid w:val="00C67DC7"/>
    <w:rsid w:val="00C751B2"/>
    <w:rsid w:val="00C92BD4"/>
    <w:rsid w:val="00CC0E8B"/>
    <w:rsid w:val="00CC44D2"/>
    <w:rsid w:val="00CE4165"/>
    <w:rsid w:val="00CE74F3"/>
    <w:rsid w:val="00D0524A"/>
    <w:rsid w:val="00D116C0"/>
    <w:rsid w:val="00D303A8"/>
    <w:rsid w:val="00D3095C"/>
    <w:rsid w:val="00D47EAD"/>
    <w:rsid w:val="00D57A5E"/>
    <w:rsid w:val="00D75340"/>
    <w:rsid w:val="00D820E8"/>
    <w:rsid w:val="00D8529A"/>
    <w:rsid w:val="00DB0E29"/>
    <w:rsid w:val="00DC4F1E"/>
    <w:rsid w:val="00E21582"/>
    <w:rsid w:val="00E228C6"/>
    <w:rsid w:val="00E45ED4"/>
    <w:rsid w:val="00E53C49"/>
    <w:rsid w:val="00E65718"/>
    <w:rsid w:val="00E75755"/>
    <w:rsid w:val="00E90FE3"/>
    <w:rsid w:val="00E9539F"/>
    <w:rsid w:val="00EB0339"/>
    <w:rsid w:val="00EB5124"/>
    <w:rsid w:val="00EC47D5"/>
    <w:rsid w:val="00EF32BC"/>
    <w:rsid w:val="00F115CC"/>
    <w:rsid w:val="00F40E01"/>
    <w:rsid w:val="00F442A5"/>
    <w:rsid w:val="00F76105"/>
    <w:rsid w:val="00F82087"/>
    <w:rsid w:val="00F86130"/>
    <w:rsid w:val="00F95395"/>
    <w:rsid w:val="00FB3743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mgcb/-/media/Project/Websites/mgcb/Detroit-Casino-Revenue-Files/iGaming_Sports_Betting_Fantasy_Sports_tax_revenue_distribution_chart_715611_7.pdf?rev=180d6e96109b4f9798c5ce78cbbeb2bf&amp;hash=77F57D0FDB6B4AF3FF6AC2C2F12BDD4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mgcb/detroit-casinos/resources/revenues-and-wagering-tax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3051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2</cp:revision>
  <cp:lastPrinted>2014-01-09T22:05:00Z</cp:lastPrinted>
  <dcterms:created xsi:type="dcterms:W3CDTF">2023-02-17T21:00:00Z</dcterms:created>
  <dcterms:modified xsi:type="dcterms:W3CDTF">2023-02-17T21:00:00Z</dcterms:modified>
</cp:coreProperties>
</file>