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7010"/>
      </w:tblGrid>
      <w:tr w:rsidR="00716ED8" w14:paraId="3B3D72A9" w14:textId="77777777" w:rsidTr="00D24CA2">
        <w:trPr>
          <w:trHeight w:val="1379"/>
        </w:trPr>
        <w:tc>
          <w:tcPr>
            <w:tcW w:w="2039" w:type="dxa"/>
          </w:tcPr>
          <w:p w14:paraId="62622B89" w14:textId="360303C0" w:rsidR="00716ED8" w:rsidRDefault="00B1622F" w:rsidP="006B1EA9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5741D522" wp14:editId="580E41E6">
                  <wp:extent cx="9906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5"/>
        <w:gridCol w:w="4845"/>
      </w:tblGrid>
      <w:tr w:rsidR="00716ED8" w14:paraId="4E039AAE" w14:textId="77777777" w:rsidTr="006B1EA9">
        <w:trPr>
          <w:jc w:val="center"/>
        </w:trPr>
        <w:tc>
          <w:tcPr>
            <w:tcW w:w="0" w:type="auto"/>
            <w:shd w:val="clear" w:color="auto" w:fill="4472C4" w:themeFill="accent1"/>
            <w:vAlign w:val="center"/>
          </w:tcPr>
          <w:p w14:paraId="75AA6DB4" w14:textId="7ABDD96C" w:rsidR="00716ED8" w:rsidRPr="006B1EA9" w:rsidRDefault="00716ED8" w:rsidP="00804693">
            <w:pPr>
              <w:rPr>
                <w:color w:val="FFFFFF" w:themeColor="background1"/>
                <w:sz w:val="22"/>
                <w:szCs w:val="22"/>
              </w:rPr>
            </w:pPr>
            <w:r w:rsidRPr="006B1EA9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FOR IMMEDIATE RELEASE:</w:t>
            </w:r>
            <w:r w:rsidRPr="006B1EA9">
              <w:rPr>
                <w:rStyle w:val="Strong"/>
                <w:color w:val="FFFFFF" w:themeColor="background1"/>
                <w:sz w:val="22"/>
                <w:szCs w:val="22"/>
              </w:rPr>
              <w:t xml:space="preserve"> </w:t>
            </w:r>
            <w:r w:rsidRPr="006B1E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Feb</w:t>
            </w:r>
            <w:r w:rsidR="00927C84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ruary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1622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14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="00B6561B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20</w:t>
            </w:r>
            <w:r w:rsidR="00432433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6B1EA9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0383645" w14:textId="5CF68DA8" w:rsidR="00716ED8" w:rsidRPr="00927C84" w:rsidRDefault="00716ED8" w:rsidP="006B1EA9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27C84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Contact:</w:t>
            </w:r>
            <w:r w:rsidRPr="00927C8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6B1EA9"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MGCB-media</w:t>
            </w:r>
            <w:r w:rsidR="00E228C6"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777777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2C491420" w:rsidR="00B6561B" w:rsidRPr="00345C74" w:rsidRDefault="00B6561B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  <w:r w:rsidR="006B1EA9">
        <w:rPr>
          <w:rFonts w:ascii="Verdana" w:hAnsi="Verdana"/>
          <w:b/>
          <w:sz w:val="20"/>
          <w:szCs w:val="20"/>
        </w:rPr>
        <w:tab/>
      </w:r>
    </w:p>
    <w:p w14:paraId="09A57D42" w14:textId="77777777" w:rsidR="00B1622F" w:rsidRPr="00B1622F" w:rsidRDefault="00B1622F" w:rsidP="00B1622F">
      <w:pPr>
        <w:rPr>
          <w:rFonts w:ascii="Arial" w:hAnsi="Arial" w:cs="Arial"/>
          <w:b/>
          <w:bCs/>
          <w:sz w:val="16"/>
          <w:szCs w:val="16"/>
        </w:rPr>
      </w:pPr>
    </w:p>
    <w:p w14:paraId="75FD95AB" w14:textId="2CC2F4FD" w:rsidR="00B1622F" w:rsidRDefault="00B1622F" w:rsidP="00B1622F">
      <w:pPr>
        <w:rPr>
          <w:rFonts w:ascii="Arial" w:hAnsi="Arial" w:cs="Arial"/>
          <w:b/>
          <w:bCs/>
          <w:sz w:val="36"/>
          <w:szCs w:val="36"/>
        </w:rPr>
      </w:pPr>
      <w:r w:rsidRPr="00AE70D1">
        <w:rPr>
          <w:rFonts w:ascii="Arial" w:hAnsi="Arial" w:cs="Arial"/>
          <w:b/>
          <w:bCs/>
          <w:sz w:val="36"/>
          <w:szCs w:val="36"/>
        </w:rPr>
        <w:t xml:space="preserve">Detroit casinos report $103.5 million in January monthly aggregate revenue </w:t>
      </w:r>
    </w:p>
    <w:p w14:paraId="4E3D6799" w14:textId="77777777" w:rsidR="00B1622F" w:rsidRPr="00B1622F" w:rsidRDefault="00B1622F" w:rsidP="00B1622F">
      <w:pPr>
        <w:rPr>
          <w:rFonts w:ascii="Arial" w:hAnsi="Arial" w:cs="Arial"/>
          <w:b/>
          <w:bCs/>
        </w:rPr>
      </w:pPr>
    </w:p>
    <w:p w14:paraId="1C63BABB" w14:textId="2B620CF3" w:rsidR="00B1622F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  <w:b/>
          <w:bCs/>
        </w:rPr>
        <w:t>Detroit, February 14, 2023</w:t>
      </w:r>
      <w:r w:rsidRPr="00AE70D1">
        <w:rPr>
          <w:rFonts w:ascii="Arial" w:hAnsi="Arial" w:cs="Arial"/>
        </w:rPr>
        <w:t xml:space="preserve"> – The three Detroit casinos reported $103.5 million in monthly aggregate revenue in January. Table games and slots generated $103.4 million in revenue while retail sports betting produced $111,023.</w:t>
      </w:r>
    </w:p>
    <w:p w14:paraId="6B97A0A3" w14:textId="77777777" w:rsidR="00B1622F" w:rsidRPr="00AE70D1" w:rsidRDefault="00B1622F" w:rsidP="00B1622F">
      <w:pPr>
        <w:rPr>
          <w:rFonts w:ascii="Arial" w:hAnsi="Arial" w:cs="Arial"/>
        </w:rPr>
      </w:pPr>
    </w:p>
    <w:p w14:paraId="38FF6A48" w14:textId="77777777" w:rsidR="00B1622F" w:rsidRPr="00AE70D1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t>Market shares during January were:</w:t>
      </w:r>
    </w:p>
    <w:p w14:paraId="399D1789" w14:textId="77777777" w:rsidR="00B1622F" w:rsidRPr="00AE70D1" w:rsidRDefault="00B1622F" w:rsidP="00B1622F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</w:rPr>
      </w:pPr>
      <w:r w:rsidRPr="00AE70D1">
        <w:rPr>
          <w:rFonts w:cs="Arial"/>
        </w:rPr>
        <w:t>MGM, 48%</w:t>
      </w:r>
    </w:p>
    <w:p w14:paraId="5A9CB244" w14:textId="77777777" w:rsidR="00B1622F" w:rsidRPr="00AE70D1" w:rsidRDefault="00B1622F" w:rsidP="00B1622F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</w:rPr>
      </w:pPr>
      <w:r w:rsidRPr="00AE70D1">
        <w:rPr>
          <w:rFonts w:cs="Arial"/>
        </w:rPr>
        <w:t>Motor City, 30%</w:t>
      </w:r>
    </w:p>
    <w:p w14:paraId="486FD031" w14:textId="77777777" w:rsidR="00B1622F" w:rsidRPr="00AE70D1" w:rsidRDefault="00B1622F" w:rsidP="00B1622F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</w:rPr>
      </w:pPr>
      <w:r>
        <w:rPr>
          <w:rFonts w:cs="Arial"/>
        </w:rPr>
        <w:t xml:space="preserve">Hollywood Casino at </w:t>
      </w:r>
      <w:r w:rsidRPr="00AE70D1">
        <w:rPr>
          <w:rFonts w:cs="Arial"/>
        </w:rPr>
        <w:t>Greektown, 22%</w:t>
      </w:r>
    </w:p>
    <w:p w14:paraId="0492BA73" w14:textId="77777777" w:rsidR="00B1622F" w:rsidRPr="00AE70D1" w:rsidRDefault="00B1622F" w:rsidP="00B1622F">
      <w:pPr>
        <w:rPr>
          <w:rFonts w:ascii="Arial" w:hAnsi="Arial" w:cs="Arial"/>
          <w:b/>
          <w:bCs/>
        </w:rPr>
      </w:pPr>
      <w:r w:rsidRPr="00AE70D1">
        <w:rPr>
          <w:rFonts w:ascii="Arial" w:hAnsi="Arial" w:cs="Arial"/>
          <w:b/>
          <w:bCs/>
        </w:rPr>
        <w:t xml:space="preserve">Table Games and Slot Revenue </w:t>
      </w:r>
    </w:p>
    <w:p w14:paraId="0C078EAB" w14:textId="32FA8FAB" w:rsidR="00B1622F" w:rsidRDefault="00B1622F" w:rsidP="00B1622F">
      <w:pPr>
        <w:rPr>
          <w:rFonts w:ascii="Arial" w:hAnsi="Arial" w:cs="Arial"/>
        </w:rPr>
      </w:pPr>
      <w:r>
        <w:rPr>
          <w:rFonts w:ascii="Arial" w:hAnsi="Arial" w:cs="Arial"/>
        </w:rPr>
        <w:t>Monthly t</w:t>
      </w:r>
      <w:r w:rsidRPr="00AE70D1">
        <w:rPr>
          <w:rFonts w:ascii="Arial" w:hAnsi="Arial" w:cs="Arial"/>
        </w:rPr>
        <w:t>able games and slot revenue rose 4.4% compared with January 2022 results. Revenue declined 4.5% compared with December results.</w:t>
      </w:r>
    </w:p>
    <w:p w14:paraId="51664FBD" w14:textId="77777777" w:rsidR="00B1622F" w:rsidRPr="00AE70D1" w:rsidRDefault="00B1622F" w:rsidP="00B1622F">
      <w:pPr>
        <w:rPr>
          <w:rFonts w:ascii="Arial" w:hAnsi="Arial" w:cs="Arial"/>
        </w:rPr>
      </w:pPr>
    </w:p>
    <w:p w14:paraId="18F8F523" w14:textId="5D0DDD7A" w:rsidR="00B1622F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t>Compared with January 2022, monthly gaming revenue rose 3.2% to $50.2 million at MGM and 1.3% to $30.3 million at Motor City Casino. Hollywood Casino at Greektown reported $22.9 million monthly revenue for an 11.9% gain compared with January 2022 results.</w:t>
      </w:r>
    </w:p>
    <w:p w14:paraId="77F666A9" w14:textId="77777777" w:rsidR="00B1622F" w:rsidRPr="00AE70D1" w:rsidRDefault="00B1622F" w:rsidP="00B1622F">
      <w:pPr>
        <w:rPr>
          <w:rFonts w:ascii="Arial" w:hAnsi="Arial" w:cs="Arial"/>
        </w:rPr>
      </w:pPr>
    </w:p>
    <w:p w14:paraId="21E11057" w14:textId="42CD5D53" w:rsidR="00B1622F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t>During January, the three Detroit casinos paid $8.4 million in gaming taxes to the State of Michigan compared with $8 million for the same month last year.</w:t>
      </w:r>
    </w:p>
    <w:p w14:paraId="5B8223C6" w14:textId="77777777" w:rsidR="00B1622F" w:rsidRPr="00AE70D1" w:rsidRDefault="00B1622F" w:rsidP="00B1622F">
      <w:pPr>
        <w:rPr>
          <w:rFonts w:ascii="Arial" w:hAnsi="Arial" w:cs="Arial"/>
        </w:rPr>
      </w:pPr>
    </w:p>
    <w:p w14:paraId="523C9E2A" w14:textId="2AA34EFA" w:rsidR="00B1622F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t>The three Detroit casinos reported submitting $16.3 million in wagering taxes and development agreement payments to the City of Detroit during January.</w:t>
      </w:r>
    </w:p>
    <w:p w14:paraId="5619A3D0" w14:textId="77777777" w:rsidR="00B1622F" w:rsidRPr="00AE70D1" w:rsidRDefault="00B1622F" w:rsidP="00B1622F">
      <w:pPr>
        <w:rPr>
          <w:rFonts w:ascii="Arial" w:hAnsi="Arial" w:cs="Arial"/>
        </w:rPr>
      </w:pPr>
    </w:p>
    <w:p w14:paraId="7A8C92D0" w14:textId="77777777" w:rsidR="00B1622F" w:rsidRPr="00AE70D1" w:rsidRDefault="00B1622F" w:rsidP="00B1622F">
      <w:pPr>
        <w:rPr>
          <w:rFonts w:ascii="Arial" w:hAnsi="Arial" w:cs="Arial"/>
          <w:b/>
          <w:bCs/>
        </w:rPr>
      </w:pPr>
      <w:r w:rsidRPr="00AE70D1">
        <w:rPr>
          <w:rFonts w:ascii="Arial" w:hAnsi="Arial" w:cs="Arial"/>
          <w:b/>
          <w:bCs/>
        </w:rPr>
        <w:t>Retail Sports Betting Revenue and Taxes</w:t>
      </w:r>
    </w:p>
    <w:p w14:paraId="26A674B9" w14:textId="77777777" w:rsidR="00B1622F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t>Retail sports betting qualified adjusted gross receipts (QAGR) for January dropped by $1.8 million, or 94.3%, when compared with January 2022 results. QAGR also declined by $1.5 million, or 93.2%, when compared with December results.</w:t>
      </w:r>
    </w:p>
    <w:p w14:paraId="7DE9226E" w14:textId="30AE37FB" w:rsidR="00B1622F" w:rsidRPr="00AE70D1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lastRenderedPageBreak/>
        <w:t xml:space="preserve">  </w:t>
      </w:r>
    </w:p>
    <w:p w14:paraId="73DAD350" w14:textId="77777777" w:rsidR="00B1622F" w:rsidRPr="00AE70D1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t>January QAGR totals by property were:</w:t>
      </w:r>
    </w:p>
    <w:p w14:paraId="2CE99FEC" w14:textId="77777777" w:rsidR="00B1622F" w:rsidRPr="00AE70D1" w:rsidRDefault="00B1622F" w:rsidP="00B1622F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AE70D1">
        <w:rPr>
          <w:rFonts w:cs="Arial"/>
        </w:rPr>
        <w:t>MGM, -$62,725</w:t>
      </w:r>
    </w:p>
    <w:p w14:paraId="19A8DDF4" w14:textId="77777777" w:rsidR="00B1622F" w:rsidRPr="00AE70D1" w:rsidRDefault="00B1622F" w:rsidP="00B1622F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AE70D1">
        <w:rPr>
          <w:rFonts w:cs="Arial"/>
        </w:rPr>
        <w:t>MotorCity, $236,503</w:t>
      </w:r>
    </w:p>
    <w:p w14:paraId="7E579C79" w14:textId="77777777" w:rsidR="00B1622F" w:rsidRPr="00AE70D1" w:rsidRDefault="00B1622F" w:rsidP="00B1622F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AE70D1">
        <w:rPr>
          <w:rFonts w:cs="Arial"/>
        </w:rPr>
        <w:t>Hollywood Casino at Greektown, -$62,755</w:t>
      </w:r>
    </w:p>
    <w:p w14:paraId="021ACF10" w14:textId="5AD89D32" w:rsidR="00B1622F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t>Total gross receipts were $149,379, and total handle was $15,277,683.</w:t>
      </w:r>
    </w:p>
    <w:p w14:paraId="431365A6" w14:textId="77777777" w:rsidR="00B1622F" w:rsidRPr="00AE70D1" w:rsidRDefault="00B1622F" w:rsidP="00B1622F">
      <w:pPr>
        <w:rPr>
          <w:rFonts w:ascii="Arial" w:hAnsi="Arial" w:cs="Arial"/>
        </w:rPr>
      </w:pPr>
    </w:p>
    <w:p w14:paraId="59864B17" w14:textId="5A2F6D04" w:rsidR="00B1622F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t>State taxes from the Detroit casinos were $8,940 compared with $73,070 for the same month last year.</w:t>
      </w:r>
    </w:p>
    <w:p w14:paraId="687618E1" w14:textId="77777777" w:rsidR="00B1622F" w:rsidRPr="00AE70D1" w:rsidRDefault="00B1622F" w:rsidP="00B1622F">
      <w:pPr>
        <w:rPr>
          <w:rFonts w:ascii="Arial" w:hAnsi="Arial" w:cs="Arial"/>
        </w:rPr>
      </w:pPr>
    </w:p>
    <w:p w14:paraId="0FFB86A1" w14:textId="15A55532" w:rsidR="00B1622F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t>The three Detroit casinos reported submitting $10,926 in wagering taxes to the City of Detroit during January.</w:t>
      </w:r>
    </w:p>
    <w:p w14:paraId="02C21065" w14:textId="77777777" w:rsidR="00B1622F" w:rsidRPr="00AE70D1" w:rsidRDefault="00B1622F" w:rsidP="00B1622F">
      <w:pPr>
        <w:rPr>
          <w:rFonts w:ascii="Arial" w:hAnsi="Arial" w:cs="Arial"/>
        </w:rPr>
      </w:pPr>
    </w:p>
    <w:p w14:paraId="3F688DBA" w14:textId="77777777" w:rsidR="00B1622F" w:rsidRPr="00AE70D1" w:rsidRDefault="00B1622F" w:rsidP="00B1622F">
      <w:pPr>
        <w:rPr>
          <w:rFonts w:ascii="Arial" w:hAnsi="Arial" w:cs="Arial"/>
          <w:b/>
          <w:bCs/>
        </w:rPr>
      </w:pPr>
      <w:r w:rsidRPr="00AE70D1">
        <w:rPr>
          <w:rFonts w:ascii="Arial" w:hAnsi="Arial" w:cs="Arial"/>
          <w:b/>
          <w:bCs/>
        </w:rPr>
        <w:t>Fantasy Contests</w:t>
      </w:r>
    </w:p>
    <w:p w14:paraId="2911FE1A" w14:textId="69FBB321" w:rsidR="00B1622F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t>During December, fantasy contest operators reported total adjusted revenues of $1.6 million and paid taxes of $133,324.</w:t>
      </w:r>
    </w:p>
    <w:p w14:paraId="7813DAEB" w14:textId="77777777" w:rsidR="00B1622F" w:rsidRPr="00AE70D1" w:rsidRDefault="00B1622F" w:rsidP="00B1622F">
      <w:pPr>
        <w:rPr>
          <w:rFonts w:ascii="Arial" w:hAnsi="Arial" w:cs="Arial"/>
        </w:rPr>
      </w:pPr>
    </w:p>
    <w:p w14:paraId="324DE3A5" w14:textId="77777777" w:rsidR="00B1622F" w:rsidRPr="00AE70D1" w:rsidRDefault="00B1622F" w:rsidP="00B1622F">
      <w:pPr>
        <w:rPr>
          <w:rFonts w:ascii="Arial" w:hAnsi="Arial" w:cs="Arial"/>
        </w:rPr>
      </w:pPr>
      <w:r w:rsidRPr="00AE70D1">
        <w:rPr>
          <w:rFonts w:ascii="Arial" w:hAnsi="Arial" w:cs="Arial"/>
        </w:rPr>
        <w:t>Fantasy contest operators reported aggregate fantasy contest adjusted revenues of $16.8 million and paid $1.4 million in taxes during 2022.</w:t>
      </w:r>
    </w:p>
    <w:p w14:paraId="7122ED42" w14:textId="77777777" w:rsidR="00B1622F" w:rsidRPr="00AE70D1" w:rsidRDefault="00B1622F" w:rsidP="00B1622F">
      <w:pPr>
        <w:rPr>
          <w:rFonts w:ascii="Arial" w:hAnsi="Arial" w:cs="Arial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592B"/>
    <w:multiLevelType w:val="hybridMultilevel"/>
    <w:tmpl w:val="BAA8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85320"/>
    <w:multiLevelType w:val="hybridMultilevel"/>
    <w:tmpl w:val="2508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2"/>
  </w:num>
  <w:num w:numId="2" w16cid:durableId="1653633024">
    <w:abstractNumId w:val="4"/>
  </w:num>
  <w:num w:numId="3" w16cid:durableId="1772890775">
    <w:abstractNumId w:val="1"/>
  </w:num>
  <w:num w:numId="4" w16cid:durableId="1157501143">
    <w:abstractNumId w:val="9"/>
  </w:num>
  <w:num w:numId="5" w16cid:durableId="118493863">
    <w:abstractNumId w:val="6"/>
  </w:num>
  <w:num w:numId="6" w16cid:durableId="77094850">
    <w:abstractNumId w:val="7"/>
  </w:num>
  <w:num w:numId="7" w16cid:durableId="778531659">
    <w:abstractNumId w:val="10"/>
  </w:num>
  <w:num w:numId="8" w16cid:durableId="50814170">
    <w:abstractNumId w:val="8"/>
  </w:num>
  <w:num w:numId="9" w16cid:durableId="161547160">
    <w:abstractNumId w:val="0"/>
  </w:num>
  <w:num w:numId="10" w16cid:durableId="1007098727">
    <w:abstractNumId w:val="5"/>
  </w:num>
  <w:num w:numId="11" w16cid:durableId="82142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1EA9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2C80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8E7382"/>
    <w:rsid w:val="00914303"/>
    <w:rsid w:val="00927C84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622F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24CA2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DC5E27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2023-02-10T18:57:00Z</dcterms:created>
  <dcterms:modified xsi:type="dcterms:W3CDTF">2023-02-10T18:57:00Z</dcterms:modified>
</cp:coreProperties>
</file>