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6952"/>
      </w:tblGrid>
      <w:tr w:rsidR="00716ED8" w14:paraId="3B3D72A9" w14:textId="77777777" w:rsidTr="00E12CDF">
        <w:trPr>
          <w:trHeight w:val="1379"/>
        </w:trPr>
        <w:tc>
          <w:tcPr>
            <w:tcW w:w="2022" w:type="dxa"/>
          </w:tcPr>
          <w:p w14:paraId="62622B89" w14:textId="41295E8B" w:rsidR="00716ED8" w:rsidRDefault="003613A7" w:rsidP="006B1EA9">
            <w:pPr>
              <w:jc w:val="center"/>
              <w:rPr>
                <w:rStyle w:val="Hyperlink"/>
              </w:rPr>
            </w:pPr>
            <w:r>
              <w:rPr>
                <w:noProof/>
              </w:rPr>
              <w:drawing>
                <wp:inline distT="0" distB="0" distL="0" distR="0" wp14:anchorId="5741D522" wp14:editId="1C170088">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6952"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5BB768DA"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7F2C80" w:rsidRPr="006B1EA9">
              <w:rPr>
                <w:rFonts w:ascii="Verdana" w:hAnsi="Verdana"/>
                <w:b/>
                <w:bCs/>
                <w:color w:val="FFFFFF" w:themeColor="background1"/>
                <w:sz w:val="22"/>
                <w:szCs w:val="22"/>
              </w:rPr>
              <w:t>J</w:t>
            </w:r>
            <w:r w:rsidR="006B1EA9" w:rsidRPr="006B1EA9">
              <w:rPr>
                <w:rFonts w:ascii="Verdana" w:hAnsi="Verdana"/>
                <w:b/>
                <w:bCs/>
                <w:color w:val="FFFFFF" w:themeColor="background1"/>
                <w:sz w:val="22"/>
                <w:szCs w:val="22"/>
              </w:rPr>
              <w:t>anuary</w:t>
            </w:r>
            <w:r w:rsidR="00BC0787" w:rsidRPr="006B1EA9">
              <w:rPr>
                <w:rFonts w:ascii="Verdana" w:hAnsi="Verdana"/>
                <w:b/>
                <w:bCs/>
                <w:color w:val="FFFFFF" w:themeColor="background1"/>
                <w:sz w:val="22"/>
                <w:szCs w:val="22"/>
              </w:rPr>
              <w:t xml:space="preserve"> </w:t>
            </w:r>
            <w:r w:rsidR="00500551">
              <w:rPr>
                <w:rFonts w:ascii="Verdana" w:hAnsi="Verdana"/>
                <w:b/>
                <w:bCs/>
                <w:color w:val="FFFFFF" w:themeColor="background1"/>
                <w:sz w:val="22"/>
                <w:szCs w:val="22"/>
              </w:rPr>
              <w:t>26</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6B1EA9" w:rsidRDefault="00716ED8" w:rsidP="006B1EA9">
            <w:pPr>
              <w:pStyle w:val="NormalWeb"/>
              <w:spacing w:before="0" w:beforeAutospacing="0" w:after="0" w:afterAutospacing="0"/>
              <w:jc w:val="right"/>
              <w:rPr>
                <w:b/>
                <w:bCs/>
                <w:color w:val="E7E6E6" w:themeColor="background2"/>
                <w:sz w:val="22"/>
                <w:szCs w:val="22"/>
              </w:rPr>
            </w:pPr>
            <w:r w:rsidRPr="006B1EA9">
              <w:rPr>
                <w:rStyle w:val="Strong"/>
                <w:rFonts w:ascii="Arial" w:hAnsi="Arial" w:cs="Arial"/>
                <w:color w:val="E7E6E6" w:themeColor="background2"/>
                <w:sz w:val="22"/>
                <w:szCs w:val="22"/>
              </w:rPr>
              <w:t>Contact:</w:t>
            </w:r>
            <w:r w:rsidRPr="006B1EA9">
              <w:rPr>
                <w:rFonts w:ascii="Arial" w:hAnsi="Arial" w:cs="Arial"/>
                <w:b/>
                <w:bCs/>
                <w:color w:val="E7E6E6" w:themeColor="background2"/>
                <w:sz w:val="22"/>
                <w:szCs w:val="22"/>
              </w:rPr>
              <w:br/>
            </w:r>
            <w:r w:rsidR="006B1EA9" w:rsidRPr="006B1EA9">
              <w:rPr>
                <w:rFonts w:ascii="Verdana" w:hAnsi="Verdana"/>
                <w:b/>
                <w:bCs/>
                <w:color w:val="E7E6E6" w:themeColor="background2"/>
                <w:sz w:val="22"/>
                <w:szCs w:val="22"/>
              </w:rPr>
              <w:t>MGCB-media</w:t>
            </w:r>
            <w:r w:rsidR="00E228C6" w:rsidRPr="006B1EA9">
              <w:rPr>
                <w:rFonts w:ascii="Verdana" w:hAnsi="Verdana"/>
                <w:b/>
                <w:bCs/>
                <w:color w:val="E7E6E6" w:themeColor="background2"/>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6B1EA9">
              <w:rPr>
                <w:rFonts w:ascii="Verdana" w:hAnsi="Verdana"/>
                <w:b/>
                <w:bCs/>
                <w:color w:val="E7E6E6" w:themeColor="background2"/>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1DDC18D3"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500551">
        <w:rPr>
          <w:rFonts w:ascii="Verdana" w:hAnsi="Verdana"/>
          <w:sz w:val="20"/>
          <w:szCs w:val="20"/>
        </w:rPr>
        <w:t>11</w:t>
      </w:r>
      <w:r w:rsidR="00B6561B" w:rsidRPr="00345C74">
        <w:rPr>
          <w:rFonts w:ascii="Verdana" w:hAnsi="Verdana"/>
          <w:sz w:val="20"/>
          <w:szCs w:val="20"/>
        </w:rPr>
        <w:t>:00</w:t>
      </w:r>
      <w:r w:rsidR="00BB4CA4" w:rsidRPr="00345C74">
        <w:rPr>
          <w:rFonts w:ascii="Verdana" w:hAnsi="Verdana"/>
          <w:sz w:val="20"/>
          <w:szCs w:val="20"/>
        </w:rPr>
        <w:t xml:space="preserve"> </w:t>
      </w:r>
      <w:r w:rsidR="00500551">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2E65F8F5" w14:textId="77777777" w:rsidR="00D138B2" w:rsidRDefault="00B6561B" w:rsidP="006B1EA9">
      <w:pPr>
        <w:tabs>
          <w:tab w:val="left" w:pos="7560"/>
        </w:tabs>
        <w:rPr>
          <w:rFonts w:ascii="Verdana" w:hAnsi="Verdana"/>
          <w:b/>
          <w:sz w:val="20"/>
          <w:szCs w:val="20"/>
        </w:rPr>
      </w:pPr>
      <w:r w:rsidRPr="00345C74">
        <w:rPr>
          <w:rFonts w:ascii="Verdana" w:hAnsi="Verdana"/>
          <w:b/>
          <w:sz w:val="20"/>
          <w:szCs w:val="20"/>
        </w:rPr>
        <w:t>For Immediate Release:</w:t>
      </w:r>
    </w:p>
    <w:p w14:paraId="1ACA21A5" w14:textId="35E507B8" w:rsidR="00B6561B" w:rsidRPr="00345C74" w:rsidRDefault="006B1EA9" w:rsidP="006B1EA9">
      <w:pPr>
        <w:tabs>
          <w:tab w:val="left" w:pos="7560"/>
        </w:tabs>
        <w:rPr>
          <w:rFonts w:ascii="Verdana" w:hAnsi="Verdana"/>
          <w:b/>
          <w:sz w:val="20"/>
          <w:szCs w:val="20"/>
        </w:rPr>
      </w:pPr>
      <w:r>
        <w:rPr>
          <w:rFonts w:ascii="Verdana" w:hAnsi="Verdana"/>
          <w:b/>
          <w:sz w:val="20"/>
          <w:szCs w:val="20"/>
        </w:rPr>
        <w:tab/>
      </w:r>
    </w:p>
    <w:p w14:paraId="098EA569" w14:textId="3F243DA2" w:rsidR="003613A7" w:rsidRDefault="003613A7" w:rsidP="003613A7">
      <w:pPr>
        <w:rPr>
          <w:rFonts w:ascii="Arial" w:hAnsi="Arial" w:cs="Arial"/>
          <w:b/>
          <w:bCs/>
          <w:sz w:val="36"/>
          <w:szCs w:val="36"/>
        </w:rPr>
      </w:pPr>
      <w:r w:rsidRPr="00C72E41">
        <w:rPr>
          <w:rFonts w:ascii="Arial" w:hAnsi="Arial" w:cs="Arial"/>
          <w:b/>
          <w:bCs/>
          <w:sz w:val="36"/>
          <w:szCs w:val="36"/>
        </w:rPr>
        <w:t>Pro poker player Joshua Thatcher sentenced for running an illegal gambling operation 906 Poker Social in Marquette</w:t>
      </w:r>
    </w:p>
    <w:p w14:paraId="6C5D5497" w14:textId="77777777" w:rsidR="003613A7" w:rsidRPr="003613A7" w:rsidRDefault="003613A7" w:rsidP="003613A7">
      <w:pPr>
        <w:rPr>
          <w:rFonts w:ascii="Arial" w:hAnsi="Arial" w:cs="Arial"/>
          <w:b/>
          <w:bCs/>
        </w:rPr>
      </w:pPr>
    </w:p>
    <w:p w14:paraId="406C657E" w14:textId="21D5C1DA" w:rsidR="003613A7" w:rsidRDefault="003613A7" w:rsidP="003613A7">
      <w:pPr>
        <w:rPr>
          <w:rFonts w:ascii="Arial" w:hAnsi="Arial" w:cs="Arial"/>
        </w:rPr>
      </w:pPr>
      <w:r w:rsidRPr="00C72E41">
        <w:rPr>
          <w:rFonts w:ascii="Arial" w:hAnsi="Arial" w:cs="Arial"/>
          <w:b/>
          <w:bCs/>
        </w:rPr>
        <w:t>Detroit, Jan</w:t>
      </w:r>
      <w:r>
        <w:rPr>
          <w:rFonts w:ascii="Arial" w:hAnsi="Arial" w:cs="Arial"/>
          <w:b/>
          <w:bCs/>
        </w:rPr>
        <w:t>uary</w:t>
      </w:r>
      <w:r w:rsidRPr="00C72E41">
        <w:rPr>
          <w:rFonts w:ascii="Arial" w:hAnsi="Arial" w:cs="Arial"/>
          <w:b/>
          <w:bCs/>
        </w:rPr>
        <w:t xml:space="preserve"> </w:t>
      </w:r>
      <w:r w:rsidR="00500551">
        <w:rPr>
          <w:rFonts w:ascii="Arial" w:hAnsi="Arial" w:cs="Arial"/>
          <w:b/>
          <w:bCs/>
        </w:rPr>
        <w:t>26</w:t>
      </w:r>
      <w:r w:rsidRPr="00C72E41">
        <w:rPr>
          <w:rFonts w:ascii="Arial" w:hAnsi="Arial" w:cs="Arial"/>
          <w:b/>
          <w:bCs/>
        </w:rPr>
        <w:t>, 2023</w:t>
      </w:r>
      <w:r w:rsidRPr="00C72E41">
        <w:rPr>
          <w:rFonts w:ascii="Arial" w:hAnsi="Arial" w:cs="Arial"/>
        </w:rPr>
        <w:t xml:space="preserve"> – Pro poker player Joshua T. Thatcher, 42, of</w:t>
      </w:r>
      <w:r>
        <w:rPr>
          <w:rFonts w:ascii="Arial" w:hAnsi="Arial" w:cs="Arial"/>
        </w:rPr>
        <w:t xml:space="preserve"> Gwinn, Mich.,</w:t>
      </w:r>
      <w:r w:rsidRPr="00C72E41">
        <w:rPr>
          <w:rFonts w:ascii="Arial" w:hAnsi="Arial" w:cs="Arial"/>
        </w:rPr>
        <w:t xml:space="preserve"> was sentenced Jan. 19 to </w:t>
      </w:r>
      <w:r>
        <w:rPr>
          <w:rFonts w:ascii="Arial" w:hAnsi="Arial" w:cs="Arial"/>
        </w:rPr>
        <w:t>12 months of probation</w:t>
      </w:r>
      <w:r w:rsidRPr="00C72E41">
        <w:rPr>
          <w:rFonts w:ascii="Arial" w:hAnsi="Arial" w:cs="Arial"/>
        </w:rPr>
        <w:t xml:space="preserve"> after pleading guilty</w:t>
      </w:r>
      <w:r>
        <w:rPr>
          <w:rFonts w:ascii="Arial" w:hAnsi="Arial" w:cs="Arial"/>
        </w:rPr>
        <w:t xml:space="preserve"> on Dec. 2</w:t>
      </w:r>
      <w:r w:rsidRPr="00C72E41">
        <w:rPr>
          <w:rFonts w:ascii="Arial" w:hAnsi="Arial" w:cs="Arial"/>
        </w:rPr>
        <w:t xml:space="preserve"> to one felony count of </w:t>
      </w:r>
      <w:r>
        <w:rPr>
          <w:rFonts w:ascii="Arial" w:hAnsi="Arial" w:cs="Arial"/>
        </w:rPr>
        <w:t>G</w:t>
      </w:r>
      <w:r w:rsidRPr="00C72E41">
        <w:rPr>
          <w:rFonts w:ascii="Arial" w:hAnsi="Arial" w:cs="Arial"/>
        </w:rPr>
        <w:t xml:space="preserve">ambling </w:t>
      </w:r>
      <w:r>
        <w:rPr>
          <w:rFonts w:ascii="Arial" w:hAnsi="Arial" w:cs="Arial"/>
        </w:rPr>
        <w:t>O</w:t>
      </w:r>
      <w:r w:rsidRPr="00C72E41">
        <w:rPr>
          <w:rFonts w:ascii="Arial" w:hAnsi="Arial" w:cs="Arial"/>
        </w:rPr>
        <w:t xml:space="preserve">perations for his role </w:t>
      </w:r>
      <w:r>
        <w:rPr>
          <w:rFonts w:ascii="Arial" w:hAnsi="Arial" w:cs="Arial"/>
        </w:rPr>
        <w:t>operating an illegal poker room known as</w:t>
      </w:r>
      <w:r w:rsidRPr="00C72E41">
        <w:rPr>
          <w:rFonts w:ascii="Arial" w:hAnsi="Arial" w:cs="Arial"/>
        </w:rPr>
        <w:t xml:space="preserve"> 906 Poker Social</w:t>
      </w:r>
      <w:r>
        <w:rPr>
          <w:rFonts w:ascii="Arial" w:hAnsi="Arial" w:cs="Arial"/>
        </w:rPr>
        <w:t xml:space="preserve"> </w:t>
      </w:r>
      <w:r w:rsidR="00CA6C6C">
        <w:rPr>
          <w:rFonts w:ascii="Arial" w:hAnsi="Arial" w:cs="Arial"/>
        </w:rPr>
        <w:t xml:space="preserve">formerly </w:t>
      </w:r>
      <w:r>
        <w:rPr>
          <w:rFonts w:ascii="Arial" w:hAnsi="Arial" w:cs="Arial"/>
        </w:rPr>
        <w:t xml:space="preserve">located at </w:t>
      </w:r>
      <w:r w:rsidRPr="00C72E41">
        <w:rPr>
          <w:rFonts w:ascii="Arial" w:hAnsi="Arial" w:cs="Arial"/>
        </w:rPr>
        <w:t>1200 S. Front St.</w:t>
      </w:r>
      <w:r>
        <w:rPr>
          <w:rFonts w:ascii="Arial" w:hAnsi="Arial" w:cs="Arial"/>
        </w:rPr>
        <w:t>,</w:t>
      </w:r>
      <w:r w:rsidRPr="00C72E41">
        <w:rPr>
          <w:rFonts w:ascii="Arial" w:hAnsi="Arial" w:cs="Arial"/>
        </w:rPr>
        <w:t xml:space="preserve"> Marquette. As part of his plea agreement, Thatcher agreed to forfeit</w:t>
      </w:r>
      <w:r>
        <w:rPr>
          <w:rFonts w:ascii="Arial" w:hAnsi="Arial" w:cs="Arial"/>
        </w:rPr>
        <w:t xml:space="preserve"> to the State of Michigan</w:t>
      </w:r>
      <w:r w:rsidRPr="00C72E41">
        <w:rPr>
          <w:rFonts w:ascii="Arial" w:hAnsi="Arial" w:cs="Arial"/>
        </w:rPr>
        <w:t xml:space="preserve"> all items seized from the location</w:t>
      </w:r>
      <w:r>
        <w:rPr>
          <w:rFonts w:ascii="Arial" w:hAnsi="Arial" w:cs="Arial"/>
        </w:rPr>
        <w:t>, including six poker tables, $13,050 in cash</w:t>
      </w:r>
      <w:r w:rsidRPr="00C72E41">
        <w:rPr>
          <w:rFonts w:ascii="Arial" w:hAnsi="Arial" w:cs="Arial"/>
        </w:rPr>
        <w:t xml:space="preserve"> and</w:t>
      </w:r>
      <w:r>
        <w:rPr>
          <w:rFonts w:ascii="Arial" w:hAnsi="Arial" w:cs="Arial"/>
        </w:rPr>
        <w:t xml:space="preserve"> other money held in bank accounts connected to the investigation of 906 Poker Social. </w:t>
      </w:r>
    </w:p>
    <w:p w14:paraId="34DA1EDA" w14:textId="77777777" w:rsidR="003613A7" w:rsidRDefault="003613A7" w:rsidP="003613A7">
      <w:pPr>
        <w:rPr>
          <w:rFonts w:ascii="Arial" w:hAnsi="Arial" w:cs="Arial"/>
        </w:rPr>
      </w:pPr>
    </w:p>
    <w:p w14:paraId="197E5D08" w14:textId="2EDE5801" w:rsidR="003613A7" w:rsidRDefault="003613A7" w:rsidP="003613A7">
      <w:pPr>
        <w:rPr>
          <w:rFonts w:ascii="Arial" w:hAnsi="Arial" w:cs="Arial"/>
        </w:rPr>
      </w:pPr>
      <w:r>
        <w:rPr>
          <w:rFonts w:ascii="Arial" w:hAnsi="Arial" w:cs="Arial"/>
        </w:rPr>
        <w:t xml:space="preserve">The so-called private poker club </w:t>
      </w:r>
      <w:r w:rsidRPr="00C72E41">
        <w:rPr>
          <w:rFonts w:ascii="Arial" w:hAnsi="Arial" w:cs="Arial"/>
        </w:rPr>
        <w:t>opened</w:t>
      </w:r>
      <w:r>
        <w:rPr>
          <w:rFonts w:ascii="Arial" w:hAnsi="Arial" w:cs="Arial"/>
        </w:rPr>
        <w:t xml:space="preserve"> April 1, 2021, and</w:t>
      </w:r>
      <w:r w:rsidRPr="00C72E41">
        <w:rPr>
          <w:rFonts w:ascii="Arial" w:hAnsi="Arial" w:cs="Arial"/>
        </w:rPr>
        <w:t xml:space="preserve"> closed</w:t>
      </w:r>
      <w:r>
        <w:rPr>
          <w:rFonts w:ascii="Arial" w:hAnsi="Arial" w:cs="Arial"/>
        </w:rPr>
        <w:t xml:space="preserve"> July 8, 2021,</w:t>
      </w:r>
      <w:r w:rsidRPr="00C72E41">
        <w:rPr>
          <w:rFonts w:ascii="Arial" w:hAnsi="Arial" w:cs="Arial"/>
        </w:rPr>
        <w:t xml:space="preserve"> following a joint investigation by the Michigan Department of Attorney General and Michigan Gaming Control Board</w:t>
      </w:r>
      <w:r>
        <w:rPr>
          <w:rFonts w:ascii="Arial" w:hAnsi="Arial" w:cs="Arial"/>
        </w:rPr>
        <w:t xml:space="preserve"> Criminal Investigation section</w:t>
      </w:r>
      <w:r w:rsidRPr="00C72E41">
        <w:rPr>
          <w:rFonts w:ascii="Arial" w:hAnsi="Arial" w:cs="Arial"/>
        </w:rPr>
        <w:t>.</w:t>
      </w:r>
      <w:r>
        <w:rPr>
          <w:rFonts w:ascii="Arial" w:hAnsi="Arial" w:cs="Arial"/>
        </w:rPr>
        <w:t xml:space="preserve"> </w:t>
      </w:r>
    </w:p>
    <w:p w14:paraId="22E2EACB" w14:textId="77777777" w:rsidR="003613A7" w:rsidRPr="00C72E41" w:rsidRDefault="003613A7" w:rsidP="003613A7">
      <w:pPr>
        <w:rPr>
          <w:rFonts w:ascii="Arial" w:hAnsi="Arial" w:cs="Arial"/>
        </w:rPr>
      </w:pPr>
    </w:p>
    <w:p w14:paraId="1FC3AF9C" w14:textId="748A455C" w:rsidR="003613A7" w:rsidRDefault="003613A7" w:rsidP="003613A7">
      <w:pPr>
        <w:rPr>
          <w:rFonts w:ascii="Arial" w:hAnsi="Arial" w:cs="Arial"/>
        </w:rPr>
      </w:pPr>
      <w:r w:rsidRPr="00C72E41">
        <w:rPr>
          <w:rFonts w:ascii="Arial" w:hAnsi="Arial" w:cs="Arial"/>
        </w:rPr>
        <w:t>“Unregulated gambling operations do not offer Michigan residents the same protections provided through legal, regulated gambling,” said Henry Williams, executive director, Michigan Gaming Control Board. “The Michigan Gaming Control Board’s mission is to ensure fair and honest gaming in Michigan, and we partner with the Michigan Department of Attorney General to investigate and eliminate illegal gaming activities across the state.”</w:t>
      </w:r>
    </w:p>
    <w:p w14:paraId="7793DE25" w14:textId="7EBE17DD" w:rsidR="00500551" w:rsidRDefault="00500551" w:rsidP="003613A7">
      <w:pPr>
        <w:rPr>
          <w:rFonts w:ascii="Arial" w:hAnsi="Arial" w:cs="Arial"/>
        </w:rPr>
      </w:pPr>
    </w:p>
    <w:p w14:paraId="5DA6852D" w14:textId="48235B3B" w:rsidR="00500551" w:rsidRDefault="00500551" w:rsidP="003613A7">
      <w:pPr>
        <w:rPr>
          <w:rFonts w:ascii="Arial" w:hAnsi="Arial" w:cs="Arial"/>
        </w:rPr>
      </w:pPr>
      <w:r>
        <w:rPr>
          <w:rFonts w:ascii="Arial" w:hAnsi="Arial" w:cs="Arial"/>
        </w:rPr>
        <w:t>The Michigan Department of Attorney General prosecuted the case.</w:t>
      </w:r>
    </w:p>
    <w:p w14:paraId="162F23ED" w14:textId="2981FA30" w:rsidR="00500551" w:rsidRDefault="00500551" w:rsidP="003613A7">
      <w:pPr>
        <w:rPr>
          <w:rFonts w:ascii="Arial" w:hAnsi="Arial" w:cs="Arial"/>
        </w:rPr>
      </w:pPr>
    </w:p>
    <w:p w14:paraId="00432B0D" w14:textId="4B2F66DF" w:rsidR="00500551" w:rsidRPr="00500551" w:rsidRDefault="00500551" w:rsidP="00500551">
      <w:pPr>
        <w:rPr>
          <w:rFonts w:ascii="Arial" w:hAnsi="Arial" w:cs="Arial"/>
          <w:sz w:val="22"/>
          <w:szCs w:val="22"/>
        </w:rPr>
      </w:pPr>
      <w:r w:rsidRPr="00500551">
        <w:rPr>
          <w:rFonts w:ascii="Arial" w:hAnsi="Arial" w:cs="Arial"/>
          <w:color w:val="212121"/>
        </w:rPr>
        <w:t>“My office remains committed to upholding business rules and regulations, and that includes our state’s gambling laws</w:t>
      </w:r>
      <w:r>
        <w:rPr>
          <w:rFonts w:ascii="Arial" w:hAnsi="Arial" w:cs="Arial"/>
          <w:color w:val="212121"/>
        </w:rPr>
        <w:t xml:space="preserve">,” said </w:t>
      </w:r>
      <w:r w:rsidRPr="00500551">
        <w:rPr>
          <w:rFonts w:ascii="Arial" w:hAnsi="Arial" w:cs="Arial"/>
          <w:color w:val="212121"/>
        </w:rPr>
        <w:t xml:space="preserve">Michigan Attorney General Dana </w:t>
      </w:r>
      <w:proofErr w:type="spellStart"/>
      <w:r w:rsidRPr="00500551">
        <w:rPr>
          <w:rFonts w:ascii="Arial" w:hAnsi="Arial" w:cs="Arial"/>
          <w:color w:val="212121"/>
        </w:rPr>
        <w:t>Nessel</w:t>
      </w:r>
      <w:proofErr w:type="spellEnd"/>
      <w:r w:rsidRPr="00500551">
        <w:rPr>
          <w:rFonts w:ascii="Arial" w:hAnsi="Arial" w:cs="Arial"/>
          <w:color w:val="212121"/>
        </w:rPr>
        <w:t>. </w:t>
      </w:r>
      <w:r>
        <w:rPr>
          <w:rFonts w:ascii="Arial" w:hAnsi="Arial" w:cs="Arial"/>
          <w:color w:val="212121"/>
        </w:rPr>
        <w:t>“</w:t>
      </w:r>
      <w:r w:rsidRPr="00500551">
        <w:rPr>
          <w:rFonts w:ascii="Arial" w:hAnsi="Arial" w:cs="Arial"/>
          <w:color w:val="212121"/>
        </w:rPr>
        <w:t>I appreciate the work the Michigan Gaming Control Board has done to protect Michigan residents and businesses.”</w:t>
      </w:r>
    </w:p>
    <w:p w14:paraId="7A67DB07" w14:textId="77777777" w:rsidR="00500551" w:rsidRDefault="00500551" w:rsidP="003613A7">
      <w:pPr>
        <w:rPr>
          <w:rFonts w:ascii="Arial" w:hAnsi="Arial" w:cs="Arial"/>
        </w:rPr>
      </w:pPr>
    </w:p>
    <w:p w14:paraId="3134B3E3" w14:textId="0B04A079" w:rsidR="003613A7" w:rsidRDefault="003613A7" w:rsidP="003613A7">
      <w:pPr>
        <w:rPr>
          <w:rFonts w:ascii="Arial" w:hAnsi="Arial" w:cs="Arial"/>
        </w:rPr>
      </w:pPr>
      <w:r w:rsidRPr="00C72E41">
        <w:rPr>
          <w:rFonts w:ascii="Arial" w:hAnsi="Arial" w:cs="Arial"/>
        </w:rPr>
        <w:lastRenderedPageBreak/>
        <w:t>In published reports, Thatcher described 906 Poker Social as a private membership club where members gambled against each other. He charged members a fee based on weekly, monthly or yearly membership plus a $10 per hour chair rental fee. The location offered live poker</w:t>
      </w:r>
      <w:r>
        <w:rPr>
          <w:rFonts w:ascii="Arial" w:hAnsi="Arial" w:cs="Arial"/>
        </w:rPr>
        <w:t xml:space="preserve"> and other games</w:t>
      </w:r>
      <w:r w:rsidRPr="00C72E41">
        <w:rPr>
          <w:rFonts w:ascii="Arial" w:hAnsi="Arial" w:cs="Arial"/>
        </w:rPr>
        <w:t>.</w:t>
      </w:r>
    </w:p>
    <w:p w14:paraId="4B8D05D7" w14:textId="77777777" w:rsidR="003613A7" w:rsidRPr="00C72E41" w:rsidRDefault="003613A7" w:rsidP="003613A7">
      <w:pPr>
        <w:rPr>
          <w:rFonts w:ascii="Arial" w:hAnsi="Arial" w:cs="Arial"/>
        </w:rPr>
      </w:pPr>
    </w:p>
    <w:p w14:paraId="4DE5D87E" w14:textId="7C25F8AC" w:rsidR="003613A7" w:rsidRDefault="003613A7" w:rsidP="003613A7">
      <w:pPr>
        <w:rPr>
          <w:rFonts w:ascii="Arial" w:hAnsi="Arial" w:cs="Arial"/>
        </w:rPr>
      </w:pPr>
      <w:r w:rsidRPr="00C72E41">
        <w:rPr>
          <w:rFonts w:ascii="Arial" w:hAnsi="Arial" w:cs="Arial"/>
        </w:rPr>
        <w:t>Thatcher also was charged in May 2022 with five other felony counts, including two counts of using computers to commit a crime, and a high misdemeanor count of permitting a gambling house for gain</w:t>
      </w:r>
      <w:r>
        <w:rPr>
          <w:rFonts w:ascii="Arial" w:hAnsi="Arial" w:cs="Arial"/>
        </w:rPr>
        <w:t>.</w:t>
      </w:r>
      <w:r w:rsidRPr="00C72E41">
        <w:rPr>
          <w:rFonts w:ascii="Arial" w:hAnsi="Arial" w:cs="Arial"/>
        </w:rPr>
        <w:t xml:space="preserve"> </w:t>
      </w:r>
      <w:r>
        <w:rPr>
          <w:rFonts w:ascii="Arial" w:hAnsi="Arial" w:cs="Arial"/>
        </w:rPr>
        <w:t>The other counts</w:t>
      </w:r>
      <w:r w:rsidRPr="00C72E41">
        <w:rPr>
          <w:rFonts w:ascii="Arial" w:hAnsi="Arial" w:cs="Arial"/>
        </w:rPr>
        <w:t xml:space="preserve"> </w:t>
      </w:r>
      <w:r>
        <w:rPr>
          <w:rFonts w:ascii="Arial" w:hAnsi="Arial" w:cs="Arial"/>
        </w:rPr>
        <w:t xml:space="preserve">later </w:t>
      </w:r>
      <w:r w:rsidRPr="00C72E41">
        <w:rPr>
          <w:rFonts w:ascii="Arial" w:hAnsi="Arial" w:cs="Arial"/>
        </w:rPr>
        <w:t>were dismissed</w:t>
      </w:r>
      <w:r>
        <w:rPr>
          <w:rFonts w:ascii="Arial" w:hAnsi="Arial" w:cs="Arial"/>
        </w:rPr>
        <w:t>.</w:t>
      </w:r>
    </w:p>
    <w:p w14:paraId="57C1CA15" w14:textId="77777777" w:rsidR="003613A7" w:rsidRPr="00C72E41" w:rsidRDefault="003613A7" w:rsidP="003613A7">
      <w:pPr>
        <w:rPr>
          <w:rFonts w:ascii="Arial" w:hAnsi="Arial" w:cs="Arial"/>
        </w:rPr>
      </w:pPr>
    </w:p>
    <w:p w14:paraId="05AF2920" w14:textId="77777777" w:rsidR="003613A7" w:rsidRDefault="003613A7" w:rsidP="003613A7">
      <w:pPr>
        <w:rPr>
          <w:rFonts w:ascii="Arial" w:hAnsi="Arial" w:cs="Arial"/>
        </w:rPr>
      </w:pPr>
      <w:r w:rsidRPr="00C72E41">
        <w:rPr>
          <w:rFonts w:ascii="Arial" w:hAnsi="Arial" w:cs="Arial"/>
        </w:rPr>
        <w:t xml:space="preserve">Judge Jennifer A. </w:t>
      </w:r>
      <w:proofErr w:type="spellStart"/>
      <w:r w:rsidRPr="00C72E41">
        <w:rPr>
          <w:rFonts w:ascii="Arial" w:hAnsi="Arial" w:cs="Arial"/>
        </w:rPr>
        <w:t>Mazzuchi</w:t>
      </w:r>
      <w:proofErr w:type="spellEnd"/>
      <w:r w:rsidRPr="00C72E41">
        <w:rPr>
          <w:rFonts w:ascii="Arial" w:hAnsi="Arial" w:cs="Arial"/>
        </w:rPr>
        <w:t xml:space="preserve"> of the 25</w:t>
      </w:r>
      <w:r>
        <w:rPr>
          <w:rFonts w:ascii="Arial" w:hAnsi="Arial" w:cs="Arial"/>
        </w:rPr>
        <w:t>th</w:t>
      </w:r>
      <w:r w:rsidRPr="00C72E41">
        <w:rPr>
          <w:rFonts w:ascii="Arial" w:hAnsi="Arial" w:cs="Arial"/>
        </w:rPr>
        <w:t xml:space="preserve"> Circuit Court in Marquette presided over sentencing.</w:t>
      </w:r>
    </w:p>
    <w:p w14:paraId="2BC971D0" w14:textId="77777777" w:rsidR="003613A7" w:rsidRDefault="003613A7" w:rsidP="003613A7">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7"/>
  </w:num>
  <w:num w:numId="5" w16cid:durableId="118493863">
    <w:abstractNumId w:val="4"/>
  </w:num>
  <w:num w:numId="6" w16cid:durableId="77094850">
    <w:abstractNumId w:val="5"/>
  </w:num>
  <w:num w:numId="7" w16cid:durableId="778531659">
    <w:abstractNumId w:val="8"/>
  </w:num>
  <w:num w:numId="8" w16cid:durableId="50814170">
    <w:abstractNumId w:val="6"/>
  </w:num>
  <w:num w:numId="9" w16cid:durableId="16154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13A7"/>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00551"/>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A6C6C"/>
    <w:rsid w:val="00CC0E8B"/>
    <w:rsid w:val="00CC44D2"/>
    <w:rsid w:val="00CE4165"/>
    <w:rsid w:val="00CE74F3"/>
    <w:rsid w:val="00D0524A"/>
    <w:rsid w:val="00D116C0"/>
    <w:rsid w:val="00D138B2"/>
    <w:rsid w:val="00D303A8"/>
    <w:rsid w:val="00D3095C"/>
    <w:rsid w:val="00D47EAD"/>
    <w:rsid w:val="00D57A5E"/>
    <w:rsid w:val="00D75340"/>
    <w:rsid w:val="00D820E8"/>
    <w:rsid w:val="00D8529A"/>
    <w:rsid w:val="00DB0E29"/>
    <w:rsid w:val="00DC4F1E"/>
    <w:rsid w:val="00E12CDF"/>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435444354">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2023-01-26T14:04:00Z</dcterms:created>
  <dcterms:modified xsi:type="dcterms:W3CDTF">2023-01-26T14:14:00Z</dcterms:modified>
</cp:coreProperties>
</file>